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版本号：HX-WN-2026-2220260901001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“印象渭南”品牌建设</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HX-WN-2026-22</w:t>
      </w:r>
      <w:r>
        <w:br/>
      </w:r>
      <w:r>
        <w:br/>
      </w:r>
      <w:r>
        <w:br/>
      </w:r>
    </w:p>
    <w:p>
      <w:pPr>
        <w:pStyle w:val="null3"/>
        <w:jc w:val="center"/>
        <w:outlineLvl w:val="5"/>
      </w:pPr>
      <w:r>
        <w:rPr>
          <w:rFonts w:ascii="仿宋_GB2312" w:hAnsi="仿宋_GB2312" w:cs="仿宋_GB2312" w:eastAsia="仿宋_GB2312"/>
          <w:sz w:val="15"/>
          <w:b/>
        </w:rPr>
        <w:t>中共渭南市委宣传部</w:t>
      </w:r>
    </w:p>
    <w:p>
      <w:pPr>
        <w:pStyle w:val="null3"/>
        <w:jc w:val="center"/>
        <w:outlineLvl w:val="5"/>
      </w:pPr>
      <w:r>
        <w:rPr>
          <w:rFonts w:ascii="仿宋_GB2312" w:hAnsi="仿宋_GB2312" w:cs="仿宋_GB2312" w:eastAsia="仿宋_GB2312"/>
          <w:sz w:val="15"/>
          <w:b/>
        </w:rPr>
        <w:t>华夏城投项目管理有限公司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中共渭南市委宣传部</w:t>
      </w:r>
      <w:r>
        <w:rPr>
          <w:rFonts w:ascii="仿宋_GB2312" w:hAnsi="仿宋_GB2312" w:cs="仿宋_GB2312" w:eastAsia="仿宋_GB2312"/>
        </w:rPr>
        <w:t>委托，拟对</w:t>
      </w:r>
      <w:r>
        <w:rPr>
          <w:rFonts w:ascii="仿宋_GB2312" w:hAnsi="仿宋_GB2312" w:cs="仿宋_GB2312" w:eastAsia="仿宋_GB2312"/>
        </w:rPr>
        <w:t>“印象渭南”品牌建设</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HX-WN-2026-22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“印象渭南”品牌建设</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深入推进城市品牌提质升级，持续擦亮“印象渭南”IP名片，全面提升渭南城市形象传播力与品牌辨识度，系统开展我市品牌顶层策划、全媒体矩阵宣推、城市文旅资源深度挖掘、对外形象塑造推广等品牌建设工作等，具体内容详见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有效的证照：具有独立承担民事责任能力的法人、其他组织或自然人，并出具合法有效的营业执照或事业单位法人证书/专业服务机构执业许可证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供应商需在项目电子化交易系统中按要求上传相应证明文件并进行电子签章。</w:t>
      </w:r>
    </w:p>
    <w:p>
      <w:pPr>
        <w:pStyle w:val="null3"/>
      </w:pPr>
      <w:r>
        <w:rPr>
          <w:rFonts w:ascii="仿宋_GB2312" w:hAnsi="仿宋_GB2312" w:cs="仿宋_GB2312" w:eastAsia="仿宋_GB2312"/>
        </w:rPr>
        <w:t>3、税收缴纳证明：提供截止至开标时间前一年内任意一个月的税收缴纳凭据（增值税或企业所得税至少提供一种，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缴存证明：提供截止至开标时间前六个月内任意一个月的社保缴纳凭据或社保机构开具的社会保险参保缴纳情况证明（依法不需要缴纳社会保障资金的供应商应提供相关证明）；供应商需在项目电子化交易系统中按要求上传相应证明文件并进行电子签章。</w:t>
      </w:r>
    </w:p>
    <w:p>
      <w:pPr>
        <w:pStyle w:val="null3"/>
      </w:pPr>
      <w:r>
        <w:rPr>
          <w:rFonts w:ascii="仿宋_GB2312" w:hAnsi="仿宋_GB2312" w:cs="仿宋_GB2312" w:eastAsia="仿宋_GB2312"/>
        </w:rPr>
        <w:t>5、书面声明：提供参加政府采购活动前三年内在经营活动中没有重大违法记录的书面声明（提供书面声明，加盖供应商公章）；供应商需在项目电子化交易系统中按要求上传相应证明文件并进行电子签章。</w:t>
      </w:r>
    </w:p>
    <w:p>
      <w:pPr>
        <w:pStyle w:val="null3"/>
      </w:pPr>
      <w:r>
        <w:rPr>
          <w:rFonts w:ascii="仿宋_GB2312" w:hAnsi="仿宋_GB2312" w:cs="仿宋_GB2312" w:eastAsia="仿宋_GB2312"/>
        </w:rPr>
        <w:t>6、承诺函：具备履行合同所必需的设备和专业技术能力（提供承诺书）；供应商需在项目电子化交易系统中按要求上传相应证明文件并进行电子签章。</w:t>
      </w:r>
    </w:p>
    <w:p>
      <w:pPr>
        <w:pStyle w:val="null3"/>
      </w:pPr>
      <w:r>
        <w:rPr>
          <w:rFonts w:ascii="仿宋_GB2312" w:hAnsi="仿宋_GB2312" w:cs="仿宋_GB2312" w:eastAsia="仿宋_GB2312"/>
        </w:rPr>
        <w:t>7、授权委托书：法定代表人或分公司负责人参加协商的，应出具法定代表人或分公司负责人证明书及法定代表人或分公司负责人身份证明，且应与营业执照上信息一致;法定代表人或分公司负责人授权他人参加协商的，应出具法定代表人或分公司负责人证明书、法定代表人或分公司负责人授权书及被授权人身份证明；供应商需在项目电子化交易系统中按要求上传相应证明文件并进行电子签章。</w:t>
      </w:r>
    </w:p>
    <w:p>
      <w:pPr>
        <w:pStyle w:val="null3"/>
      </w:pPr>
      <w:r>
        <w:rPr>
          <w:rFonts w:ascii="仿宋_GB2312" w:hAnsi="仿宋_GB2312" w:cs="仿宋_GB2312" w:eastAsia="仿宋_GB2312"/>
        </w:rPr>
        <w:t>8、联合体情况：本项目不接受联合体投标（提供承诺书）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中共渭南市委宣传部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0913-2126872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渭南市临渭区东风街中段景和福康大楼一单元1001室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代理服务费收费标准：1、参考国家计委颁布的《招标代理服务收费管理暂行办法》(计价格[2002]1980 号)和(发改办价格[2003]857 号)收费标准（含税），以成交公告公布的金额为准。 2、支付方式：成交供应商应在领取通知书的同时，支付本项目代理服务费。收款账户如下：收款单位：华夏城投项目管理有限公司渭南分公司 开户银行：中国银行渭南仓程路支行 银行账号：103260621838 3、转账时备注：项目简称+代理服务费。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中共渭南市委宣传部</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中共渭南市委宣传部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地址：渭南市临渭区东风街中段景和福康大楼一单元1001室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深入推进城市品牌提质升级，持续擦亮“印象渭南”IP名片，全面提升渭南城市形象传播力与品牌辨识度，系统开展我市品牌顶层策划、全媒体矩阵宣推、城市文旅资源深度挖掘、对外形象塑造推广等品牌建设工作等，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“印象渭南”品牌建设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标的名称：“印象渭南”品牌建设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一、采购需求</w:t>
            </w:r>
          </w:p>
          <w:p>
            <w:pPr>
              <w:pStyle w:val="null3"/>
              <w:jc w:val="both"/>
            </w:pPr>
            <w:r>
              <w:rPr>
                <w:rFonts w:ascii="仿宋_GB2312" w:hAnsi="仿宋_GB2312" w:cs="仿宋_GB2312" w:eastAsia="仿宋_GB2312"/>
                <w:sz w:val="20"/>
              </w:rPr>
              <w:t>1、项目概况：</w:t>
            </w:r>
          </w:p>
          <w:p>
            <w:pPr>
              <w:pStyle w:val="null3"/>
              <w:ind w:firstLine="400"/>
              <w:jc w:val="both"/>
            </w:pPr>
            <w:r>
              <w:rPr>
                <w:rFonts w:ascii="仿宋_GB2312" w:hAnsi="仿宋_GB2312" w:cs="仿宋_GB2312" w:eastAsia="仿宋_GB2312"/>
              </w:rPr>
              <w:t>为深入推进城市品牌提质升级，持续擦亮</w:t>
            </w:r>
            <w:r>
              <w:rPr>
                <w:rFonts w:ascii="仿宋_GB2312" w:hAnsi="仿宋_GB2312" w:cs="仿宋_GB2312" w:eastAsia="仿宋_GB2312"/>
              </w:rPr>
              <w:t>“印象渭南”IP名片</w:t>
            </w:r>
            <w:r>
              <w:rPr>
                <w:rFonts w:ascii="仿宋_GB2312" w:hAnsi="仿宋_GB2312" w:cs="仿宋_GB2312" w:eastAsia="仿宋_GB2312"/>
              </w:rPr>
              <w:t>，</w:t>
            </w:r>
            <w:r>
              <w:rPr>
                <w:rFonts w:ascii="仿宋_GB2312" w:hAnsi="仿宋_GB2312" w:cs="仿宋_GB2312" w:eastAsia="仿宋_GB2312"/>
              </w:rPr>
              <w:t>全面提升渭南城市形象传播力与品牌辨识度</w:t>
            </w:r>
            <w:r>
              <w:rPr>
                <w:rFonts w:ascii="仿宋_GB2312" w:hAnsi="仿宋_GB2312" w:cs="仿宋_GB2312" w:eastAsia="仿宋_GB2312"/>
              </w:rPr>
              <w:t>，</w:t>
            </w:r>
            <w:r>
              <w:rPr>
                <w:rFonts w:ascii="仿宋_GB2312" w:hAnsi="仿宋_GB2312" w:cs="仿宋_GB2312" w:eastAsia="仿宋_GB2312"/>
              </w:rPr>
              <w:t>系统开展我市品牌顶层策划、全媒体矩阵</w:t>
            </w:r>
            <w:r>
              <w:rPr>
                <w:rFonts w:ascii="仿宋_GB2312" w:hAnsi="仿宋_GB2312" w:cs="仿宋_GB2312" w:eastAsia="仿宋_GB2312"/>
              </w:rPr>
              <w:t>推广</w:t>
            </w:r>
            <w:r>
              <w:rPr>
                <w:rFonts w:ascii="仿宋_GB2312" w:hAnsi="仿宋_GB2312" w:cs="仿宋_GB2312" w:eastAsia="仿宋_GB2312"/>
              </w:rPr>
              <w:t>、城市文旅资源深度挖掘、对外形象塑造推广等品牌建设工作等，具体内容详见采购文件第三章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2、服务地点：中共渭南市委宣传部项目</w:t>
            </w:r>
            <w:r>
              <w:rPr>
                <w:rFonts w:ascii="仿宋_GB2312" w:hAnsi="仿宋_GB2312" w:cs="仿宋_GB2312" w:eastAsia="仿宋_GB2312"/>
                <w:sz w:val="20"/>
              </w:rPr>
              <w:t>指定地点</w:t>
            </w:r>
          </w:p>
          <w:p>
            <w:pPr>
              <w:pStyle w:val="null3"/>
              <w:jc w:val="both"/>
            </w:pPr>
            <w:r>
              <w:rPr>
                <w:rFonts w:ascii="仿宋_GB2312" w:hAnsi="仿宋_GB2312" w:cs="仿宋_GB2312" w:eastAsia="仿宋_GB2312"/>
                <w:sz w:val="20"/>
              </w:rPr>
              <w:t>3、服务内容：</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“印象渭南·北纬35°黄金带澄城樱桃”品牌系列活动</w:t>
            </w:r>
            <w:r>
              <w:rPr>
                <w:rFonts w:ascii="仿宋_GB2312" w:hAnsi="仿宋_GB2312" w:cs="仿宋_GB2312" w:eastAsia="仿宋_GB2312"/>
                <w:sz w:val="20"/>
              </w:rPr>
              <w:t>开幕式活动策划，会务服务，后勤保障等。</w:t>
            </w:r>
          </w:p>
          <w:p>
            <w:pPr>
              <w:pStyle w:val="null3"/>
              <w:jc w:val="both"/>
            </w:pPr>
            <w:r>
              <w:rPr>
                <w:rFonts w:ascii="仿宋_GB2312" w:hAnsi="仿宋_GB2312" w:cs="仿宋_GB2312" w:eastAsia="仿宋_GB2312"/>
                <w:sz w:val="20"/>
              </w:rPr>
              <w:t>3.2.围绕“印象渭南品牌”，策划设计、制作以图文、视频、新媒体产品等多种形式相结合的新媒体产品，在新华社客户端陕西频道首页位置发布。</w:t>
            </w:r>
          </w:p>
          <w:p>
            <w:pPr>
              <w:pStyle w:val="null3"/>
              <w:jc w:val="both"/>
            </w:pPr>
            <w:r>
              <w:rPr>
                <w:rFonts w:ascii="仿宋_GB2312" w:hAnsi="仿宋_GB2312" w:cs="仿宋_GB2312" w:eastAsia="仿宋_GB2312"/>
                <w:sz w:val="20"/>
              </w:rPr>
              <w:t>3.3.进一步打响印象渭南、澄城樱桃品牌，由新华社新闻信息中心提供信息服务支撑。利用内宣、外宣资源，壮大活动声量。</w:t>
            </w:r>
          </w:p>
          <w:p>
            <w:pPr>
              <w:pStyle w:val="null3"/>
              <w:jc w:val="both"/>
            </w:pPr>
            <w:r>
              <w:rPr>
                <w:rFonts w:ascii="仿宋_GB2312" w:hAnsi="仿宋_GB2312" w:cs="仿宋_GB2312" w:eastAsia="仿宋_GB2312"/>
                <w:sz w:val="20"/>
              </w:rPr>
              <w:t>4、服务范围：采购文件要求、合同约定及采购人提供的采购需求等全部内容。</w:t>
            </w:r>
          </w:p>
          <w:p>
            <w:pPr>
              <w:pStyle w:val="null3"/>
              <w:jc w:val="both"/>
            </w:pPr>
            <w:r>
              <w:rPr>
                <w:rFonts w:ascii="仿宋_GB2312" w:hAnsi="仿宋_GB2312" w:cs="仿宋_GB2312" w:eastAsia="仿宋_GB2312"/>
                <w:sz w:val="20"/>
              </w:rPr>
              <w:t>5、服务标准：符合国家标准、行业标准以及有关技术规范要求。</w:t>
            </w:r>
          </w:p>
          <w:p>
            <w:pPr>
              <w:pStyle w:val="null3"/>
              <w:jc w:val="both"/>
            </w:pPr>
            <w:r>
              <w:rPr>
                <w:rFonts w:ascii="仿宋_GB2312" w:hAnsi="仿宋_GB2312" w:cs="仿宋_GB2312" w:eastAsia="仿宋_GB2312"/>
                <w:sz w:val="20"/>
              </w:rPr>
              <w:t>6、服务要求：保证服务内容、服务质量完全符合采购文件的要求。</w:t>
            </w:r>
          </w:p>
          <w:p>
            <w:pPr>
              <w:pStyle w:val="null3"/>
              <w:spacing w:after="120"/>
              <w:jc w:val="both"/>
            </w:pPr>
            <w:r>
              <w:rPr>
                <w:rFonts w:ascii="仿宋_GB2312" w:hAnsi="仿宋_GB2312" w:cs="仿宋_GB2312" w:eastAsia="仿宋_GB2312"/>
                <w:sz w:val="20"/>
              </w:rPr>
              <w:t>二、服务期：</w:t>
            </w:r>
            <w:r>
              <w:rPr>
                <w:rFonts w:ascii="仿宋_GB2312" w:hAnsi="仿宋_GB2312" w:cs="仿宋_GB2312" w:eastAsia="仿宋_GB2312"/>
                <w:sz w:val="20"/>
              </w:rPr>
              <w:t>自合同签订之日起至</w:t>
            </w:r>
            <w:r>
              <w:rPr>
                <w:rFonts w:ascii="仿宋_GB2312" w:hAnsi="仿宋_GB2312" w:cs="仿宋_GB2312" w:eastAsia="仿宋_GB2312"/>
                <w:sz w:val="20"/>
              </w:rPr>
              <w:t>2026年10月31日</w:t>
            </w:r>
            <w:r>
              <w:rPr>
                <w:rFonts w:ascii="仿宋_GB2312" w:hAnsi="仿宋_GB2312" w:cs="仿宋_GB2312" w:eastAsia="仿宋_GB2312"/>
                <w:sz w:val="20"/>
              </w:rPr>
              <w:t>。</w:t>
            </w:r>
          </w:p>
          <w:p>
            <w:pPr>
              <w:pStyle w:val="null3"/>
              <w:spacing w:after="120"/>
              <w:jc w:val="both"/>
            </w:pPr>
            <w:r>
              <w:rPr>
                <w:rFonts w:ascii="仿宋_GB2312" w:hAnsi="仿宋_GB2312" w:cs="仿宋_GB2312" w:eastAsia="仿宋_GB2312"/>
                <w:sz w:val="20"/>
              </w:rPr>
              <w:t>三、付款方式：</w:t>
            </w:r>
          </w:p>
          <w:p>
            <w:pPr>
              <w:pStyle w:val="null3"/>
              <w:jc w:val="both"/>
            </w:pPr>
            <w:r>
              <w:rPr>
                <w:rFonts w:ascii="仿宋_GB2312" w:hAnsi="仿宋_GB2312" w:cs="仿宋_GB2312" w:eastAsia="仿宋_GB2312"/>
                <w:sz w:val="20"/>
              </w:rPr>
              <w:t>1、付款单位：采购人结算，在付款前，按付款金额开具发票给采购人。</w:t>
            </w:r>
          </w:p>
          <w:p>
            <w:pPr>
              <w:pStyle w:val="null3"/>
              <w:jc w:val="both"/>
            </w:pPr>
            <w:r>
              <w:rPr>
                <w:rFonts w:ascii="仿宋_GB2312" w:hAnsi="仿宋_GB2312" w:cs="仿宋_GB2312" w:eastAsia="仿宋_GB2312"/>
                <w:sz w:val="20"/>
              </w:rPr>
              <w:t>2、付款方式：</w:t>
            </w:r>
            <w:r>
              <w:rPr>
                <w:rFonts w:ascii="仿宋_GB2312" w:hAnsi="仿宋_GB2312" w:cs="仿宋_GB2312" w:eastAsia="仿宋_GB2312"/>
                <w:sz w:val="20"/>
              </w:rPr>
              <w:t>合同签订后</w:t>
            </w:r>
            <w:r>
              <w:rPr>
                <w:rFonts w:ascii="仿宋_GB2312" w:hAnsi="仿宋_GB2312" w:cs="仿宋_GB2312" w:eastAsia="仿宋_GB2312"/>
                <w:sz w:val="20"/>
              </w:rPr>
              <w:t>30日内，支付合同总金额的100%。</w:t>
            </w:r>
          </w:p>
          <w:p>
            <w:pPr>
              <w:pStyle w:val="null3"/>
              <w:jc w:val="both"/>
            </w:pPr>
            <w:r>
              <w:rPr>
                <w:rFonts w:ascii="仿宋_GB2312" w:hAnsi="仿宋_GB2312" w:cs="仿宋_GB2312" w:eastAsia="仿宋_GB2312"/>
                <w:sz w:val="20"/>
              </w:rPr>
              <w:t>四、质量保证：成交供应商应当保证服务内容质量完全符合采购文件的要求，并对服务内容质量问题负责。</w:t>
            </w:r>
          </w:p>
          <w:p>
            <w:pPr>
              <w:pStyle w:val="null3"/>
              <w:jc w:val="both"/>
            </w:pPr>
            <w:r>
              <w:rPr>
                <w:rFonts w:ascii="仿宋_GB2312" w:hAnsi="仿宋_GB2312" w:cs="仿宋_GB2312" w:eastAsia="仿宋_GB2312"/>
                <w:sz w:val="20"/>
              </w:rPr>
              <w:t>五、采购项目执行内容需要调整时，经采购人同意后，可以对相应的内容进行调整，并协商确定价格差额计算方法和负担办法。</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0"/>
              </w:rPr>
              <w:t>验收：达到使用条件时由采购人负责组织验收，验收合格后须交接项目实施的全部资料，并填写政府采购项目验收报告单。验收须以合同、采购文件及响应文件、澄清及国家相应的标准、规范等为依据。</w:t>
            </w:r>
          </w:p>
          <w:p>
            <w:pPr>
              <w:pStyle w:val="null3"/>
            </w:pPr>
            <w:r>
              <w:rPr>
                <w:rFonts w:ascii="仿宋_GB2312" w:hAnsi="仿宋_GB2312" w:cs="仿宋_GB2312" w:eastAsia="仿宋_GB2312"/>
                <w:sz w:val="21"/>
              </w:rPr>
              <w:t>七、合同争议的解决：合同执行中发生争议的，当事人双方应协商解决，协商达不成一致时，可向人民法院提请诉讼。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达到使用条件时由采购人负责组织验收，验收合格后须交接项目实施的全部资料，并填写政府采购项目验收报告单。验收须以合同、采购文件及响应文件、澄清及国家相应的标准、规范等为依据。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 2、成交供应商在领取成交通知书时须向代理机构提供纸质版响应文件正本1份、副本3份、电子版文件1 份（U 盘）。 3、纸质响应文件采用双面打印并胶装成册，须与电子响应文件一致；若电子响应文件与纸质响应文件不一致的，以电子响应文件为准。4、线下纸质文件递交地点：渭南市临渭区东风街中段景和福康大楼一单元 1001 室。5、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营业执照等有效的证照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专业服务机构执业许可证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税收缴纳凭据（增值税或企业所得税至少提供一种，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具备履行合同所必需的设备和专业技术能力（提供承诺书）；供应商需在项目电子化交易系统中按要求上传相应证明文件并进行电子签章。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分公司负责人参加协商的，应出具法定代表人或分公司负责人证明书及法定代表人或分公司负责人身份证明，且应与营业执照上信息一致;法定代表人或分公司负责人授权他人参加协商的，应出具法定代表人或分公司负责人证明书、法定代表人或分公司负责人授权书及被授权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供应商按照招标文件要求上传投标文件</w:t>
            </w:r>
          </w:p>
        </w:tc>
        <w:tc>
          <w:tcPr>
            <w:tcW w:type="dxa" w:w="1661"/>
          </w:tcPr>
          <w:p>
            <w:pPr>
              <w:pStyle w:val="null3"/>
            </w:pPr>
            <w:r>
              <w:rPr>
                <w:rFonts w:ascii="仿宋_GB2312" w:hAnsi="仿宋_GB2312" w:cs="仿宋_GB2312" w:eastAsia="仿宋_GB2312"/>
              </w:rPr>
              <w:t>服务要求应答表.docx 中小企业声明函 商务应答表 供应商应提交的相关资格证明材料 报价表 响应文件封面 政府采购供应商拒绝政府采购领域商业贿赂承诺书.docx 协商保证金交纳凭据.docx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响应报价有可能影响项目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响应报价合理性的，协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供应商按照招标文件要求上传投标文件</w:t>
            </w:r>
          </w:p>
        </w:tc>
        <w:tc>
          <w:tcPr>
            <w:tcW w:type="dxa" w:w="1661"/>
          </w:tcPr>
          <w:p>
            <w:pPr>
              <w:pStyle w:val="null3"/>
            </w:pPr>
            <w:r>
              <w:rPr>
                <w:rFonts w:ascii="仿宋_GB2312" w:hAnsi="仿宋_GB2312" w:cs="仿宋_GB2312" w:eastAsia="仿宋_GB2312"/>
              </w:rPr>
              <w:t>服务要求应答表.docx 中小企业声明函 商务应答表 供应商应提交的相关资格证明材料 报价表 响应文件封面 政府采购供应商拒绝政府采购领域商业贿赂承诺书.docx 协商保证金交纳凭据.docx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服务要求应答表.docx 中小企业声明函 商务应答表 供应商应提交的相关资格证明材料 报价表 响应文件封面 政府采购供应商拒绝政府采购领域商业贿赂承诺书.docx 协商保证金交纳凭据.docx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响应文件按采购文件要求的语言、计量单位、报价货币；按采购文件要求签署、盖章。</w:t>
            </w:r>
          </w:p>
        </w:tc>
        <w:tc>
          <w:tcPr>
            <w:tcW w:type="dxa" w:w="1661"/>
          </w:tcPr>
          <w:p>
            <w:pPr>
              <w:pStyle w:val="null3"/>
            </w:pPr>
            <w:r>
              <w:rPr>
                <w:rFonts w:ascii="仿宋_GB2312" w:hAnsi="仿宋_GB2312" w:cs="仿宋_GB2312" w:eastAsia="仿宋_GB2312"/>
              </w:rPr>
              <w:t>服务要求应答表.docx 中小企业声明函 商务应答表 供应商应提交的相关资格证明材料 报价表 响应文件封面 政府采购供应商拒绝政府采购领域商业贿赂承诺书.docx 协商保证金交纳凭据.docx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报价唯一；响应报价不超过采购预算。</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协商保证金交纳</w:t>
            </w:r>
          </w:p>
        </w:tc>
        <w:tc>
          <w:tcPr>
            <w:tcW w:type="dxa" w:w="3322"/>
          </w:tcPr>
          <w:p>
            <w:pPr>
              <w:pStyle w:val="null3"/>
            </w:pPr>
            <w:r>
              <w:rPr>
                <w:rFonts w:ascii="仿宋_GB2312" w:hAnsi="仿宋_GB2312" w:cs="仿宋_GB2312" w:eastAsia="仿宋_GB2312"/>
              </w:rPr>
              <w:t>按采购文件规定交纳协商保证金。</w:t>
            </w:r>
          </w:p>
        </w:tc>
        <w:tc>
          <w:tcPr>
            <w:tcW w:type="dxa" w:w="1661"/>
          </w:tcPr>
          <w:p>
            <w:pPr>
              <w:pStyle w:val="null3"/>
            </w:pPr>
            <w:r>
              <w:rPr>
                <w:rFonts w:ascii="仿宋_GB2312" w:hAnsi="仿宋_GB2312" w:cs="仿宋_GB2312" w:eastAsia="仿宋_GB2312"/>
              </w:rPr>
              <w:t>协商保证金交纳凭据.docx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服务期符合采购文件要求。</w:t>
            </w:r>
          </w:p>
        </w:tc>
        <w:tc>
          <w:tcPr>
            <w:tcW w:type="dxa" w:w="1661"/>
          </w:tcPr>
          <w:p>
            <w:pPr>
              <w:pStyle w:val="null3"/>
            </w:pPr>
            <w:r>
              <w:rPr>
                <w:rFonts w:ascii="仿宋_GB2312" w:hAnsi="仿宋_GB2312" w:cs="仿宋_GB2312" w:eastAsia="仿宋_GB2312"/>
              </w:rPr>
              <w:t>服务要求应答表.docx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详见附件：协商保证金交纳凭据.docx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