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版本号：LZBD2026-68520260721001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依托政务云一体化密码服务中枢平台面向医疗机构前置软件的密码服务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LZBD2026-685</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依托政务云一体化密码服务中枢平台面向医疗机构前置软件的密码服务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LZBD2026-685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依托政务云一体化密码服务中枢平台面向医疗机构前置软件的密码服务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西安市一体化密码服务中枢平台，采购面向医疗机构前置软件的密码服务，为各级医疗机构提供统一、合规、安全、可管理的密码支撑，保障传染病监测数据机密性、完整性、真实性、不可否认性。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1、具有独立承担民事责任能力的法人、其他组织或自然人。：供应商应是独立承担民事责任能力的法人、其他组织或自然人，法人、其他组织须提供合法 有效的营业执照（或事业单位法人证书）等证 明资料，自然人须提供身份证明。注：供应商需在项目电子化交易系统中按要求上传相应证明文件并进行电子签章。</w:t>
      </w:r>
    </w:p>
    <w:p>
      <w:pPr>
        <w:pStyle w:val="null3"/>
      </w:pPr>
      <w:r>
        <w:rPr>
          <w:rFonts w:ascii="仿宋_GB2312" w:hAnsi="仿宋_GB2312" w:cs="仿宋_GB2312" w:eastAsia="仿宋_GB2312"/>
        </w:rPr>
        <w:t>2、供应商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p>
      <w:pPr>
        <w:pStyle w:val="null3"/>
      </w:pPr>
      <w:r>
        <w:rPr>
          <w:rFonts w:ascii="仿宋_GB2312" w:hAnsi="仿宋_GB2312" w:cs="仿宋_GB2312" w:eastAsia="仿宋_GB2312"/>
        </w:rPr>
        <w:t>3、承诺函：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4、供应商与采购人关联关系：本项目不接受由西安市疾病预防控制中心职工及其亲属投资开办的企业参加本单位的政府采购活动(提供承诺函)。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5、联合体投标：本项目不接受联合体投标。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余云春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029-85525039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李敏、徐小宁、刘强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人民币3000元整收取。2、成交单位在领取成交通知书之前，须向代理机构支付招标代理服务费。3、招标代理服务费以转账或现金形式缴纳至以下账户：开户名称：龙寰项目管理咨询有限公司，开户银行：平安银行西安高新路支行，账号：30201278018697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 产生因第三方提出侵犯其专利权、商标权或其它知识产权而引起的法律和经济纠纷，如存在前述情形，由供应商承担所有相关 责任。采购人享有本项目实施过程中产生的知识成果及知识产权。（二）供应商将在采购项目实施过程中采用自有或者第三方 知识成果的，使用该知识成果后，供应商需提供开发接口和开发手册等技术资料，并承诺提供无限期支持，采购人享有使用权 （含采购人委托第三方在该项目后续开发的使用权）。（三）如采用供应商所不拥有的知识产权，则在报价中必须包括合法使 用该知识产权的相关费用。（四）构成本招标文件的各组成部分，未经采购人书面同意，供应商不得擅自复印或用于非本招标 项目所需的其他目的。 3、如采用供应商所不拥有的知识产权，则在报价中必须包括合法使用该知识产权的相关费用。 四、构成本竞争性磋商文件的各组成部分，未经采购人书面同意，供应商不得擅自复印或用于非本竞争性磋商项目所需的其他目的。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联系人：徐小宁、李敏</w:t>
      </w:r>
    </w:p>
    <w:p>
      <w:pPr>
        <w:pStyle w:val="null3"/>
      </w:pPr>
      <w:r>
        <w:rPr>
          <w:rFonts w:ascii="仿宋_GB2312" w:hAnsi="仿宋_GB2312" w:cs="仿宋_GB2312" w:eastAsia="仿宋_GB2312"/>
        </w:rPr>
        <w:t>联系电话：029-88228899-647</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依托西安市一体化密码服务中枢平台，采购面向医疗机构前置软件的密码服务，为各级医疗机构提供统一、合规、安全、可管理的密码支撑，保障传染病监测数据机密性、完整性、真实性、不可否认性。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西安市二级以下医疗机构前置软件转正前进行数据加密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标的名称：西安市二级以下医疗机构前置软件转正前进行数据加密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w:t>
            </w:r>
            <w:r>
              <w:rPr>
                <w:rFonts w:ascii="仿宋_GB2312" w:hAnsi="仿宋_GB2312" w:cs="仿宋_GB2312" w:eastAsia="仿宋_GB2312"/>
                <w:sz w:val="20"/>
                <w:b/>
              </w:rPr>
              <w:t>采购内容及要求</w:t>
            </w:r>
          </w:p>
          <w:p>
            <w:pPr>
              <w:pStyle w:val="null3"/>
              <w:ind w:firstLine="400"/>
              <w:jc w:val="both"/>
            </w:pPr>
            <w:r>
              <w:rPr>
                <w:rFonts w:ascii="仿宋_GB2312" w:hAnsi="仿宋_GB2312" w:cs="仿宋_GB2312" w:eastAsia="仿宋_GB2312"/>
                <w:sz w:val="20"/>
              </w:rPr>
              <w:t>根据中国疾控中心下发的</w:t>
            </w:r>
            <w:r>
              <w:rPr>
                <w:rFonts w:ascii="仿宋_GB2312" w:hAnsi="仿宋_GB2312" w:cs="仿宋_GB2312" w:eastAsia="仿宋_GB2312"/>
                <w:sz w:val="20"/>
              </w:rPr>
              <w:t>《</w:t>
            </w:r>
            <w:r>
              <w:rPr>
                <w:rFonts w:ascii="仿宋_GB2312" w:hAnsi="仿宋_GB2312" w:cs="仿宋_GB2312" w:eastAsia="仿宋_GB2312"/>
                <w:sz w:val="20"/>
              </w:rPr>
              <w:t>二级及以上</w:t>
            </w:r>
            <w:r>
              <w:rPr>
                <w:rFonts w:ascii="仿宋_GB2312" w:hAnsi="仿宋_GB2312" w:cs="仿宋_GB2312" w:eastAsia="仿宋_GB2312"/>
                <w:sz w:val="20"/>
              </w:rPr>
              <w:t>医疗机构对接前置软件国家数据集成服务平台单位数字证书应用规范》</w:t>
            </w:r>
            <w:r>
              <w:rPr>
                <w:rFonts w:ascii="仿宋_GB2312" w:hAnsi="仿宋_GB2312" w:cs="仿宋_GB2312" w:eastAsia="仿宋_GB2312"/>
                <w:sz w:val="20"/>
              </w:rPr>
              <w:t>，对中枢平台多个密码服务接口进行适配改造。具体适配接口如下：</w:t>
            </w:r>
          </w:p>
          <w:p>
            <w:pPr>
              <w:pStyle w:val="null3"/>
              <w:jc w:val="both"/>
            </w:pPr>
            <w:r>
              <w:rPr>
                <w:rFonts w:ascii="仿宋_GB2312" w:hAnsi="仿宋_GB2312" w:cs="仿宋_GB2312" w:eastAsia="仿宋_GB2312"/>
                <w:sz w:val="20"/>
              </w:rPr>
              <w:t>1.数据签名验签：依托中枢平台签名验签接口，按照医疗机构前置软件上报数据规范，适配PKCS#1裸签名、验证PKCS#1裸签名、XML封皮签名、验证XML封皮签名、PKCS#7签名（不带原文）、验证PKCS#7签名（不带原文）。</w:t>
            </w:r>
          </w:p>
          <w:p>
            <w:pPr>
              <w:pStyle w:val="null3"/>
              <w:jc w:val="both"/>
            </w:pPr>
            <w:r>
              <w:rPr>
                <w:rFonts w:ascii="仿宋_GB2312" w:hAnsi="仿宋_GB2312" w:cs="仿宋_GB2312" w:eastAsia="仿宋_GB2312"/>
                <w:sz w:val="20"/>
              </w:rPr>
              <w:t>2.数据加解密：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1）传输加密：依托中枢平台的SM4对称密钥生成接口、数字信封接口，适配医疗机构前置软件数据上报传输加密规范。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2）存储加密：依托中枢平台的数据加解密接口，按照医疗机构前置软件数据存储加密规范进行适配改造。</w:t>
            </w:r>
          </w:p>
          <w:p>
            <w:pPr>
              <w:pStyle w:val="null3"/>
              <w:jc w:val="both"/>
            </w:pPr>
            <w:r>
              <w:rPr>
                <w:rFonts w:ascii="仿宋_GB2312" w:hAnsi="仿宋_GB2312" w:cs="仿宋_GB2312" w:eastAsia="仿宋_GB2312"/>
                <w:sz w:val="20"/>
              </w:rPr>
              <w:t>3.证书管理：依托中枢平台支持存储及调用与现有传染病网络直报系统采用的CA证书</w:t>
            </w:r>
            <w:r>
              <w:rPr>
                <w:rFonts w:ascii="仿宋_GB2312" w:hAnsi="仿宋_GB2312" w:cs="仿宋_GB2312" w:eastAsia="仿宋_GB2312"/>
                <w:sz w:val="20"/>
              </w:rPr>
              <w:t>兼容互认的单位数字证书（详见《</w:t>
            </w:r>
            <w:r>
              <w:rPr>
                <w:rFonts w:ascii="仿宋_GB2312" w:hAnsi="仿宋_GB2312" w:cs="仿宋_GB2312" w:eastAsia="仿宋_GB2312"/>
                <w:sz w:val="20"/>
              </w:rPr>
              <w:t>二级及以上</w:t>
            </w:r>
            <w:r>
              <w:rPr>
                <w:rFonts w:ascii="仿宋_GB2312" w:hAnsi="仿宋_GB2312" w:cs="仿宋_GB2312" w:eastAsia="仿宋_GB2312"/>
                <w:sz w:val="20"/>
              </w:rPr>
              <w:t>医疗机构对接前置软件国家数据集成服务平台单位数字证书应用规范》）；支持多机构证书的存储、调用及生命周期管理</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部署对接：依托中枢平台，完成与医疗机构前置软件的对接调试，提供部署文档、操作手册、</w:t>
            </w:r>
            <w:r>
              <w:rPr>
                <w:rFonts w:ascii="仿宋_GB2312" w:hAnsi="仿宋_GB2312" w:cs="仿宋_GB2312" w:eastAsia="仿宋_GB2312"/>
                <w:sz w:val="20"/>
              </w:rPr>
              <w:t>SDK 安装包。</w:t>
            </w:r>
          </w:p>
          <w:p>
            <w:pPr>
              <w:pStyle w:val="null3"/>
              <w:ind w:firstLine="400"/>
              <w:jc w:val="both"/>
            </w:pPr>
            <w:r>
              <w:rPr>
                <w:rFonts w:ascii="仿宋_GB2312" w:hAnsi="仿宋_GB2312" w:cs="仿宋_GB2312" w:eastAsia="仿宋_GB2312"/>
                <w:sz w:val="20"/>
              </w:rPr>
              <w:t>证书服务：符合《国家疾病预防控制中心前置软件数字证书及密码设备应用规范》，提供证书全生命周期服务，</w:t>
            </w:r>
            <w:r>
              <w:rPr>
                <w:rFonts w:ascii="仿宋_GB2312" w:hAnsi="仿宋_GB2312" w:cs="仿宋_GB2312" w:eastAsia="仿宋_GB2312"/>
                <w:sz w:val="20"/>
              </w:rPr>
              <w:t>5个工作日内完成证书签发，2小时内响应证书解锁、故障排查。</w:t>
            </w:r>
          </w:p>
          <w:p>
            <w:pPr>
              <w:pStyle w:val="null3"/>
              <w:ind w:firstLine="400"/>
              <w:jc w:val="both"/>
            </w:pPr>
            <w:r>
              <w:rPr>
                <w:rFonts w:ascii="仿宋_GB2312" w:hAnsi="仿宋_GB2312" w:cs="仿宋_GB2312" w:eastAsia="仿宋_GB2312"/>
                <w:sz w:val="20"/>
              </w:rPr>
              <w:t>技术支持：</w:t>
            </w:r>
            <w:r>
              <w:rPr>
                <w:rFonts w:ascii="仿宋_GB2312" w:hAnsi="仿宋_GB2312" w:cs="仿宋_GB2312" w:eastAsia="仿宋_GB2312"/>
                <w:sz w:val="20"/>
              </w:rPr>
              <w:t>7×24 小时热线支持，10 分钟内响应故障，30 分钟内远程处置，重大问题 4 小时内现场支撑。</w:t>
            </w:r>
          </w:p>
          <w:p>
            <w:pPr>
              <w:pStyle w:val="null3"/>
              <w:jc w:val="both"/>
            </w:pPr>
            <w:r>
              <w:rPr>
                <w:rFonts w:ascii="仿宋_GB2312" w:hAnsi="仿宋_GB2312" w:cs="仿宋_GB2312" w:eastAsia="仿宋_GB2312"/>
                <w:sz w:val="20"/>
              </w:rPr>
              <w:t>应急保障：制定应急预案，重大故障或突发情况</w:t>
            </w:r>
            <w:r>
              <w:rPr>
                <w:rFonts w:ascii="仿宋_GB2312" w:hAnsi="仿宋_GB2312" w:cs="仿宋_GB2312" w:eastAsia="仿宋_GB2312"/>
                <w:sz w:val="20"/>
              </w:rPr>
              <w:t>2 小时内恢复服务，保障传染病数据按时上报</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服务期限：自签订合同后一年。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进度款，合同签订之日起3个月内完成项目验收且验收合格后，达到付款条件起15个工作日内，支付合同总金额的100.0%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1、合同双方应通过友好协商解决因解释﹑执行本合同所发生的和本合同有关的一切争议。如果经协商不能达成协议，可以采用第（2）种方式解决： （1）提交仲裁委员会仲裁；（2）向人民法院起诉。 2、本合同甲、乙双方一致认为，本合同仅属于甲、乙双方之间的协议，任何争议均只应当按照本合同的约定方式处理，任何情形下采购代理机构均不应当成为该等争议的当事人，无论该等仲裁或诉讼均不得针对采购代理机构提起。</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财务状况报告：提供具有财务审计资质单位出具的2024年度或2025年度财务报告；或开标前六个月内其基本账户银行出具的资信证明；或信用担保机构出具的担保函；2.税收缴纳证明：供应商在本项目磋商响应文件递交截止时间前六个月内任意一个月的税收缴纳凭证；（依法免税的供应商应提供相关文件证明） 3.社会保障资金缴纳证明：供应商在本项目磋商响应文件递交截止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 有效的营业执照（或事业单位法人证书）等证 明资料，自然人须提供身份证明。注：供应商需在项目电子化交易系统中按要求上传相应证明文件并进行电子签章。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其他材料.docx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其他材料.docx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其他材料.docx 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同时提供授权代表由供应商缴纳的磋商日期前连续3个月的社保记录或劳动合同；</w:t>
            </w:r>
          </w:p>
        </w:tc>
        <w:tc>
          <w:tcPr>
            <w:tcW w:type="dxa" w:w="1661"/>
          </w:tcPr>
          <w:p>
            <w:pPr>
              <w:pStyle w:val="null3"/>
            </w:pPr>
            <w:r>
              <w:rPr>
                <w:rFonts w:ascii="仿宋_GB2312" w:hAnsi="仿宋_GB2312" w:cs="仿宋_GB2312" w:eastAsia="仿宋_GB2312"/>
              </w:rPr>
              <w:t>法定代表人（单位负责人自然人）身份证明.docx 法定代表人（或负责人）授权书.docx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磋商响应报价表.docx 法定代表人（单位负责人自然人）身份证明.docx 中小企业声明函 残疾人福利性单位声明函 技术商务响应部分.docx 标的清单 法定代表人（或负责人）授权书.docx 其他材料.docx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唯一报价,符合磋商文件要求，并未超出采购预算。</w:t>
            </w:r>
          </w:p>
        </w:tc>
        <w:tc>
          <w:tcPr>
            <w:tcW w:type="dxa" w:w="1661"/>
          </w:tcPr>
          <w:p>
            <w:pPr>
              <w:pStyle w:val="null3"/>
            </w:pPr>
            <w:r>
              <w:rPr>
                <w:rFonts w:ascii="仿宋_GB2312" w:hAnsi="仿宋_GB2312" w:cs="仿宋_GB2312" w:eastAsia="仿宋_GB2312"/>
              </w:rPr>
              <w:t>磋商响应报价表.docx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磋商响应报价表.docx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项目现状及需求分析</w:t>
            </w:r>
          </w:p>
        </w:tc>
        <w:tc>
          <w:tcPr>
            <w:tcW w:type="dxa" w:w="2492"/>
          </w:tcPr>
          <w:p>
            <w:pPr>
              <w:pStyle w:val="null3"/>
            </w:pPr>
            <w:r>
              <w:rPr>
                <w:rFonts w:ascii="仿宋_GB2312" w:hAnsi="仿宋_GB2312" w:cs="仿宋_GB2312" w:eastAsia="仿宋_GB2312"/>
              </w:rPr>
              <w:t>供应商对项目概况和采购要求的描述，编写现状及需求分析方案。内容包括但不限于：①建设背景；②现状分析（需说明西安市一体化密码服务中枢平台的资源现状与支撑能力）; ③需求分析；④建设目标；⑤建设任务等内容。 方案各项内容全面详细、阐述条理清晰、针对性强，实施性科学合理，能完全满足采购人要求。每项满分2分，缺项不得分；每存在一个缺陷，扣1分，扣完为止。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项目技术方案</w:t>
            </w:r>
          </w:p>
        </w:tc>
        <w:tc>
          <w:tcPr>
            <w:tcW w:type="dxa" w:w="2492"/>
          </w:tcPr>
          <w:p>
            <w:pPr>
              <w:pStyle w:val="null3"/>
            </w:pPr>
            <w:r>
              <w:rPr>
                <w:rFonts w:ascii="仿宋_GB2312" w:hAnsi="仿宋_GB2312" w:cs="仿宋_GB2312" w:eastAsia="仿宋_GB2312"/>
              </w:rPr>
              <w:t>供应商对项目思路及总体设计进行描述，编写技术方案。内容包括但不限于：①总体思路；②总体设计；③集成设计方案（需详细说明与西安市一体化密码服务中枢平台的服务内容、接口适配改造、资源调用方式）；④安全可靠性设计等内容。 方案各项内容全面详细、设计思路条理清晰、针对性强，实施性科学合理，能完全满足采购人要求。每项满分2分，缺项不得分；每存在一个缺陷，扣0.5分，扣完为止。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关于项目实施的要求进行描述，编写实施方案。内容包括但不限于：①实施目标；②实施内容及规模；③实施流程（需明确与西安市一体化密码服务中枢平台联调测试、接口适配开发等关键环节的节点与要求）；④实施要求等内容。 方案各项内容全面详细、阐述条理清晰、针对性强，实施性科学合理，能完全满足采购人要求。每项满分2分，缺项不得分；每存在一个缺陷，扣1分，扣完为止。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供应商提供针对本项目的运维服务方案，内容包括但不限于：①进度计划；②技术支持（涵盖对接西安市一体化密码服务中枢平台过程中的权限管控、资源申请、服务开通等内容）；③交付计划；④应急保障方案等内容。 方案各项内容全面详细、阐述条理清晰、针对性强，实施性科学合理，能完全满足采购人要求。每项满分2分，缺项不得分；每存在一个缺陷，扣1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提供针对本项目实际情况的运维服务方案，内容包括但不限于：①运维服务承诺；②服务体系；③运维维护方案等内容，需明确与西安市一体化密码服务中枢平台运维的协同机制。方案各项内容全面详细、阐述条理清晰、针对性强，实施性科学合理，能完全满足采购人要求。每项满分1分，缺项不得分；每存在一个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1.售后服务方案（1.5分）：供应商针对本项目及采购人实际需求提供详细具体可行的售后服务方案，内容包括但不限于：①售后服务范围及流程；②售后服务保障措施；③售后服务人员配置及职责分工等。 售后服务方案各项内容全面详细、阐述条理清晰、针对性强，实施性科学合理。每项满分0.5分，缺项或存在缺陷不得分。 2、培训方案（1.5分） 负责为使用单位培训，有完整的培训方案，内容包括但不限于：①培训方式；②培训目标对象；③培训内容等。 培训方案全面详细、阐述条理清晰、针对性强，实施性科学合理。每项得分0.5分，缺项或存在缺陷不得分。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项目团队资质</w:t>
            </w:r>
          </w:p>
        </w:tc>
        <w:tc>
          <w:tcPr>
            <w:tcW w:type="dxa" w:w="2492"/>
          </w:tcPr>
          <w:p>
            <w:pPr>
              <w:pStyle w:val="null3"/>
            </w:pPr>
            <w:r>
              <w:rPr>
                <w:rFonts w:ascii="仿宋_GB2312" w:hAnsi="仿宋_GB2312" w:cs="仿宋_GB2312" w:eastAsia="仿宋_GB2312"/>
              </w:rPr>
              <w:t>供应商须为本项目配备足够的本地化服务团队，针对本项目拟派团队服务人员应不少于10人，项目团队配置不满足此要求不得分，满足此要求按以下进行赋分： 1、拟派项目负责人具备系统集成项目管理工程师证书(计算机技术与软件专业技术资格水平考试)，得4分。人员须提供相关证书及与供应商签订的劳动合同，未提供或提供资料不全不得分。2、项目团队（除项目负责人外），具有注册信息安全专业人员(CISP)资格证书的，每提供一人得2分，最高得16分。人员须提供相关证书及与供应商签订的劳动合同，未提供或提供资料不全不得分。 注：同一人员拥有多个证书的不重复计算。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供应商提供2023年1月至今类似项目业绩证明文件（以采购合同签订时间为准），每提供1份得2分，最高得10分，不提供不得分。 注：业绩证明文件以合同复印件并加盖公章为准。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详见附件：法定代表人（或负责人）授权书.docx</w:t>
      </w:r>
    </w:p>
    <w:p>
      <w:pPr>
        <w:pStyle w:val="null3"/>
        <w:ind w:firstLine="960"/>
      </w:pPr>
      <w:r>
        <w:rPr>
          <w:rFonts w:ascii="仿宋_GB2312" w:hAnsi="仿宋_GB2312" w:cs="仿宋_GB2312" w:eastAsia="仿宋_GB2312"/>
        </w:rPr>
        <w:t>详见附件：技术商务响应部分.docx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