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D1E41">
      <w:pPr>
        <w:jc w:val="center"/>
        <w:rPr>
          <w:rFonts w:hint="eastAsia" w:ascii="宋体" w:hAnsi="宋体" w:eastAsia="宋体" w:cs="宋体"/>
          <w:b/>
          <w:bCs/>
          <w:spacing w:val="-14"/>
          <w:sz w:val="44"/>
          <w:szCs w:val="44"/>
          <w:lang w:val="en-US" w:eastAsia="zh-CN"/>
        </w:rPr>
      </w:pPr>
      <w:r>
        <w:drawing>
          <wp:inline distT="0" distB="0" distL="114300" distR="114300">
            <wp:extent cx="4926330" cy="821055"/>
            <wp:effectExtent l="0" t="0" r="7620" b="171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rcRect l="5034" t="5821" r="10891" b="52511"/>
                    <a:stretch>
                      <a:fillRect/>
                    </a:stretch>
                  </pic:blipFill>
                  <pic:spPr>
                    <a:xfrm>
                      <a:off x="0" y="0"/>
                      <a:ext cx="4926330" cy="821055"/>
                    </a:xfrm>
                    <a:prstGeom prst="rect">
                      <a:avLst/>
                    </a:prstGeom>
                    <a:noFill/>
                    <a:ln>
                      <a:noFill/>
                    </a:ln>
                  </pic:spPr>
                </pic:pic>
              </a:graphicData>
            </a:graphic>
          </wp:inline>
        </w:drawing>
      </w:r>
    </w:p>
    <w:p w14:paraId="735E2C64">
      <w:pPr>
        <w:rPr>
          <w:rFonts w:hint="eastAsia" w:ascii="宋体" w:hAnsi="宋体" w:eastAsia="宋体" w:cs="宋体"/>
          <w:b/>
          <w:bCs/>
          <w:spacing w:val="-14"/>
          <w:sz w:val="44"/>
          <w:szCs w:val="44"/>
          <w:lang w:val="en-US" w:eastAsia="zh-CN"/>
        </w:rPr>
      </w:pPr>
    </w:p>
    <w:p w14:paraId="3EE8B91D">
      <w:pPr>
        <w:jc w:val="center"/>
        <w:rPr>
          <w:rFonts w:hint="eastAsia" w:ascii="宋体" w:hAnsi="宋体" w:eastAsia="宋体" w:cs="宋体"/>
          <w:b/>
          <w:bCs/>
          <w:spacing w:val="-14"/>
          <w:sz w:val="72"/>
          <w:szCs w:val="72"/>
          <w:lang w:val="en-US" w:eastAsia="zh-CN"/>
        </w:rPr>
      </w:pPr>
    </w:p>
    <w:p w14:paraId="5FEBB74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pacing w:val="-14"/>
          <w:sz w:val="72"/>
          <w:szCs w:val="72"/>
          <w:lang w:val="en-US" w:eastAsia="zh-CN"/>
        </w:rPr>
      </w:pPr>
      <w:r>
        <w:rPr>
          <w:rFonts w:hint="eastAsia" w:ascii="宋体" w:hAnsi="宋体" w:eastAsia="宋体" w:cs="宋体"/>
          <w:b/>
          <w:bCs/>
          <w:spacing w:val="-14"/>
          <w:sz w:val="72"/>
          <w:szCs w:val="72"/>
          <w:lang w:val="en-US" w:eastAsia="zh-CN"/>
        </w:rPr>
        <w:t>代</w:t>
      </w:r>
    </w:p>
    <w:p w14:paraId="295F510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pacing w:val="-14"/>
          <w:sz w:val="72"/>
          <w:szCs w:val="72"/>
          <w:lang w:val="en-US" w:eastAsia="zh-CN"/>
        </w:rPr>
      </w:pPr>
      <w:r>
        <w:rPr>
          <w:rFonts w:hint="eastAsia" w:ascii="宋体" w:hAnsi="宋体" w:eastAsia="宋体" w:cs="宋体"/>
          <w:b/>
          <w:bCs/>
          <w:spacing w:val="-14"/>
          <w:sz w:val="72"/>
          <w:szCs w:val="72"/>
          <w:lang w:val="en-US" w:eastAsia="zh-CN"/>
        </w:rPr>
        <w:t>理</w:t>
      </w:r>
    </w:p>
    <w:p w14:paraId="14A0AA5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pacing w:val="-14"/>
          <w:sz w:val="72"/>
          <w:szCs w:val="72"/>
          <w:lang w:val="en-US" w:eastAsia="zh-CN"/>
        </w:rPr>
      </w:pPr>
      <w:r>
        <w:rPr>
          <w:rFonts w:hint="eastAsia" w:ascii="宋体" w:hAnsi="宋体" w:eastAsia="宋体" w:cs="宋体"/>
          <w:b/>
          <w:bCs/>
          <w:spacing w:val="-14"/>
          <w:sz w:val="72"/>
          <w:szCs w:val="72"/>
          <w:lang w:val="en-US" w:eastAsia="zh-CN"/>
        </w:rPr>
        <w:t>协</w:t>
      </w:r>
    </w:p>
    <w:p w14:paraId="4868B33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pacing w:val="-14"/>
          <w:sz w:val="72"/>
          <w:szCs w:val="72"/>
          <w:lang w:val="en-US" w:eastAsia="zh-CN"/>
        </w:rPr>
      </w:pPr>
      <w:r>
        <w:rPr>
          <w:rFonts w:hint="eastAsia" w:ascii="宋体" w:hAnsi="宋体" w:eastAsia="宋体" w:cs="宋体"/>
          <w:b/>
          <w:bCs/>
          <w:spacing w:val="-14"/>
          <w:sz w:val="72"/>
          <w:szCs w:val="72"/>
          <w:lang w:val="en-US" w:eastAsia="zh-CN"/>
        </w:rPr>
        <w:t>议</w:t>
      </w:r>
    </w:p>
    <w:p w14:paraId="1550A88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pacing w:val="-14"/>
          <w:sz w:val="72"/>
          <w:szCs w:val="72"/>
          <w:lang w:val="en-US" w:eastAsia="zh-CN"/>
        </w:rPr>
      </w:pPr>
      <w:r>
        <w:rPr>
          <w:rFonts w:hint="eastAsia" w:ascii="宋体" w:hAnsi="宋体" w:eastAsia="宋体" w:cs="宋体"/>
          <w:b/>
          <w:bCs/>
          <w:spacing w:val="-14"/>
          <w:sz w:val="72"/>
          <w:szCs w:val="72"/>
          <w:lang w:val="en-US" w:eastAsia="zh-CN"/>
        </w:rPr>
        <w:t>书</w:t>
      </w:r>
    </w:p>
    <w:p w14:paraId="6B5617E1">
      <w:pPr>
        <w:jc w:val="both"/>
        <w:rPr>
          <w:rFonts w:hint="eastAsia" w:ascii="宋体" w:hAnsi="宋体" w:eastAsia="宋体" w:cs="宋体"/>
          <w:b/>
          <w:bCs/>
          <w:spacing w:val="-14"/>
          <w:sz w:val="40"/>
          <w:szCs w:val="40"/>
          <w:lang w:val="en-US" w:eastAsia="zh-CN"/>
        </w:rPr>
      </w:pPr>
    </w:p>
    <w:p w14:paraId="41C9FEC5">
      <w:pPr>
        <w:jc w:val="both"/>
        <w:rPr>
          <w:rFonts w:hint="eastAsia" w:ascii="宋体" w:hAnsi="宋体" w:eastAsia="宋体" w:cs="宋体"/>
          <w:b/>
          <w:bCs/>
          <w:spacing w:val="-14"/>
          <w:sz w:val="30"/>
          <w:szCs w:val="30"/>
          <w:lang w:val="en-US" w:eastAsia="zh-CN"/>
        </w:rPr>
      </w:pPr>
    </w:p>
    <w:p w14:paraId="648888F1">
      <w:pPr>
        <w:jc w:val="both"/>
        <w:rPr>
          <w:rFonts w:hint="eastAsia" w:ascii="宋体" w:hAnsi="宋体" w:eastAsia="宋体" w:cs="宋体"/>
          <w:b/>
          <w:bCs/>
          <w:spacing w:val="-14"/>
          <w:sz w:val="30"/>
          <w:szCs w:val="30"/>
          <w:u w:val="single"/>
          <w:lang w:val="en-US" w:eastAsia="zh-CN"/>
        </w:rPr>
      </w:pPr>
      <w:r>
        <w:rPr>
          <w:rFonts w:hint="eastAsia" w:ascii="宋体" w:hAnsi="宋体" w:eastAsia="宋体" w:cs="宋体"/>
          <w:b/>
          <w:bCs/>
          <w:spacing w:val="-14"/>
          <w:sz w:val="30"/>
          <w:szCs w:val="30"/>
          <w:lang w:val="en-US" w:eastAsia="zh-CN"/>
        </w:rPr>
        <w:t>项目编号：</w:t>
      </w:r>
      <w:r>
        <w:rPr>
          <w:rFonts w:hint="eastAsia" w:ascii="宋体" w:hAnsi="宋体" w:eastAsia="宋体" w:cs="宋体"/>
          <w:b/>
          <w:bCs/>
          <w:spacing w:val="-14"/>
          <w:sz w:val="30"/>
          <w:szCs w:val="30"/>
          <w:u w:val="single"/>
          <w:lang w:val="en-US" w:eastAsia="zh-CN"/>
        </w:rPr>
        <w:t xml:space="preserve">                                        </w:t>
      </w:r>
    </w:p>
    <w:p w14:paraId="7ED66F03">
      <w:pPr>
        <w:jc w:val="both"/>
        <w:rPr>
          <w:rFonts w:hint="eastAsia" w:ascii="宋体" w:hAnsi="宋体" w:eastAsia="宋体" w:cs="宋体"/>
          <w:b/>
          <w:bCs/>
          <w:spacing w:val="-14"/>
          <w:sz w:val="30"/>
          <w:szCs w:val="30"/>
          <w:u w:val="single"/>
          <w:lang w:val="en-US" w:eastAsia="zh-CN"/>
        </w:rPr>
      </w:pPr>
    </w:p>
    <w:p w14:paraId="5B3E40D9">
      <w:pPr>
        <w:spacing w:line="360" w:lineRule="auto"/>
        <w:jc w:val="both"/>
        <w:rPr>
          <w:rFonts w:hint="default" w:ascii="宋体" w:hAnsi="宋体" w:eastAsia="宋体" w:cs="宋体"/>
          <w:b/>
          <w:bCs/>
          <w:spacing w:val="-14"/>
          <w:sz w:val="30"/>
          <w:szCs w:val="30"/>
          <w:u w:val="single"/>
          <w:lang w:val="en-US" w:eastAsia="zh-CN"/>
        </w:rPr>
      </w:pPr>
      <w:r>
        <w:rPr>
          <w:rFonts w:hint="eastAsia" w:ascii="宋体" w:hAnsi="宋体" w:eastAsia="宋体" w:cs="宋体"/>
          <w:b/>
          <w:bCs/>
          <w:spacing w:val="-14"/>
          <w:sz w:val="30"/>
          <w:szCs w:val="30"/>
          <w:lang w:val="en-US" w:eastAsia="zh-CN"/>
        </w:rPr>
        <w:t>项目名称：</w:t>
      </w:r>
      <w:r>
        <w:rPr>
          <w:rFonts w:hint="eastAsia" w:ascii="宋体" w:hAnsi="宋体" w:eastAsia="宋体" w:cs="宋体"/>
          <w:b/>
          <w:bCs/>
          <w:spacing w:val="-14"/>
          <w:sz w:val="30"/>
          <w:szCs w:val="30"/>
          <w:u w:val="single"/>
          <w:lang w:val="en-US" w:eastAsia="zh-CN"/>
        </w:rPr>
        <w:t xml:space="preserve">2026年松材线虫病疫木除治绩效承包项目  </w:t>
      </w:r>
    </w:p>
    <w:p w14:paraId="2C7AAA0C">
      <w:pPr>
        <w:jc w:val="both"/>
        <w:rPr>
          <w:rFonts w:hint="eastAsia" w:ascii="宋体" w:hAnsi="宋体" w:eastAsia="宋体" w:cs="宋体"/>
          <w:b/>
          <w:bCs/>
          <w:spacing w:val="-14"/>
          <w:sz w:val="30"/>
          <w:szCs w:val="30"/>
          <w:u w:val="single"/>
          <w:lang w:val="en-US" w:eastAsia="zh-CN"/>
        </w:rPr>
      </w:pPr>
    </w:p>
    <w:p w14:paraId="00597460">
      <w:pPr>
        <w:jc w:val="both"/>
        <w:rPr>
          <w:rFonts w:hint="eastAsia" w:ascii="宋体" w:hAnsi="宋体" w:eastAsia="宋体" w:cs="宋体"/>
          <w:b/>
          <w:bCs/>
          <w:spacing w:val="-14"/>
          <w:sz w:val="40"/>
          <w:szCs w:val="40"/>
          <w:lang w:val="en-US" w:eastAsia="zh-CN"/>
        </w:rPr>
      </w:pPr>
      <w:r>
        <w:rPr>
          <w:rFonts w:hint="eastAsia" w:ascii="宋体" w:hAnsi="宋体" w:eastAsia="宋体" w:cs="宋体"/>
          <w:b/>
          <w:bCs/>
          <w:spacing w:val="-14"/>
          <w:sz w:val="30"/>
          <w:szCs w:val="30"/>
          <w:u w:val="none"/>
          <w:lang w:val="en-US" w:eastAsia="zh-CN"/>
        </w:rPr>
        <w:t>签订日期：</w:t>
      </w:r>
      <w:r>
        <w:rPr>
          <w:rFonts w:hint="eastAsia" w:ascii="宋体" w:hAnsi="宋体" w:eastAsia="宋体" w:cs="宋体"/>
          <w:b/>
          <w:bCs/>
          <w:spacing w:val="-14"/>
          <w:sz w:val="30"/>
          <w:szCs w:val="30"/>
          <w:u w:val="single"/>
          <w:lang w:val="en-US" w:eastAsia="zh-CN"/>
        </w:rPr>
        <w:t xml:space="preserve">   2026年  月  日                     </w:t>
      </w:r>
    </w:p>
    <w:p w14:paraId="6BF229C7">
      <w:pPr>
        <w:pStyle w:val="2"/>
        <w:spacing w:before="69" w:line="219" w:lineRule="auto"/>
        <w:jc w:val="center"/>
        <w:outlineLvl w:val="0"/>
        <w:rPr>
          <w:rFonts w:hint="eastAsia" w:cs="宋体"/>
          <w:b/>
          <w:bCs/>
          <w:spacing w:val="-14"/>
          <w:sz w:val="44"/>
          <w:szCs w:val="44"/>
          <w:lang w:eastAsia="zh-CN"/>
        </w:rPr>
      </w:pPr>
    </w:p>
    <w:p w14:paraId="523BB35A">
      <w:pPr>
        <w:pStyle w:val="2"/>
        <w:spacing w:before="69" w:line="219" w:lineRule="auto"/>
        <w:jc w:val="center"/>
        <w:outlineLvl w:val="0"/>
        <w:rPr>
          <w:rFonts w:hint="eastAsia" w:cs="宋体"/>
          <w:b/>
          <w:bCs/>
          <w:spacing w:val="-14"/>
          <w:sz w:val="44"/>
          <w:szCs w:val="44"/>
          <w:lang w:eastAsia="zh-CN"/>
        </w:rPr>
        <w:sectPr>
          <w:pgSz w:w="12161" w:h="17008"/>
          <w:pgMar w:top="1440" w:right="1803" w:bottom="1440" w:left="1803" w:header="0" w:footer="737" w:gutter="0"/>
          <w:pgBorders>
            <w:top w:val="none" w:sz="0" w:space="0"/>
            <w:left w:val="none" w:sz="0" w:space="0"/>
            <w:bottom w:val="none" w:sz="0" w:space="0"/>
            <w:right w:val="none" w:sz="0" w:space="0"/>
          </w:pgBorders>
          <w:cols w:space="0" w:num="1"/>
          <w:rtlGutter w:val="0"/>
          <w:docGrid w:linePitch="0" w:charSpace="0"/>
        </w:sectPr>
      </w:pPr>
    </w:p>
    <w:p w14:paraId="22DF1519">
      <w:pPr>
        <w:pStyle w:val="2"/>
        <w:spacing w:before="69" w:line="219" w:lineRule="auto"/>
        <w:jc w:val="center"/>
        <w:outlineLvl w:val="0"/>
        <w:rPr>
          <w:rFonts w:hint="eastAsia" w:ascii="宋体" w:hAnsi="宋体" w:eastAsia="宋体" w:cs="宋体"/>
          <w:sz w:val="44"/>
          <w:szCs w:val="44"/>
        </w:rPr>
      </w:pPr>
      <w:r>
        <w:rPr>
          <w:rFonts w:hint="eastAsia" w:cs="宋体"/>
          <w:b/>
          <w:bCs/>
          <w:spacing w:val="-14"/>
          <w:sz w:val="44"/>
          <w:szCs w:val="44"/>
          <w:lang w:eastAsia="zh-CN"/>
        </w:rPr>
        <w:t>政府采购</w:t>
      </w:r>
      <w:r>
        <w:rPr>
          <w:rFonts w:hint="eastAsia" w:ascii="宋体" w:hAnsi="宋体" w:eastAsia="宋体" w:cs="宋体"/>
          <w:b/>
          <w:bCs/>
          <w:spacing w:val="-14"/>
          <w:sz w:val="44"/>
          <w:szCs w:val="44"/>
        </w:rPr>
        <w:t>代理协议书</w:t>
      </w:r>
    </w:p>
    <w:p w14:paraId="6BF41B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hint="eastAsia" w:ascii="宋体" w:hAnsi="宋体" w:eastAsia="宋体" w:cs="宋体"/>
          <w:sz w:val="28"/>
          <w:szCs w:val="28"/>
        </w:rPr>
      </w:pPr>
    </w:p>
    <w:p w14:paraId="6D7DCDE7">
      <w:pPr>
        <w:jc w:val="both"/>
        <w:rPr>
          <w:rFonts w:hint="default" w:ascii="宋体" w:hAnsi="宋体" w:eastAsia="宋体" w:cs="宋体"/>
          <w:snapToGrid w:val="0"/>
          <w:color w:val="000000"/>
          <w:spacing w:val="6"/>
          <w:kern w:val="0"/>
          <w:sz w:val="28"/>
          <w:szCs w:val="28"/>
          <w:u w:val="single" w:color="auto"/>
          <w:lang w:val="en-US" w:eastAsia="zh-CN" w:bidi="ar-SA"/>
        </w:rPr>
      </w:pPr>
      <w:r>
        <w:rPr>
          <w:rFonts w:hint="eastAsia" w:ascii="宋体" w:hAnsi="宋体" w:eastAsia="宋体" w:cs="宋体"/>
          <w:b/>
          <w:bCs/>
          <w:spacing w:val="-23"/>
          <w:position w:val="-1"/>
          <w:sz w:val="28"/>
          <w:szCs w:val="28"/>
        </w:rPr>
        <w:t>委</w:t>
      </w:r>
      <w:r>
        <w:rPr>
          <w:rFonts w:hint="eastAsia" w:ascii="宋体" w:hAnsi="宋体" w:eastAsia="宋体" w:cs="宋体"/>
          <w:spacing w:val="-52"/>
          <w:position w:val="-1"/>
          <w:sz w:val="28"/>
          <w:szCs w:val="28"/>
        </w:rPr>
        <w:t xml:space="preserve"> </w:t>
      </w:r>
      <w:r>
        <w:rPr>
          <w:rFonts w:hint="eastAsia" w:ascii="宋体" w:hAnsi="宋体" w:eastAsia="宋体" w:cs="宋体"/>
          <w:b/>
          <w:bCs/>
          <w:spacing w:val="-23"/>
          <w:position w:val="-1"/>
          <w:sz w:val="28"/>
          <w:szCs w:val="28"/>
        </w:rPr>
        <w:t>托</w:t>
      </w:r>
      <w:r>
        <w:rPr>
          <w:rFonts w:hint="eastAsia" w:ascii="宋体" w:hAnsi="宋体" w:eastAsia="宋体" w:cs="宋体"/>
          <w:spacing w:val="-50"/>
          <w:position w:val="-1"/>
          <w:sz w:val="28"/>
          <w:szCs w:val="28"/>
        </w:rPr>
        <w:t xml:space="preserve"> </w:t>
      </w:r>
      <w:r>
        <w:rPr>
          <w:rFonts w:hint="eastAsia" w:ascii="宋体" w:hAnsi="宋体" w:eastAsia="宋体" w:cs="宋体"/>
          <w:b/>
          <w:bCs/>
          <w:spacing w:val="-23"/>
          <w:position w:val="-1"/>
          <w:sz w:val="28"/>
          <w:szCs w:val="28"/>
        </w:rPr>
        <w:t>单</w:t>
      </w:r>
      <w:r>
        <w:rPr>
          <w:rFonts w:hint="eastAsia" w:ascii="宋体" w:hAnsi="宋体" w:eastAsia="宋体" w:cs="宋体"/>
          <w:spacing w:val="-51"/>
          <w:position w:val="-1"/>
          <w:sz w:val="28"/>
          <w:szCs w:val="28"/>
        </w:rPr>
        <w:t xml:space="preserve"> </w:t>
      </w:r>
      <w:r>
        <w:rPr>
          <w:rFonts w:hint="eastAsia" w:ascii="宋体" w:hAnsi="宋体" w:eastAsia="宋体" w:cs="宋体"/>
          <w:b/>
          <w:bCs/>
          <w:spacing w:val="-23"/>
          <w:position w:val="-1"/>
          <w:sz w:val="28"/>
          <w:szCs w:val="28"/>
        </w:rPr>
        <w:t>位</w:t>
      </w:r>
      <w:r>
        <w:rPr>
          <w:rFonts w:hint="eastAsia" w:ascii="宋体" w:hAnsi="宋体" w:eastAsia="宋体" w:cs="宋体"/>
          <w:spacing w:val="-62"/>
          <w:position w:val="-1"/>
          <w:sz w:val="28"/>
          <w:szCs w:val="28"/>
        </w:rPr>
        <w:t xml:space="preserve"> </w:t>
      </w:r>
      <w:r>
        <w:rPr>
          <w:rFonts w:hint="eastAsia" w:ascii="宋体" w:hAnsi="宋体" w:eastAsia="宋体" w:cs="宋体"/>
          <w:b/>
          <w:bCs/>
          <w:spacing w:val="-23"/>
          <w:position w:val="-1"/>
          <w:sz w:val="28"/>
          <w:szCs w:val="28"/>
        </w:rPr>
        <w:t>：</w:t>
      </w:r>
      <w:r>
        <w:rPr>
          <w:rFonts w:hint="eastAsia" w:ascii="宋体" w:hAnsi="宋体" w:eastAsia="宋体" w:cs="宋体"/>
          <w:b w:val="0"/>
          <w:bCs w:val="0"/>
          <w:spacing w:val="-23"/>
          <w:position w:val="-1"/>
          <w:sz w:val="28"/>
          <w:szCs w:val="28"/>
          <w:u w:val="single"/>
          <w:lang w:val="en-US" w:eastAsia="zh-CN"/>
        </w:rPr>
        <w:t>洋县森林病虫防治检疫站</w:t>
      </w:r>
      <w:r>
        <w:rPr>
          <w:rFonts w:hint="eastAsia" w:ascii="宋体" w:hAnsi="宋体" w:eastAsia="宋体" w:cs="宋体"/>
          <w:snapToGrid w:val="0"/>
          <w:color w:val="000000"/>
          <w:spacing w:val="6"/>
          <w:kern w:val="0"/>
          <w:sz w:val="28"/>
          <w:szCs w:val="28"/>
          <w:u w:val="single" w:color="auto"/>
          <w:lang w:val="en-US" w:eastAsia="zh-CN" w:bidi="ar-SA"/>
        </w:rPr>
        <w:t xml:space="preserve"> </w:t>
      </w:r>
    </w:p>
    <w:p w14:paraId="51628972">
      <w:pPr>
        <w:pStyle w:val="2"/>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8"/>
          <w:szCs w:val="28"/>
        </w:rPr>
      </w:pPr>
      <w:r>
        <w:rPr>
          <w:rFonts w:hint="eastAsia" w:ascii="宋体" w:hAnsi="宋体" w:eastAsia="宋体" w:cs="宋体"/>
          <w:b/>
          <w:bCs/>
          <w:spacing w:val="-23"/>
          <w:sz w:val="28"/>
          <w:szCs w:val="28"/>
        </w:rPr>
        <w:t>受</w:t>
      </w:r>
      <w:r>
        <w:rPr>
          <w:rFonts w:hint="eastAsia" w:ascii="宋体" w:hAnsi="宋体" w:eastAsia="宋体" w:cs="宋体"/>
          <w:spacing w:val="-42"/>
          <w:sz w:val="28"/>
          <w:szCs w:val="28"/>
        </w:rPr>
        <w:t xml:space="preserve"> </w:t>
      </w:r>
      <w:r>
        <w:rPr>
          <w:rFonts w:hint="eastAsia" w:ascii="宋体" w:hAnsi="宋体" w:eastAsia="宋体" w:cs="宋体"/>
          <w:b/>
          <w:bCs/>
          <w:spacing w:val="-23"/>
          <w:sz w:val="28"/>
          <w:szCs w:val="28"/>
        </w:rPr>
        <w:t>托</w:t>
      </w:r>
      <w:r>
        <w:rPr>
          <w:rFonts w:hint="eastAsia" w:ascii="宋体" w:hAnsi="宋体" w:eastAsia="宋体" w:cs="宋体"/>
          <w:spacing w:val="-51"/>
          <w:sz w:val="28"/>
          <w:szCs w:val="28"/>
        </w:rPr>
        <w:t xml:space="preserve"> </w:t>
      </w:r>
      <w:r>
        <w:rPr>
          <w:rFonts w:hint="eastAsia" w:ascii="宋体" w:hAnsi="宋体" w:eastAsia="宋体" w:cs="宋体"/>
          <w:b/>
          <w:bCs/>
          <w:spacing w:val="-23"/>
          <w:sz w:val="28"/>
          <w:szCs w:val="28"/>
        </w:rPr>
        <w:t>单</w:t>
      </w:r>
      <w:r>
        <w:rPr>
          <w:rFonts w:hint="eastAsia" w:ascii="宋体" w:hAnsi="宋体" w:eastAsia="宋体" w:cs="宋体"/>
          <w:spacing w:val="-52"/>
          <w:sz w:val="28"/>
          <w:szCs w:val="28"/>
        </w:rPr>
        <w:t xml:space="preserve"> </w:t>
      </w:r>
      <w:r>
        <w:rPr>
          <w:rFonts w:hint="eastAsia" w:ascii="宋体" w:hAnsi="宋体" w:eastAsia="宋体" w:cs="宋体"/>
          <w:b/>
          <w:bCs/>
          <w:spacing w:val="-23"/>
          <w:sz w:val="28"/>
          <w:szCs w:val="28"/>
        </w:rPr>
        <w:t>位</w:t>
      </w:r>
      <w:r>
        <w:rPr>
          <w:rFonts w:hint="eastAsia" w:ascii="宋体" w:hAnsi="宋体" w:eastAsia="宋体" w:cs="宋体"/>
          <w:spacing w:val="-63"/>
          <w:sz w:val="28"/>
          <w:szCs w:val="28"/>
        </w:rPr>
        <w:t xml:space="preserve"> </w:t>
      </w:r>
      <w:r>
        <w:rPr>
          <w:rFonts w:hint="eastAsia" w:ascii="宋体" w:hAnsi="宋体" w:eastAsia="宋体" w:cs="宋体"/>
          <w:b/>
          <w:bCs/>
          <w:spacing w:val="-23"/>
          <w:sz w:val="28"/>
          <w:szCs w:val="28"/>
        </w:rPr>
        <w:t>：</w:t>
      </w:r>
      <w:r>
        <w:rPr>
          <w:rFonts w:hint="eastAsia" w:ascii="宋体" w:hAnsi="宋体" w:eastAsia="宋体" w:cs="宋体"/>
          <w:spacing w:val="6"/>
          <w:sz w:val="28"/>
          <w:szCs w:val="28"/>
          <w:u w:val="single" w:color="auto"/>
        </w:rPr>
        <w:t>陕西顺创项目管理有限公司</w:t>
      </w:r>
      <w:r>
        <w:rPr>
          <w:rFonts w:hint="eastAsia" w:ascii="宋体" w:hAnsi="宋体" w:eastAsia="宋体" w:cs="宋体"/>
          <w:sz w:val="28"/>
          <w:szCs w:val="28"/>
        </w:rPr>
        <w:t xml:space="preserve">       </w:t>
      </w:r>
    </w:p>
    <w:p w14:paraId="1CB7C0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宋体" w:hAnsi="宋体" w:eastAsia="宋体" w:cs="宋体"/>
          <w:sz w:val="28"/>
          <w:szCs w:val="28"/>
        </w:rPr>
      </w:pPr>
      <w:r>
        <w:rPr>
          <w:rFonts w:hint="eastAsia" w:ascii="宋体" w:hAnsi="宋体" w:eastAsia="宋体" w:cs="宋体"/>
          <w:sz w:val="28"/>
          <w:szCs w:val="28"/>
        </w:rPr>
        <w:t>鉴于：</w:t>
      </w:r>
    </w:p>
    <w:p w14:paraId="582F7D5B">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 </w:t>
      </w:r>
      <w:r>
        <w:rPr>
          <w:rFonts w:hint="eastAsia" w:ascii="宋体" w:hAnsi="宋体" w:eastAsia="宋体" w:cs="宋体"/>
          <w:sz w:val="28"/>
          <w:szCs w:val="28"/>
          <w:lang w:eastAsia="zh-CN"/>
        </w:rPr>
        <w:t>委托单位</w:t>
      </w:r>
      <w:r>
        <w:rPr>
          <w:rFonts w:hint="eastAsia" w:ascii="宋体" w:hAnsi="宋体" w:eastAsia="宋体" w:cs="宋体"/>
          <w:sz w:val="28"/>
          <w:szCs w:val="28"/>
        </w:rPr>
        <w:t>拟进行政府采购项目的招标工作，需要委托</w:t>
      </w:r>
      <w:r>
        <w:rPr>
          <w:rFonts w:hint="eastAsia" w:ascii="宋体" w:hAnsi="宋体" w:eastAsia="宋体" w:cs="宋体"/>
          <w:sz w:val="28"/>
          <w:szCs w:val="28"/>
          <w:lang w:eastAsia="zh-CN"/>
        </w:rPr>
        <w:t xml:space="preserve">受托单位 </w:t>
      </w:r>
      <w:r>
        <w:rPr>
          <w:rFonts w:hint="eastAsia" w:ascii="宋体" w:hAnsi="宋体" w:eastAsia="宋体" w:cs="宋体"/>
          <w:sz w:val="28"/>
          <w:szCs w:val="28"/>
        </w:rPr>
        <w:t>作为其招标代理；</w:t>
      </w:r>
    </w:p>
    <w:p w14:paraId="3D0F482F">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2. </w:t>
      </w:r>
      <w:r>
        <w:rPr>
          <w:rFonts w:hint="eastAsia" w:ascii="宋体" w:hAnsi="宋体" w:eastAsia="宋体" w:cs="宋体"/>
          <w:sz w:val="28"/>
          <w:szCs w:val="28"/>
          <w:lang w:eastAsia="zh-CN"/>
        </w:rPr>
        <w:t>受托单位</w:t>
      </w:r>
      <w:r>
        <w:rPr>
          <w:rFonts w:hint="eastAsia" w:ascii="宋体" w:hAnsi="宋体" w:eastAsia="宋体" w:cs="宋体"/>
          <w:sz w:val="28"/>
          <w:szCs w:val="28"/>
        </w:rPr>
        <w:t>具备开展政府采购招标代理工作所需的资质和能力；</w:t>
      </w:r>
    </w:p>
    <w:p w14:paraId="7ED8A46E">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 双方经友好协商，达成一致意见，现签订本合同。</w:t>
      </w:r>
    </w:p>
    <w:p w14:paraId="7678736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根据《中华人民共和国民法典》、《中华人民共和国政府采购法》及相关法律法规的规定，甲乙双方本着平等互利的原则，经友好协商，达成如下合同：</w:t>
      </w:r>
    </w:p>
    <w:p w14:paraId="1BAE380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default" w:ascii="宋体" w:hAnsi="宋体" w:eastAsia="宋体" w:cs="宋体"/>
          <w:sz w:val="28"/>
          <w:szCs w:val="28"/>
          <w:u w:val="single"/>
          <w:lang w:val="en-US" w:eastAsia="zh-CN"/>
        </w:rPr>
      </w:pPr>
      <w:r>
        <w:rPr>
          <w:rFonts w:hint="eastAsia" w:ascii="宋体" w:hAnsi="宋体" w:eastAsia="宋体" w:cs="宋体"/>
          <w:sz w:val="28"/>
          <w:szCs w:val="28"/>
        </w:rPr>
        <w:t>项目名称：</w:t>
      </w:r>
      <w:r>
        <w:rPr>
          <w:rFonts w:hint="eastAsia" w:ascii="宋体" w:hAnsi="宋体" w:eastAsia="宋体" w:cs="宋体"/>
          <w:sz w:val="28"/>
          <w:szCs w:val="28"/>
          <w:u w:val="single"/>
          <w:lang w:val="en-US" w:eastAsia="zh-CN"/>
        </w:rPr>
        <w:t xml:space="preserve">2026年松材线虫病疫木除治绩效承包项目                                 </w:t>
      </w:r>
    </w:p>
    <w:p w14:paraId="770B8D9D">
      <w:pPr>
        <w:keepNext w:val="0"/>
        <w:keepLines w:val="0"/>
        <w:pageBreakBefore w:val="0"/>
        <w:widowControl/>
        <w:kinsoku w:val="0"/>
        <w:wordWrap/>
        <w:overflowPunct/>
        <w:topLinePunct w:val="0"/>
        <w:autoSpaceDE w:val="0"/>
        <w:autoSpaceDN w:val="0"/>
        <w:bidi w:val="0"/>
        <w:adjustRightInd w:val="0"/>
        <w:snapToGrid w:val="0"/>
        <w:spacing w:line="500" w:lineRule="exact"/>
        <w:ind w:left="1959" w:leftChars="266" w:hanging="1400" w:hangingChars="500"/>
        <w:textAlignment w:val="baseline"/>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项目</w:t>
      </w:r>
      <w:r>
        <w:rPr>
          <w:rFonts w:hint="eastAsia" w:ascii="宋体" w:hAnsi="宋体" w:eastAsia="宋体" w:cs="宋体"/>
          <w:sz w:val="28"/>
          <w:szCs w:val="28"/>
        </w:rPr>
        <w:t>规模：</w:t>
      </w:r>
      <w:r>
        <w:rPr>
          <w:rFonts w:hint="eastAsia" w:ascii="宋体" w:hAnsi="宋体" w:eastAsia="宋体" w:cs="宋体"/>
          <w:sz w:val="28"/>
          <w:szCs w:val="28"/>
          <w:u w:val="single"/>
        </w:rPr>
        <w:t>伐除病株伐桩低于5厘米，伐桩上放2-3粒磷化铝，用0.1毫米以上厚塑料薄膜包扎，四周围土压实，伐除的病株彻底焚烧(包括直径1.0厘米以上的枝条)。</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 xml:space="preserve">        </w:t>
      </w:r>
    </w:p>
    <w:p w14:paraId="087CFA0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lang w:eastAsia="zh-CN"/>
        </w:rPr>
        <w:t>政府采购</w:t>
      </w:r>
      <w:r>
        <w:rPr>
          <w:rFonts w:hint="eastAsia" w:ascii="宋体" w:hAnsi="宋体" w:eastAsia="宋体" w:cs="宋体"/>
          <w:sz w:val="28"/>
          <w:szCs w:val="28"/>
        </w:rPr>
        <w:t>方式：</w:t>
      </w:r>
      <w:r>
        <w:rPr>
          <w:rFonts w:hint="eastAsia" w:ascii="宋体" w:hAnsi="宋体" w:eastAsia="宋体" w:cs="宋体"/>
          <w:sz w:val="28"/>
          <w:szCs w:val="28"/>
          <w:u w:val="single"/>
          <w:lang w:val="en-US" w:eastAsia="zh-CN"/>
        </w:rPr>
        <w:t xml:space="preserve"> 公开招标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p w14:paraId="590E4A0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lang w:val="en-US" w:eastAsia="zh-CN"/>
        </w:rPr>
        <w:t>预算金额</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456.00万元                                           </w:t>
      </w:r>
    </w:p>
    <w:p w14:paraId="31BD4F7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第一条服务内容</w:t>
      </w:r>
    </w:p>
    <w:p w14:paraId="745B0A3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1.1 </w:t>
      </w:r>
      <w:r>
        <w:rPr>
          <w:rFonts w:hint="eastAsia" w:ascii="宋体" w:hAnsi="宋体" w:eastAsia="宋体" w:cs="宋体"/>
          <w:sz w:val="28"/>
          <w:szCs w:val="28"/>
          <w:lang w:eastAsia="zh-CN"/>
        </w:rPr>
        <w:t>委托单位</w:t>
      </w:r>
      <w:r>
        <w:rPr>
          <w:rFonts w:hint="eastAsia" w:ascii="宋体" w:hAnsi="宋体" w:eastAsia="宋体" w:cs="宋体"/>
          <w:sz w:val="28"/>
          <w:szCs w:val="28"/>
        </w:rPr>
        <w:t>委托</w:t>
      </w:r>
      <w:r>
        <w:rPr>
          <w:rFonts w:hint="eastAsia" w:ascii="宋体" w:hAnsi="宋体" w:eastAsia="宋体" w:cs="宋体"/>
          <w:sz w:val="28"/>
          <w:szCs w:val="28"/>
          <w:lang w:eastAsia="zh-CN"/>
        </w:rPr>
        <w:t>受托单位</w:t>
      </w:r>
      <w:r>
        <w:rPr>
          <w:rFonts w:hint="eastAsia" w:ascii="宋体" w:hAnsi="宋体" w:eastAsia="宋体" w:cs="宋体"/>
          <w:sz w:val="28"/>
          <w:szCs w:val="28"/>
        </w:rPr>
        <w:t>作为其政府采购招标代理，负责招标文件的编制、发布、</w:t>
      </w:r>
      <w:r>
        <w:rPr>
          <w:rFonts w:hint="eastAsia" w:ascii="宋体" w:hAnsi="宋体" w:eastAsia="宋体" w:cs="宋体"/>
          <w:sz w:val="28"/>
          <w:szCs w:val="28"/>
          <w:lang w:val="en-US" w:eastAsia="zh-CN"/>
        </w:rPr>
        <w:t>领取、</w:t>
      </w:r>
      <w:r>
        <w:rPr>
          <w:rFonts w:hint="eastAsia" w:ascii="宋体" w:hAnsi="宋体" w:eastAsia="宋体" w:cs="宋体"/>
          <w:sz w:val="28"/>
          <w:szCs w:val="28"/>
        </w:rPr>
        <w:t>答疑等工作，并协助</w:t>
      </w:r>
      <w:r>
        <w:rPr>
          <w:rFonts w:hint="eastAsia" w:ascii="宋体" w:hAnsi="宋体" w:eastAsia="宋体" w:cs="宋体"/>
          <w:sz w:val="28"/>
          <w:szCs w:val="28"/>
          <w:lang w:eastAsia="zh-CN"/>
        </w:rPr>
        <w:t>委托单位</w:t>
      </w:r>
      <w:r>
        <w:rPr>
          <w:rFonts w:hint="eastAsia" w:ascii="宋体" w:hAnsi="宋体" w:eastAsia="宋体" w:cs="宋体"/>
          <w:sz w:val="28"/>
          <w:szCs w:val="28"/>
        </w:rPr>
        <w:t>进行招标活动的组织、实施和监督。</w:t>
      </w:r>
    </w:p>
    <w:p w14:paraId="1E766F3C">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1.2 </w:t>
      </w:r>
      <w:r>
        <w:rPr>
          <w:rFonts w:hint="eastAsia" w:ascii="宋体" w:hAnsi="宋体" w:eastAsia="宋体" w:cs="宋体"/>
          <w:sz w:val="28"/>
          <w:szCs w:val="28"/>
          <w:lang w:eastAsia="zh-CN"/>
        </w:rPr>
        <w:t>受托单位</w:t>
      </w:r>
      <w:r>
        <w:rPr>
          <w:rFonts w:hint="eastAsia" w:ascii="宋体" w:hAnsi="宋体" w:eastAsia="宋体" w:cs="宋体"/>
          <w:sz w:val="28"/>
          <w:szCs w:val="28"/>
        </w:rPr>
        <w:t>应按照有关法律法规和</w:t>
      </w:r>
      <w:r>
        <w:rPr>
          <w:rFonts w:hint="eastAsia" w:ascii="宋体" w:hAnsi="宋体" w:eastAsia="宋体" w:cs="宋体"/>
          <w:sz w:val="28"/>
          <w:szCs w:val="28"/>
          <w:lang w:eastAsia="zh-CN"/>
        </w:rPr>
        <w:t>委托单位</w:t>
      </w:r>
      <w:r>
        <w:rPr>
          <w:rFonts w:hint="eastAsia" w:ascii="宋体" w:hAnsi="宋体" w:eastAsia="宋体" w:cs="宋体"/>
          <w:sz w:val="28"/>
          <w:szCs w:val="28"/>
        </w:rPr>
        <w:t>的要求，对招标文件进行审核、修改，并确保其合法、合规、完整、准确。</w:t>
      </w:r>
    </w:p>
    <w:p w14:paraId="6CB0A9F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1.3 </w:t>
      </w:r>
      <w:r>
        <w:rPr>
          <w:rFonts w:hint="eastAsia" w:ascii="宋体" w:hAnsi="宋体" w:eastAsia="宋体" w:cs="宋体"/>
          <w:sz w:val="28"/>
          <w:szCs w:val="28"/>
          <w:lang w:eastAsia="zh-CN"/>
        </w:rPr>
        <w:t>受托单位</w:t>
      </w:r>
      <w:r>
        <w:rPr>
          <w:rFonts w:hint="eastAsia" w:ascii="宋体" w:hAnsi="宋体" w:eastAsia="宋体" w:cs="宋体"/>
          <w:sz w:val="28"/>
          <w:szCs w:val="28"/>
        </w:rPr>
        <w:t>应根据</w:t>
      </w:r>
      <w:r>
        <w:rPr>
          <w:rFonts w:hint="eastAsia" w:ascii="宋体" w:hAnsi="宋体" w:eastAsia="宋体" w:cs="宋体"/>
          <w:sz w:val="28"/>
          <w:szCs w:val="28"/>
          <w:lang w:eastAsia="zh-CN"/>
        </w:rPr>
        <w:t>委托单位</w:t>
      </w:r>
      <w:r>
        <w:rPr>
          <w:rFonts w:hint="eastAsia" w:ascii="宋体" w:hAnsi="宋体" w:eastAsia="宋体" w:cs="宋体"/>
          <w:sz w:val="28"/>
          <w:szCs w:val="28"/>
        </w:rPr>
        <w:t>的要求，协助</w:t>
      </w:r>
      <w:r>
        <w:rPr>
          <w:rFonts w:hint="eastAsia" w:ascii="宋体" w:hAnsi="宋体" w:eastAsia="宋体" w:cs="宋体"/>
          <w:sz w:val="28"/>
          <w:szCs w:val="28"/>
          <w:lang w:eastAsia="zh-CN"/>
        </w:rPr>
        <w:t>委托单位</w:t>
      </w:r>
      <w:r>
        <w:rPr>
          <w:rFonts w:hint="eastAsia" w:ascii="宋体" w:hAnsi="宋体" w:eastAsia="宋体" w:cs="宋体"/>
          <w:sz w:val="28"/>
          <w:szCs w:val="28"/>
        </w:rPr>
        <w:t>进行招标公告的发布工作，并组织答疑会议、现场勘察等活动。</w:t>
      </w:r>
    </w:p>
    <w:p w14:paraId="31F427E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1.4 </w:t>
      </w:r>
      <w:r>
        <w:rPr>
          <w:rFonts w:hint="eastAsia" w:ascii="宋体" w:hAnsi="宋体" w:eastAsia="宋体" w:cs="宋体"/>
          <w:sz w:val="28"/>
          <w:szCs w:val="28"/>
          <w:lang w:eastAsia="zh-CN"/>
        </w:rPr>
        <w:t>受托单位</w:t>
      </w:r>
      <w:r>
        <w:rPr>
          <w:rFonts w:hint="eastAsia" w:ascii="宋体" w:hAnsi="宋体" w:eastAsia="宋体" w:cs="宋体"/>
          <w:sz w:val="28"/>
          <w:szCs w:val="28"/>
        </w:rPr>
        <w:t>应组织并主持开标、评标、定标等环节的工作，并制作相关的评标报告和中标通知书。</w:t>
      </w:r>
    </w:p>
    <w:p w14:paraId="39DB7900">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1.5 </w:t>
      </w:r>
      <w:r>
        <w:rPr>
          <w:rFonts w:hint="eastAsia" w:ascii="宋体" w:hAnsi="宋体" w:eastAsia="宋体" w:cs="宋体"/>
          <w:sz w:val="28"/>
          <w:szCs w:val="28"/>
          <w:lang w:eastAsia="zh-CN"/>
        </w:rPr>
        <w:t>受托单位</w:t>
      </w:r>
      <w:r>
        <w:rPr>
          <w:rFonts w:hint="eastAsia" w:ascii="宋体" w:hAnsi="宋体" w:eastAsia="宋体" w:cs="宋体"/>
          <w:sz w:val="28"/>
          <w:szCs w:val="28"/>
        </w:rPr>
        <w:t>应协助</w:t>
      </w:r>
      <w:r>
        <w:rPr>
          <w:rFonts w:hint="eastAsia" w:ascii="宋体" w:hAnsi="宋体" w:eastAsia="宋体" w:cs="宋体"/>
          <w:sz w:val="28"/>
          <w:szCs w:val="28"/>
          <w:lang w:eastAsia="zh-CN"/>
        </w:rPr>
        <w:t>委托单位</w:t>
      </w:r>
      <w:r>
        <w:rPr>
          <w:rFonts w:hint="eastAsia" w:ascii="宋体" w:hAnsi="宋体" w:eastAsia="宋体" w:cs="宋体"/>
          <w:sz w:val="28"/>
          <w:szCs w:val="28"/>
        </w:rPr>
        <w:t>进行合同的签订和履行监督，确保中标供应商按照合同要求履行合同义务。</w:t>
      </w:r>
    </w:p>
    <w:p w14:paraId="2BD237C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第二条服务期限</w:t>
      </w:r>
    </w:p>
    <w:p w14:paraId="4F43003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2.1 本合同的服务期限为自合同生效之日起至政府采购项目全部完成之日止。</w:t>
      </w:r>
    </w:p>
    <w:p w14:paraId="7067892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2.2 如因</w:t>
      </w:r>
      <w:r>
        <w:rPr>
          <w:rFonts w:hint="eastAsia" w:ascii="宋体" w:hAnsi="宋体" w:eastAsia="宋体" w:cs="宋体"/>
          <w:sz w:val="28"/>
          <w:szCs w:val="28"/>
          <w:lang w:eastAsia="zh-CN"/>
        </w:rPr>
        <w:t>委托单位</w:t>
      </w:r>
      <w:r>
        <w:rPr>
          <w:rFonts w:hint="eastAsia" w:ascii="宋体" w:hAnsi="宋体" w:eastAsia="宋体" w:cs="宋体"/>
          <w:sz w:val="28"/>
          <w:szCs w:val="28"/>
        </w:rPr>
        <w:t>原因导致政府采购项目无法进行或终止，</w:t>
      </w:r>
      <w:r>
        <w:rPr>
          <w:rFonts w:hint="eastAsia" w:ascii="宋体" w:hAnsi="宋体" w:eastAsia="宋体" w:cs="宋体"/>
          <w:sz w:val="28"/>
          <w:szCs w:val="28"/>
          <w:lang w:eastAsia="zh-CN"/>
        </w:rPr>
        <w:t>委托单位</w:t>
      </w:r>
      <w:r>
        <w:rPr>
          <w:rFonts w:hint="eastAsia" w:ascii="宋体" w:hAnsi="宋体" w:eastAsia="宋体" w:cs="宋体"/>
          <w:sz w:val="28"/>
          <w:szCs w:val="28"/>
        </w:rPr>
        <w:t>应提前书面通知</w:t>
      </w:r>
      <w:r>
        <w:rPr>
          <w:rFonts w:hint="eastAsia" w:ascii="宋体" w:hAnsi="宋体" w:eastAsia="宋体" w:cs="宋体"/>
          <w:sz w:val="28"/>
          <w:szCs w:val="28"/>
          <w:lang w:eastAsia="zh-CN"/>
        </w:rPr>
        <w:t xml:space="preserve">受托单位 </w:t>
      </w:r>
      <w:r>
        <w:rPr>
          <w:rFonts w:hint="eastAsia" w:ascii="宋体" w:hAnsi="宋体" w:eastAsia="宋体" w:cs="宋体"/>
          <w:sz w:val="28"/>
          <w:szCs w:val="28"/>
        </w:rPr>
        <w:t>，并支付已经完成的工作费用。</w:t>
      </w:r>
    </w:p>
    <w:p w14:paraId="338E2DF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第三条服务费用</w:t>
      </w:r>
    </w:p>
    <w:p w14:paraId="61AEEC6C">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3.1 </w:t>
      </w:r>
      <w:r>
        <w:rPr>
          <w:rFonts w:hint="eastAsia" w:ascii="宋体" w:hAnsi="宋体" w:eastAsia="宋体" w:cs="宋体"/>
          <w:sz w:val="28"/>
          <w:szCs w:val="28"/>
          <w:u w:val="single"/>
          <w:lang w:val="en-US" w:eastAsia="zh-CN"/>
        </w:rPr>
        <w:t xml:space="preserve"> 中标（成交）供应商</w:t>
      </w:r>
      <w:r>
        <w:rPr>
          <w:rFonts w:hint="eastAsia" w:ascii="宋体" w:hAnsi="宋体" w:eastAsia="宋体" w:cs="宋体"/>
          <w:sz w:val="28"/>
          <w:szCs w:val="28"/>
        </w:rPr>
        <w:t>支付的服务费用根据《国家发展改革委关于进一步放开建设项目专业服务价格的通知》（发改价格【2015】299号）文的取费政策。</w:t>
      </w:r>
    </w:p>
    <w:p w14:paraId="3005D460">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3.2 服务费用的支付方式为：</w:t>
      </w:r>
      <w:r>
        <w:rPr>
          <w:rFonts w:hint="eastAsia" w:ascii="宋体" w:hAnsi="宋体" w:eastAsia="宋体" w:cs="宋体"/>
          <w:sz w:val="28"/>
          <w:szCs w:val="28"/>
          <w:lang w:val="en-US" w:eastAsia="zh-CN"/>
        </w:rPr>
        <w:t>转账</w:t>
      </w:r>
      <w:r>
        <w:rPr>
          <w:rFonts w:hint="eastAsia" w:ascii="宋体" w:hAnsi="宋体" w:eastAsia="宋体" w:cs="宋体"/>
          <w:sz w:val="28"/>
          <w:szCs w:val="28"/>
        </w:rPr>
        <w:t>。</w:t>
      </w:r>
    </w:p>
    <w:p w14:paraId="27AFD75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3.3 服务费用应在政府采购项目全部完成之日</w:t>
      </w:r>
      <w:r>
        <w:rPr>
          <w:rFonts w:hint="eastAsia" w:ascii="宋体" w:hAnsi="宋体" w:eastAsia="宋体" w:cs="宋体"/>
          <w:sz w:val="28"/>
          <w:szCs w:val="28"/>
          <w:lang w:val="en-US" w:eastAsia="zh-CN"/>
        </w:rPr>
        <w:t>起7日内</w:t>
      </w:r>
      <w:r>
        <w:rPr>
          <w:rFonts w:hint="eastAsia" w:ascii="宋体" w:hAnsi="宋体" w:eastAsia="宋体" w:cs="宋体"/>
          <w:sz w:val="28"/>
          <w:szCs w:val="28"/>
        </w:rPr>
        <w:t>支付至</w:t>
      </w:r>
      <w:r>
        <w:rPr>
          <w:rFonts w:hint="eastAsia" w:ascii="宋体" w:hAnsi="宋体" w:eastAsia="宋体" w:cs="宋体"/>
          <w:sz w:val="28"/>
          <w:szCs w:val="28"/>
          <w:lang w:eastAsia="zh-CN"/>
        </w:rPr>
        <w:t>受托单位</w:t>
      </w:r>
      <w:r>
        <w:rPr>
          <w:rFonts w:hint="eastAsia" w:ascii="宋体" w:hAnsi="宋体" w:eastAsia="宋体" w:cs="宋体"/>
          <w:sz w:val="28"/>
          <w:szCs w:val="28"/>
        </w:rPr>
        <w:t>指定的银行账户。</w:t>
      </w:r>
    </w:p>
    <w:p w14:paraId="7259679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第四条保密条款</w:t>
      </w:r>
    </w:p>
    <w:p w14:paraId="4985D12F">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4.1 双方应对涉及本合同履行过程中所知悉的对方商业秘密、技术秘密、财务数据等保密信息予以保密。</w:t>
      </w:r>
    </w:p>
    <w:p w14:paraId="2446064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4.2 未经对方书面同意，任何一方不得向第三方披露或使用对方的保密信息。</w:t>
      </w:r>
    </w:p>
    <w:p w14:paraId="77F391B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4.3 本条款的保密义务在本合同终止后仍然有效，直至保密信息进入公共领域或经法律授权披露为止。</w:t>
      </w:r>
    </w:p>
    <w:p w14:paraId="2F1BA14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第五条违约责任</w:t>
      </w:r>
    </w:p>
    <w:p w14:paraId="4B1E28E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5.1 </w:t>
      </w:r>
      <w:r>
        <w:rPr>
          <w:rFonts w:hint="eastAsia" w:ascii="宋体" w:hAnsi="宋体" w:eastAsia="宋体" w:cs="宋体"/>
          <w:sz w:val="28"/>
          <w:szCs w:val="28"/>
          <w:lang w:eastAsia="zh-CN"/>
        </w:rPr>
        <w:t>委托单位</w:t>
      </w:r>
      <w:r>
        <w:rPr>
          <w:rFonts w:hint="eastAsia" w:ascii="宋体" w:hAnsi="宋体" w:eastAsia="宋体" w:cs="宋体"/>
          <w:sz w:val="28"/>
          <w:szCs w:val="28"/>
        </w:rPr>
        <w:t>违反本合同约定，未按时支付服务费用的，应按照合同金额的</w:t>
      </w:r>
      <w:r>
        <w:rPr>
          <w:rFonts w:hint="eastAsia" w:ascii="宋体" w:hAnsi="宋体" w:eastAsia="宋体" w:cs="宋体"/>
          <w:sz w:val="28"/>
          <w:szCs w:val="28"/>
          <w:lang w:val="en-US" w:eastAsia="zh-CN"/>
        </w:rPr>
        <w:t>100</w:t>
      </w:r>
      <w:r>
        <w:rPr>
          <w:rFonts w:hint="eastAsia" w:ascii="宋体" w:hAnsi="宋体" w:eastAsia="宋体" w:cs="宋体"/>
          <w:sz w:val="28"/>
          <w:szCs w:val="28"/>
        </w:rPr>
        <w:t>%向乙方支付违约金。</w:t>
      </w:r>
    </w:p>
    <w:p w14:paraId="75DD2A2B">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 xml:space="preserve">5.2 </w:t>
      </w:r>
      <w:r>
        <w:rPr>
          <w:rFonts w:hint="eastAsia" w:ascii="宋体" w:hAnsi="宋体" w:eastAsia="宋体" w:cs="宋体"/>
          <w:sz w:val="28"/>
          <w:szCs w:val="28"/>
          <w:lang w:eastAsia="zh-CN"/>
        </w:rPr>
        <w:t>受托单位</w:t>
      </w:r>
      <w:r>
        <w:rPr>
          <w:rFonts w:hint="eastAsia" w:ascii="宋体" w:hAnsi="宋体" w:eastAsia="宋体" w:cs="宋体"/>
          <w:sz w:val="28"/>
          <w:szCs w:val="28"/>
        </w:rPr>
        <w:t>违反本合同约定，未按时履行服务义务的，应按照合同金额的</w:t>
      </w:r>
      <w:r>
        <w:rPr>
          <w:rFonts w:hint="eastAsia" w:ascii="宋体" w:hAnsi="宋体" w:eastAsia="宋体" w:cs="宋体"/>
          <w:sz w:val="28"/>
          <w:szCs w:val="28"/>
          <w:lang w:val="en-US" w:eastAsia="zh-CN"/>
        </w:rPr>
        <w:t>100</w:t>
      </w:r>
      <w:r>
        <w:rPr>
          <w:rFonts w:hint="eastAsia" w:ascii="宋体" w:hAnsi="宋体" w:eastAsia="宋体" w:cs="宋体"/>
          <w:sz w:val="28"/>
          <w:szCs w:val="28"/>
        </w:rPr>
        <w:t>%向甲方支付违约金。</w:t>
      </w:r>
    </w:p>
    <w:p w14:paraId="7F572CF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5.3 如一方违约给对方造成损失的，违约方应承担相应的赔偿责任。</w:t>
      </w:r>
    </w:p>
    <w:p w14:paraId="3EE5B96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第六条争议解决</w:t>
      </w:r>
    </w:p>
    <w:p w14:paraId="6954CF8E">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6.1 本合同的解释和执行均适用中华人民共和国法律。</w:t>
      </w:r>
    </w:p>
    <w:p w14:paraId="4DB7B489">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6.2 因本合同引起的或与本合同有关的任何争议，双方应友好协商解决；协商不成的，任何一方均有权向有管辖权的人民法院提起诉讼。</w:t>
      </w:r>
    </w:p>
    <w:p w14:paraId="7A8CE3CB">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第七条其他事项</w:t>
      </w:r>
    </w:p>
    <w:p w14:paraId="25ACB5F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7.1 本合同自双方签字盖章之日起生效，至服务期限届满或政府采购项目全部完成之日止。</w:t>
      </w:r>
    </w:p>
    <w:p w14:paraId="5188320C">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7.2 本合同的附件为不可分割的组成部分，与本合同具有同等法律效力。</w:t>
      </w:r>
    </w:p>
    <w:p w14:paraId="2AD60FC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7.3 本合同正本一式</w:t>
      </w:r>
      <w:r>
        <w:rPr>
          <w:rFonts w:hint="eastAsia" w:ascii="宋体" w:hAnsi="宋体" w:eastAsia="宋体" w:cs="宋体"/>
          <w:sz w:val="28"/>
          <w:szCs w:val="28"/>
          <w:lang w:val="en-US" w:eastAsia="zh-CN"/>
        </w:rPr>
        <w:t>肆</w:t>
      </w:r>
      <w:r>
        <w:rPr>
          <w:rFonts w:hint="eastAsia" w:ascii="宋体" w:hAnsi="宋体" w:eastAsia="宋体" w:cs="宋体"/>
          <w:sz w:val="28"/>
          <w:szCs w:val="28"/>
        </w:rPr>
        <w:t>份，</w:t>
      </w:r>
      <w:r>
        <w:rPr>
          <w:rFonts w:hint="eastAsia" w:ascii="宋体" w:hAnsi="宋体" w:eastAsia="宋体" w:cs="宋体"/>
          <w:sz w:val="28"/>
          <w:szCs w:val="28"/>
          <w:lang w:eastAsia="zh-CN"/>
        </w:rPr>
        <w:t>委托单位</w:t>
      </w:r>
      <w:r>
        <w:rPr>
          <w:rFonts w:hint="eastAsia" w:ascii="宋体" w:hAnsi="宋体" w:eastAsia="宋体" w:cs="宋体"/>
          <w:sz w:val="28"/>
          <w:szCs w:val="28"/>
        </w:rPr>
        <w:t>和</w:t>
      </w:r>
      <w:r>
        <w:rPr>
          <w:rFonts w:hint="eastAsia" w:ascii="宋体" w:hAnsi="宋体" w:eastAsia="宋体" w:cs="宋体"/>
          <w:sz w:val="28"/>
          <w:szCs w:val="28"/>
          <w:lang w:eastAsia="zh-CN"/>
        </w:rPr>
        <w:t>受托单位</w:t>
      </w:r>
      <w:r>
        <w:rPr>
          <w:rFonts w:hint="eastAsia" w:ascii="宋体" w:hAnsi="宋体" w:eastAsia="宋体" w:cs="宋体"/>
          <w:sz w:val="28"/>
          <w:szCs w:val="28"/>
        </w:rPr>
        <w:t>各执</w:t>
      </w:r>
      <w:r>
        <w:rPr>
          <w:rFonts w:hint="eastAsia" w:ascii="宋体" w:hAnsi="宋体" w:eastAsia="宋体" w:cs="宋体"/>
          <w:sz w:val="28"/>
          <w:szCs w:val="28"/>
          <w:lang w:val="en-US" w:eastAsia="zh-CN"/>
        </w:rPr>
        <w:t>贰</w:t>
      </w:r>
      <w:r>
        <w:rPr>
          <w:rFonts w:hint="eastAsia" w:ascii="宋体" w:hAnsi="宋体" w:eastAsia="宋体" w:cs="宋体"/>
          <w:sz w:val="28"/>
          <w:szCs w:val="28"/>
        </w:rPr>
        <w:t>份，具有同等法律效力。</w:t>
      </w:r>
    </w:p>
    <w:tbl>
      <w:tblPr>
        <w:tblStyle w:val="6"/>
        <w:tblpPr w:leftFromText="180" w:rightFromText="180" w:vertAnchor="text" w:horzAnchor="page" w:tblpX="1709" w:tblpY="462"/>
        <w:tblOverlap w:val="never"/>
        <w:tblW w:w="8920" w:type="dxa"/>
        <w:tblInd w:w="0" w:type="dxa"/>
        <w:tblBorders>
          <w:top w:val="dotted" w:color="D7D7D7" w:themeColor="background1" w:themeShade="D8" w:sz="2" w:space="0"/>
          <w:left w:val="dotted" w:color="D7D7D7" w:themeColor="background1" w:themeShade="D8" w:sz="2" w:space="0"/>
          <w:bottom w:val="dotted" w:color="D7D7D7" w:themeColor="background1" w:themeShade="D8" w:sz="2" w:space="0"/>
          <w:right w:val="dotted" w:color="D7D7D7" w:themeColor="background1" w:themeShade="D8" w:sz="2" w:space="0"/>
          <w:insideH w:val="dotted" w:color="D7D7D7" w:themeColor="background1" w:themeShade="D8" w:sz="2" w:space="0"/>
          <w:insideV w:val="dotted" w:color="D7D7D7" w:themeColor="background1" w:themeShade="D8" w:sz="2" w:space="0"/>
        </w:tblBorders>
        <w:tblLayout w:type="autofit"/>
        <w:tblCellMar>
          <w:top w:w="0" w:type="dxa"/>
          <w:left w:w="108" w:type="dxa"/>
          <w:bottom w:w="0" w:type="dxa"/>
          <w:right w:w="108" w:type="dxa"/>
        </w:tblCellMar>
      </w:tblPr>
      <w:tblGrid>
        <w:gridCol w:w="4214"/>
        <w:gridCol w:w="4706"/>
      </w:tblGrid>
      <w:tr w14:paraId="1D6438A0">
        <w:tblPrEx>
          <w:tblBorders>
            <w:top w:val="dotted" w:color="D7D7D7" w:themeColor="background1" w:themeShade="D8" w:sz="2" w:space="0"/>
            <w:left w:val="dotted" w:color="D7D7D7" w:themeColor="background1" w:themeShade="D8" w:sz="2" w:space="0"/>
            <w:bottom w:val="dotted" w:color="D7D7D7" w:themeColor="background1" w:themeShade="D8" w:sz="2" w:space="0"/>
            <w:right w:val="dotted" w:color="D7D7D7" w:themeColor="background1" w:themeShade="D8" w:sz="2" w:space="0"/>
            <w:insideH w:val="dotted" w:color="D7D7D7" w:themeColor="background1" w:themeShade="D8" w:sz="2" w:space="0"/>
            <w:insideV w:val="dotted" w:color="D7D7D7" w:themeColor="background1" w:themeShade="D8" w:sz="2" w:space="0"/>
          </w:tblBorders>
          <w:tblCellMar>
            <w:top w:w="0" w:type="dxa"/>
            <w:left w:w="108" w:type="dxa"/>
            <w:bottom w:w="0" w:type="dxa"/>
            <w:right w:w="108" w:type="dxa"/>
          </w:tblCellMar>
        </w:tblPrEx>
        <w:trPr>
          <w:trHeight w:val="560" w:hRule="atLeast"/>
        </w:trPr>
        <w:tc>
          <w:tcPr>
            <w:tcW w:w="4214" w:type="dxa"/>
            <w:tcBorders>
              <w:tl2br w:val="nil"/>
              <w:tr2bl w:val="nil"/>
            </w:tcBorders>
            <w:vAlign w:val="center"/>
          </w:tcPr>
          <w:p w14:paraId="09F9369F">
            <w:pPr>
              <w:keepNext w:val="0"/>
              <w:keepLines w:val="0"/>
              <w:pageBreakBefore w:val="0"/>
              <w:widowControl/>
              <w:kinsoku w:val="0"/>
              <w:wordWrap/>
              <w:overflowPunct/>
              <w:topLinePunct w:val="0"/>
              <w:autoSpaceDE w:val="0"/>
              <w:autoSpaceDN w:val="0"/>
              <w:bidi w:val="0"/>
              <w:adjustRightInd w:val="0"/>
              <w:snapToGrid w:val="0"/>
              <w:spacing w:line="440" w:lineRule="exact"/>
              <w:ind w:right="0"/>
              <w:jc w:val="both"/>
              <w:textAlignment w:val="baseline"/>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委托人：          （盖章）</w:t>
            </w:r>
          </w:p>
        </w:tc>
        <w:tc>
          <w:tcPr>
            <w:tcW w:w="4706" w:type="dxa"/>
            <w:tcBorders>
              <w:tl2br w:val="nil"/>
              <w:tr2bl w:val="nil"/>
            </w:tcBorders>
            <w:vAlign w:val="center"/>
          </w:tcPr>
          <w:p w14:paraId="7D670BC5">
            <w:pPr>
              <w:keepNext w:val="0"/>
              <w:keepLines w:val="0"/>
              <w:pageBreakBefore w:val="0"/>
              <w:widowControl/>
              <w:kinsoku w:val="0"/>
              <w:wordWrap/>
              <w:overflowPunct/>
              <w:topLinePunct w:val="0"/>
              <w:autoSpaceDE w:val="0"/>
              <w:autoSpaceDN w:val="0"/>
              <w:bidi w:val="0"/>
              <w:adjustRightInd w:val="0"/>
              <w:snapToGrid w:val="0"/>
              <w:spacing w:line="440" w:lineRule="exact"/>
              <w:ind w:right="0" w:rightChars="0"/>
              <w:jc w:val="both"/>
              <w:textAlignment w:val="baseline"/>
              <w:rPr>
                <w:rFonts w:hint="eastAsia" w:ascii="宋体" w:hAnsi="宋体" w:eastAsia="宋体" w:cs="宋体"/>
                <w:snapToGrid w:val="0"/>
                <w:color w:val="auto"/>
                <w:kern w:val="0"/>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受托人：              （盖章）</w:t>
            </w:r>
          </w:p>
        </w:tc>
      </w:tr>
      <w:tr w14:paraId="2A3A0EBD">
        <w:tblPrEx>
          <w:tblBorders>
            <w:top w:val="dotted" w:color="D7D7D7" w:themeColor="background1" w:themeShade="D8" w:sz="2" w:space="0"/>
            <w:left w:val="dotted" w:color="D7D7D7" w:themeColor="background1" w:themeShade="D8" w:sz="2" w:space="0"/>
            <w:bottom w:val="dotted" w:color="D7D7D7" w:themeColor="background1" w:themeShade="D8" w:sz="2" w:space="0"/>
            <w:right w:val="dotted" w:color="D7D7D7" w:themeColor="background1" w:themeShade="D8" w:sz="2" w:space="0"/>
            <w:insideH w:val="dotted" w:color="D7D7D7" w:themeColor="background1" w:themeShade="D8" w:sz="2" w:space="0"/>
            <w:insideV w:val="dotted" w:color="D7D7D7" w:themeColor="background1" w:themeShade="D8" w:sz="2" w:space="0"/>
          </w:tblBorders>
        </w:tblPrEx>
        <w:trPr>
          <w:trHeight w:val="665" w:hRule="atLeast"/>
        </w:trPr>
        <w:tc>
          <w:tcPr>
            <w:tcW w:w="4214" w:type="dxa"/>
            <w:tcBorders>
              <w:tl2br w:val="nil"/>
              <w:tr2bl w:val="nil"/>
            </w:tcBorders>
            <w:vAlign w:val="center"/>
          </w:tcPr>
          <w:p w14:paraId="0CE4B186">
            <w:pPr>
              <w:keepNext w:val="0"/>
              <w:keepLines w:val="0"/>
              <w:pageBreakBefore w:val="0"/>
              <w:widowControl/>
              <w:kinsoku w:val="0"/>
              <w:wordWrap/>
              <w:overflowPunct/>
              <w:topLinePunct w:val="0"/>
              <w:autoSpaceDE w:val="0"/>
              <w:autoSpaceDN w:val="0"/>
              <w:bidi w:val="0"/>
              <w:adjustRightInd w:val="0"/>
              <w:snapToGrid w:val="0"/>
              <w:spacing w:line="440" w:lineRule="exact"/>
              <w:ind w:right="0"/>
              <w:jc w:val="both"/>
              <w:textAlignment w:val="baseline"/>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法定代表人</w:t>
            </w:r>
          </w:p>
          <w:p w14:paraId="101503EC">
            <w:pPr>
              <w:keepNext w:val="0"/>
              <w:keepLines w:val="0"/>
              <w:pageBreakBefore w:val="0"/>
              <w:widowControl/>
              <w:kinsoku w:val="0"/>
              <w:wordWrap/>
              <w:overflowPunct/>
              <w:topLinePunct w:val="0"/>
              <w:autoSpaceDE w:val="0"/>
              <w:autoSpaceDN w:val="0"/>
              <w:bidi w:val="0"/>
              <w:adjustRightInd w:val="0"/>
              <w:snapToGrid w:val="0"/>
              <w:spacing w:line="440" w:lineRule="exact"/>
              <w:ind w:right="0"/>
              <w:jc w:val="both"/>
              <w:textAlignment w:val="baseline"/>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或其委托代理人：</w:t>
            </w:r>
          </w:p>
        </w:tc>
        <w:tc>
          <w:tcPr>
            <w:tcW w:w="4706" w:type="dxa"/>
            <w:tcBorders>
              <w:tl2br w:val="nil"/>
              <w:tr2bl w:val="nil"/>
            </w:tcBorders>
            <w:vAlign w:val="center"/>
          </w:tcPr>
          <w:p w14:paraId="2395252C">
            <w:pPr>
              <w:keepNext w:val="0"/>
              <w:keepLines w:val="0"/>
              <w:pageBreakBefore w:val="0"/>
              <w:widowControl/>
              <w:kinsoku w:val="0"/>
              <w:wordWrap/>
              <w:overflowPunct/>
              <w:topLinePunct w:val="0"/>
              <w:autoSpaceDE w:val="0"/>
              <w:autoSpaceDN w:val="0"/>
              <w:bidi w:val="0"/>
              <w:adjustRightInd w:val="0"/>
              <w:snapToGrid w:val="0"/>
              <w:spacing w:line="440" w:lineRule="exact"/>
              <w:ind w:right="0"/>
              <w:jc w:val="both"/>
              <w:textAlignment w:val="baseline"/>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法定代表人</w:t>
            </w:r>
          </w:p>
          <w:p w14:paraId="142E0A3A">
            <w:pPr>
              <w:keepNext w:val="0"/>
              <w:keepLines w:val="0"/>
              <w:pageBreakBefore w:val="0"/>
              <w:widowControl/>
              <w:kinsoku w:val="0"/>
              <w:wordWrap/>
              <w:overflowPunct/>
              <w:topLinePunct w:val="0"/>
              <w:autoSpaceDE w:val="0"/>
              <w:autoSpaceDN w:val="0"/>
              <w:bidi w:val="0"/>
              <w:adjustRightInd w:val="0"/>
              <w:snapToGrid w:val="0"/>
              <w:spacing w:line="440" w:lineRule="exact"/>
              <w:ind w:right="0" w:rightChars="0"/>
              <w:jc w:val="both"/>
              <w:textAlignment w:val="baseline"/>
              <w:rPr>
                <w:rFonts w:hint="eastAsia" w:ascii="宋体" w:hAnsi="宋体" w:eastAsia="宋体" w:cs="宋体"/>
                <w:snapToGrid w:val="0"/>
                <w:color w:val="auto"/>
                <w:kern w:val="0"/>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或其委托代理人：</w:t>
            </w:r>
          </w:p>
        </w:tc>
      </w:tr>
      <w:tr w14:paraId="7F849E11">
        <w:tblPrEx>
          <w:tblBorders>
            <w:top w:val="dotted" w:color="D7D7D7" w:themeColor="background1" w:themeShade="D8" w:sz="2" w:space="0"/>
            <w:left w:val="dotted" w:color="D7D7D7" w:themeColor="background1" w:themeShade="D8" w:sz="2" w:space="0"/>
            <w:bottom w:val="dotted" w:color="D7D7D7" w:themeColor="background1" w:themeShade="D8" w:sz="2" w:space="0"/>
            <w:right w:val="dotted" w:color="D7D7D7" w:themeColor="background1" w:themeShade="D8" w:sz="2" w:space="0"/>
            <w:insideH w:val="dotted" w:color="D7D7D7" w:themeColor="background1" w:themeShade="D8" w:sz="2" w:space="0"/>
            <w:insideV w:val="dotted" w:color="D7D7D7" w:themeColor="background1" w:themeShade="D8" w:sz="2" w:space="0"/>
          </w:tblBorders>
          <w:tblCellMar>
            <w:top w:w="0" w:type="dxa"/>
            <w:left w:w="108" w:type="dxa"/>
            <w:bottom w:w="0" w:type="dxa"/>
            <w:right w:w="108" w:type="dxa"/>
          </w:tblCellMar>
        </w:tblPrEx>
        <w:trPr>
          <w:trHeight w:val="327" w:hRule="atLeast"/>
        </w:trPr>
        <w:tc>
          <w:tcPr>
            <w:tcW w:w="4214" w:type="dxa"/>
            <w:tcBorders>
              <w:tl2br w:val="nil"/>
              <w:tr2bl w:val="nil"/>
            </w:tcBorders>
            <w:vAlign w:val="center"/>
          </w:tcPr>
          <w:p w14:paraId="1C95A116">
            <w:pPr>
              <w:keepNext w:val="0"/>
              <w:keepLines w:val="0"/>
              <w:pageBreakBefore w:val="0"/>
              <w:widowControl/>
              <w:kinsoku w:val="0"/>
              <w:wordWrap/>
              <w:overflowPunct/>
              <w:topLinePunct w:val="0"/>
              <w:autoSpaceDE w:val="0"/>
              <w:autoSpaceDN w:val="0"/>
              <w:bidi w:val="0"/>
              <w:adjustRightInd w:val="0"/>
              <w:snapToGrid w:val="0"/>
              <w:spacing w:line="440" w:lineRule="exact"/>
              <w:ind w:right="0" w:firstLine="960" w:firstLineChars="400"/>
              <w:jc w:val="both"/>
              <w:textAlignment w:val="baseline"/>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2026 年   月     日</w:t>
            </w:r>
          </w:p>
        </w:tc>
        <w:tc>
          <w:tcPr>
            <w:tcW w:w="4706" w:type="dxa"/>
            <w:tcBorders>
              <w:tl2br w:val="nil"/>
              <w:tr2bl w:val="nil"/>
            </w:tcBorders>
            <w:vAlign w:val="center"/>
          </w:tcPr>
          <w:p w14:paraId="1016948F">
            <w:pPr>
              <w:keepNext w:val="0"/>
              <w:keepLines w:val="0"/>
              <w:pageBreakBefore w:val="0"/>
              <w:widowControl/>
              <w:kinsoku w:val="0"/>
              <w:wordWrap/>
              <w:overflowPunct/>
              <w:topLinePunct w:val="0"/>
              <w:autoSpaceDE w:val="0"/>
              <w:autoSpaceDN w:val="0"/>
              <w:bidi w:val="0"/>
              <w:adjustRightInd w:val="0"/>
              <w:snapToGrid w:val="0"/>
              <w:spacing w:line="440" w:lineRule="exact"/>
              <w:ind w:right="0" w:rightChars="0" w:firstLine="960" w:firstLineChars="400"/>
              <w:jc w:val="both"/>
              <w:textAlignment w:val="baseline"/>
              <w:rPr>
                <w:rFonts w:hint="eastAsia" w:ascii="宋体" w:hAnsi="宋体" w:eastAsia="宋体" w:cs="宋体"/>
                <w:snapToGrid w:val="0"/>
                <w:color w:val="auto"/>
                <w:kern w:val="0"/>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2026 年    月    日</w:t>
            </w:r>
          </w:p>
        </w:tc>
      </w:tr>
    </w:tbl>
    <w:tbl>
      <w:tblPr>
        <w:tblStyle w:val="6"/>
        <w:tblpPr w:leftFromText="180" w:rightFromText="180" w:vertAnchor="text" w:horzAnchor="page" w:tblpX="1690" w:tblpY="263"/>
        <w:tblOverlap w:val="never"/>
        <w:tblW w:w="8839" w:type="dxa"/>
        <w:tblInd w:w="0" w:type="dxa"/>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Layout w:type="autofit"/>
        <w:tblCellMar>
          <w:top w:w="0" w:type="dxa"/>
          <w:left w:w="108" w:type="dxa"/>
          <w:bottom w:w="0" w:type="dxa"/>
          <w:right w:w="108" w:type="dxa"/>
        </w:tblCellMar>
      </w:tblPr>
      <w:tblGrid>
        <w:gridCol w:w="4354"/>
        <w:gridCol w:w="4485"/>
      </w:tblGrid>
      <w:tr w14:paraId="12DBE2EB">
        <w:tblPrEx>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CellMar>
            <w:top w:w="0" w:type="dxa"/>
            <w:left w:w="108" w:type="dxa"/>
            <w:bottom w:w="0" w:type="dxa"/>
            <w:right w:w="108" w:type="dxa"/>
          </w:tblCellMar>
        </w:tblPrEx>
        <w:trPr>
          <w:trHeight w:val="658" w:hRule="atLeast"/>
        </w:trPr>
        <w:tc>
          <w:tcPr>
            <w:tcW w:w="4354" w:type="dxa"/>
            <w:tcBorders>
              <w:tl2br w:val="nil"/>
              <w:tr2bl w:val="nil"/>
            </w:tcBorders>
            <w:vAlign w:val="center"/>
          </w:tcPr>
          <w:p w14:paraId="2293C09E">
            <w:pPr>
              <w:keepNext w:val="0"/>
              <w:keepLines w:val="0"/>
              <w:pageBreakBefore w:val="0"/>
              <w:widowControl/>
              <w:kinsoku w:val="0"/>
              <w:wordWrap/>
              <w:overflowPunct/>
              <w:topLinePunct w:val="0"/>
              <w:autoSpaceDE w:val="0"/>
              <w:autoSpaceDN w:val="0"/>
              <w:bidi w:val="0"/>
              <w:adjustRightInd w:val="0"/>
              <w:snapToGrid w:val="0"/>
              <w:spacing w:line="440" w:lineRule="exact"/>
              <w:ind w:left="760" w:right="0" w:hanging="760" w:hangingChars="400"/>
              <w:jc w:val="both"/>
              <w:textAlignment w:val="baseline"/>
              <w:rPr>
                <w:rFonts w:hint="eastAsia" w:ascii="宋体" w:hAnsi="宋体" w:eastAsia="宋体" w:cs="宋体"/>
                <w:sz w:val="24"/>
                <w:szCs w:val="24"/>
                <w:vertAlign w:val="baseline"/>
              </w:rPr>
            </w:pPr>
            <w:r>
              <w:rPr>
                <w:rFonts w:hint="eastAsia" w:ascii="宋体" w:hAnsi="宋体" w:eastAsia="宋体" w:cs="宋体"/>
                <w:spacing w:val="-25"/>
                <w:sz w:val="24"/>
                <w:szCs w:val="24"/>
              </w:rPr>
              <w:t>地址：</w:t>
            </w:r>
          </w:p>
        </w:tc>
        <w:tc>
          <w:tcPr>
            <w:tcW w:w="4485" w:type="dxa"/>
            <w:tcBorders>
              <w:tl2br w:val="nil"/>
              <w:tr2bl w:val="nil"/>
            </w:tcBorders>
            <w:vAlign w:val="top"/>
          </w:tcPr>
          <w:p w14:paraId="4AED2E40">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jc w:val="both"/>
              <w:textAlignment w:val="baseline"/>
              <w:rPr>
                <w:rFonts w:hint="eastAsia" w:ascii="宋体" w:hAnsi="宋体" w:eastAsia="宋体" w:cs="宋体"/>
                <w:snapToGrid w:val="0"/>
                <w:color w:val="000000"/>
                <w:kern w:val="0"/>
                <w:sz w:val="24"/>
                <w:szCs w:val="24"/>
                <w:vertAlign w:val="baseline"/>
                <w:lang w:val="en-US" w:eastAsia="en-US" w:bidi="ar-SA"/>
              </w:rPr>
            </w:pPr>
            <w:r>
              <w:rPr>
                <w:rFonts w:hint="eastAsia" w:ascii="宋体" w:hAnsi="宋体" w:eastAsia="宋体" w:cs="宋体"/>
                <w:spacing w:val="-25"/>
                <w:sz w:val="24"/>
                <w:szCs w:val="24"/>
              </w:rPr>
              <w:t>地址：汉台区风景路聚兴名苑2号楼326室</w:t>
            </w:r>
          </w:p>
        </w:tc>
      </w:tr>
      <w:tr w14:paraId="6796D725">
        <w:tblPrEx>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CellMar>
            <w:top w:w="0" w:type="dxa"/>
            <w:left w:w="108" w:type="dxa"/>
            <w:bottom w:w="0" w:type="dxa"/>
            <w:right w:w="108" w:type="dxa"/>
          </w:tblCellMar>
        </w:tblPrEx>
        <w:trPr>
          <w:trHeight w:val="313" w:hRule="atLeast"/>
        </w:trPr>
        <w:tc>
          <w:tcPr>
            <w:tcW w:w="4354" w:type="dxa"/>
            <w:tcBorders>
              <w:tl2br w:val="nil"/>
              <w:tr2bl w:val="nil"/>
            </w:tcBorders>
            <w:vAlign w:val="center"/>
          </w:tcPr>
          <w:p w14:paraId="177A18F7">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eastAsia" w:ascii="宋体" w:hAnsi="宋体" w:eastAsia="宋体" w:cs="宋体"/>
                <w:sz w:val="24"/>
                <w:szCs w:val="24"/>
                <w:vertAlign w:val="baseline"/>
              </w:rPr>
            </w:pPr>
          </w:p>
        </w:tc>
        <w:tc>
          <w:tcPr>
            <w:tcW w:w="4485" w:type="dxa"/>
            <w:tcBorders>
              <w:tl2br w:val="nil"/>
              <w:tr2bl w:val="nil"/>
            </w:tcBorders>
            <w:vAlign w:val="center"/>
          </w:tcPr>
          <w:p w14:paraId="1027E59F">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jc w:val="both"/>
              <w:textAlignment w:val="baseline"/>
              <w:rPr>
                <w:rFonts w:hint="eastAsia" w:ascii="宋体" w:hAnsi="宋体" w:eastAsia="宋体" w:cs="宋体"/>
                <w:snapToGrid w:val="0"/>
                <w:color w:val="000000"/>
                <w:kern w:val="0"/>
                <w:sz w:val="24"/>
                <w:szCs w:val="24"/>
                <w:vertAlign w:val="baseline"/>
                <w:lang w:val="en-US" w:eastAsia="en-US" w:bidi="ar-SA"/>
              </w:rPr>
            </w:pPr>
            <w:r>
              <w:rPr>
                <w:rFonts w:hint="eastAsia" w:ascii="宋体" w:hAnsi="宋体" w:eastAsia="宋体" w:cs="宋体"/>
                <w:spacing w:val="-7"/>
                <w:sz w:val="24"/>
                <w:szCs w:val="24"/>
              </w:rPr>
              <w:t>账号：2706013101201000021049</w:t>
            </w:r>
          </w:p>
        </w:tc>
      </w:tr>
      <w:tr w14:paraId="5C23840F">
        <w:tblPrEx>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CellMar>
            <w:top w:w="0" w:type="dxa"/>
            <w:left w:w="108" w:type="dxa"/>
            <w:bottom w:w="0" w:type="dxa"/>
            <w:right w:w="108" w:type="dxa"/>
          </w:tblCellMar>
        </w:tblPrEx>
        <w:trPr>
          <w:trHeight w:val="616" w:hRule="atLeast"/>
        </w:trPr>
        <w:tc>
          <w:tcPr>
            <w:tcW w:w="4354" w:type="dxa"/>
            <w:tcBorders>
              <w:tl2br w:val="nil"/>
              <w:tr2bl w:val="nil"/>
            </w:tcBorders>
            <w:vAlign w:val="center"/>
          </w:tcPr>
          <w:p w14:paraId="2C45EC44">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eastAsia" w:ascii="宋体" w:hAnsi="宋体" w:eastAsia="宋体" w:cs="宋体"/>
                <w:sz w:val="24"/>
                <w:szCs w:val="24"/>
                <w:vertAlign w:val="baseline"/>
              </w:rPr>
            </w:pPr>
          </w:p>
        </w:tc>
        <w:tc>
          <w:tcPr>
            <w:tcW w:w="4485" w:type="dxa"/>
            <w:tcBorders>
              <w:tl2br w:val="nil"/>
              <w:tr2bl w:val="nil"/>
            </w:tcBorders>
            <w:vAlign w:val="center"/>
          </w:tcPr>
          <w:p w14:paraId="1BA8BE0D">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jc w:val="both"/>
              <w:textAlignment w:val="baseline"/>
              <w:rPr>
                <w:rFonts w:hint="eastAsia" w:ascii="宋体" w:hAnsi="宋体" w:eastAsia="宋体" w:cs="宋体"/>
                <w:snapToGrid w:val="0"/>
                <w:color w:val="000000"/>
                <w:kern w:val="0"/>
                <w:sz w:val="24"/>
                <w:szCs w:val="24"/>
                <w:vertAlign w:val="baseline"/>
                <w:lang w:val="en-US" w:eastAsia="en-US" w:bidi="ar-SA"/>
              </w:rPr>
            </w:pPr>
            <w:r>
              <w:rPr>
                <w:rFonts w:hint="eastAsia" w:ascii="宋体" w:hAnsi="宋体" w:eastAsia="宋体" w:cs="宋体"/>
                <w:spacing w:val="-23"/>
                <w:sz w:val="24"/>
                <w:szCs w:val="24"/>
              </w:rPr>
              <w:t>开户银行：陕西汉中农村商业银行股份有限公司前进路支行</w:t>
            </w:r>
          </w:p>
        </w:tc>
      </w:tr>
      <w:tr w14:paraId="572918EC">
        <w:tblPrEx>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CellMar>
            <w:top w:w="0" w:type="dxa"/>
            <w:left w:w="108" w:type="dxa"/>
            <w:bottom w:w="0" w:type="dxa"/>
            <w:right w:w="108" w:type="dxa"/>
          </w:tblCellMar>
        </w:tblPrEx>
        <w:trPr>
          <w:trHeight w:val="415" w:hRule="atLeast"/>
        </w:trPr>
        <w:tc>
          <w:tcPr>
            <w:tcW w:w="4354" w:type="dxa"/>
            <w:tcBorders>
              <w:tl2br w:val="nil"/>
              <w:tr2bl w:val="nil"/>
            </w:tcBorders>
            <w:vAlign w:val="center"/>
          </w:tcPr>
          <w:p w14:paraId="06789760">
            <w:pPr>
              <w:keepNext w:val="0"/>
              <w:keepLines w:val="0"/>
              <w:pageBreakBefore w:val="0"/>
              <w:widowControl/>
              <w:kinsoku w:val="0"/>
              <w:wordWrap/>
              <w:overflowPunct/>
              <w:topLinePunct w:val="0"/>
              <w:autoSpaceDE w:val="0"/>
              <w:autoSpaceDN w:val="0"/>
              <w:bidi w:val="0"/>
              <w:adjustRightInd w:val="0"/>
              <w:snapToGrid w:val="0"/>
              <w:spacing w:line="440" w:lineRule="exact"/>
              <w:ind w:right="0"/>
              <w:jc w:val="both"/>
              <w:textAlignment w:val="baseline"/>
              <w:rPr>
                <w:rFonts w:hint="default" w:ascii="宋体" w:hAnsi="宋体" w:eastAsia="宋体" w:cs="宋体"/>
                <w:sz w:val="24"/>
                <w:szCs w:val="24"/>
                <w:vertAlign w:val="baseline"/>
                <w:lang w:val="en-US" w:eastAsia="zh-CN"/>
              </w:rPr>
            </w:pPr>
            <w:r>
              <w:rPr>
                <w:rFonts w:hint="eastAsia" w:ascii="宋体" w:hAnsi="宋体" w:eastAsia="宋体" w:cs="宋体"/>
                <w:spacing w:val="-6"/>
                <w:sz w:val="24"/>
                <w:szCs w:val="24"/>
              </w:rPr>
              <w:t>邮政编码：</w:t>
            </w:r>
            <w:r>
              <w:rPr>
                <w:rFonts w:hint="eastAsia" w:ascii="宋体" w:hAnsi="宋体" w:eastAsia="宋体" w:cs="宋体"/>
                <w:spacing w:val="-6"/>
                <w:sz w:val="24"/>
                <w:szCs w:val="24"/>
                <w:lang w:val="en-US" w:eastAsia="zh-CN"/>
              </w:rPr>
              <w:t>723300</w:t>
            </w:r>
          </w:p>
        </w:tc>
        <w:tc>
          <w:tcPr>
            <w:tcW w:w="4485" w:type="dxa"/>
            <w:tcBorders>
              <w:tl2br w:val="nil"/>
              <w:tr2bl w:val="nil"/>
            </w:tcBorders>
            <w:vAlign w:val="center"/>
          </w:tcPr>
          <w:p w14:paraId="428C52F7">
            <w:pPr>
              <w:keepNext w:val="0"/>
              <w:keepLines w:val="0"/>
              <w:pageBreakBefore w:val="0"/>
              <w:widowControl/>
              <w:kinsoku w:val="0"/>
              <w:wordWrap/>
              <w:overflowPunct/>
              <w:topLinePunct w:val="0"/>
              <w:autoSpaceDE w:val="0"/>
              <w:autoSpaceDN w:val="0"/>
              <w:bidi w:val="0"/>
              <w:adjustRightInd w:val="0"/>
              <w:snapToGrid w:val="0"/>
              <w:spacing w:line="440" w:lineRule="exact"/>
              <w:ind w:right="0" w:rightChars="0"/>
              <w:jc w:val="both"/>
              <w:textAlignment w:val="baseline"/>
              <w:rPr>
                <w:rFonts w:hint="default" w:ascii="宋体" w:hAnsi="宋体" w:eastAsia="宋体" w:cs="宋体"/>
                <w:snapToGrid w:val="0"/>
                <w:color w:val="000000"/>
                <w:kern w:val="0"/>
                <w:sz w:val="24"/>
                <w:szCs w:val="24"/>
                <w:vertAlign w:val="baseline"/>
                <w:lang w:val="en-US" w:eastAsia="zh-CN" w:bidi="ar-SA"/>
              </w:rPr>
            </w:pPr>
            <w:r>
              <w:rPr>
                <w:rFonts w:hint="eastAsia" w:ascii="宋体" w:hAnsi="宋体" w:eastAsia="宋体" w:cs="宋体"/>
                <w:spacing w:val="-6"/>
                <w:sz w:val="24"/>
                <w:szCs w:val="24"/>
              </w:rPr>
              <w:t>邮政编码：</w:t>
            </w:r>
            <w:r>
              <w:rPr>
                <w:rFonts w:hint="eastAsia" w:ascii="宋体" w:hAnsi="宋体" w:eastAsia="宋体" w:cs="宋体"/>
                <w:spacing w:val="-6"/>
                <w:sz w:val="24"/>
                <w:szCs w:val="24"/>
                <w:lang w:val="en-US" w:eastAsia="zh-CN"/>
              </w:rPr>
              <w:t>723000</w:t>
            </w:r>
          </w:p>
        </w:tc>
      </w:tr>
      <w:tr w14:paraId="050163BC">
        <w:tblPrEx>
          <w:tblBorders>
            <w:top w:val="dotted" w:color="D7D7D7" w:themeColor="background1" w:themeShade="D8" w:sz="4" w:space="0"/>
            <w:left w:val="dotted" w:color="D7D7D7" w:themeColor="background1" w:themeShade="D8" w:sz="4" w:space="0"/>
            <w:bottom w:val="dotted" w:color="D7D7D7" w:themeColor="background1" w:themeShade="D8" w:sz="4" w:space="0"/>
            <w:right w:val="dotted" w:color="D7D7D7" w:themeColor="background1" w:themeShade="D8" w:sz="4" w:space="0"/>
            <w:insideH w:val="dotted" w:color="D7D7D7" w:themeColor="background1" w:themeShade="D8" w:sz="4" w:space="0"/>
            <w:insideV w:val="dotted" w:color="D7D7D7" w:themeColor="background1" w:themeShade="D8" w:sz="4" w:space="0"/>
          </w:tblBorders>
          <w:tblCellMar>
            <w:top w:w="0" w:type="dxa"/>
            <w:left w:w="108" w:type="dxa"/>
            <w:bottom w:w="0" w:type="dxa"/>
            <w:right w:w="108" w:type="dxa"/>
          </w:tblCellMar>
        </w:tblPrEx>
        <w:trPr>
          <w:trHeight w:val="373" w:hRule="atLeast"/>
        </w:trPr>
        <w:tc>
          <w:tcPr>
            <w:tcW w:w="4354" w:type="dxa"/>
            <w:tcBorders>
              <w:tl2br w:val="nil"/>
              <w:tr2bl w:val="nil"/>
            </w:tcBorders>
            <w:vAlign w:val="center"/>
          </w:tcPr>
          <w:p w14:paraId="1BF9438B">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right="0"/>
              <w:jc w:val="both"/>
              <w:textAlignment w:val="baseline"/>
              <w:rPr>
                <w:rFonts w:hint="eastAsia" w:ascii="宋体" w:hAnsi="宋体" w:eastAsia="宋体" w:cs="宋体"/>
                <w:sz w:val="24"/>
                <w:szCs w:val="24"/>
                <w:vertAlign w:val="baseline"/>
              </w:rPr>
            </w:pPr>
            <w:r>
              <w:rPr>
                <w:rFonts w:hint="eastAsia" w:ascii="宋体" w:hAnsi="宋体" w:eastAsia="宋体" w:cs="宋体"/>
                <w:spacing w:val="-5"/>
                <w:sz w:val="24"/>
                <w:szCs w:val="24"/>
              </w:rPr>
              <w:t>电</w:t>
            </w:r>
            <w:r>
              <w:rPr>
                <w:rFonts w:hint="eastAsia" w:ascii="宋体" w:hAnsi="宋体" w:eastAsia="宋体" w:cs="宋体"/>
                <w:spacing w:val="49"/>
                <w:sz w:val="24"/>
                <w:szCs w:val="24"/>
              </w:rPr>
              <w:t xml:space="preserve">  </w:t>
            </w:r>
            <w:r>
              <w:rPr>
                <w:rFonts w:hint="eastAsia" w:ascii="宋体" w:hAnsi="宋体" w:eastAsia="宋体" w:cs="宋体"/>
                <w:spacing w:val="-5"/>
                <w:sz w:val="24"/>
                <w:szCs w:val="24"/>
              </w:rPr>
              <w:t>话：</w:t>
            </w:r>
          </w:p>
        </w:tc>
        <w:tc>
          <w:tcPr>
            <w:tcW w:w="4485" w:type="dxa"/>
            <w:tcBorders>
              <w:tl2br w:val="nil"/>
              <w:tr2bl w:val="nil"/>
            </w:tcBorders>
            <w:vAlign w:val="center"/>
          </w:tcPr>
          <w:p w14:paraId="4B673DB0">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jc w:val="both"/>
              <w:textAlignment w:val="baseline"/>
              <w:rPr>
                <w:rFonts w:hint="eastAsia" w:ascii="宋体" w:hAnsi="宋体" w:eastAsia="宋体" w:cs="宋体"/>
                <w:snapToGrid w:val="0"/>
                <w:color w:val="000000"/>
                <w:kern w:val="0"/>
                <w:sz w:val="24"/>
                <w:szCs w:val="24"/>
                <w:vertAlign w:val="baseline"/>
                <w:lang w:val="en-US" w:eastAsia="en-US" w:bidi="ar-SA"/>
              </w:rPr>
            </w:pPr>
            <w:r>
              <w:rPr>
                <w:rFonts w:hint="eastAsia" w:ascii="宋体" w:hAnsi="宋体" w:eastAsia="宋体" w:cs="宋体"/>
                <w:spacing w:val="-5"/>
                <w:sz w:val="24"/>
                <w:szCs w:val="24"/>
              </w:rPr>
              <w:t>电</w:t>
            </w:r>
            <w:r>
              <w:rPr>
                <w:rFonts w:hint="eastAsia" w:ascii="宋体" w:hAnsi="宋体" w:eastAsia="宋体" w:cs="宋体"/>
                <w:spacing w:val="49"/>
                <w:sz w:val="24"/>
                <w:szCs w:val="24"/>
              </w:rPr>
              <w:t xml:space="preserve">  </w:t>
            </w:r>
            <w:r>
              <w:rPr>
                <w:rFonts w:hint="eastAsia" w:ascii="宋体" w:hAnsi="宋体" w:eastAsia="宋体" w:cs="宋体"/>
                <w:spacing w:val="-5"/>
                <w:sz w:val="24"/>
                <w:szCs w:val="24"/>
              </w:rPr>
              <w:t>话：19991620850</w:t>
            </w:r>
            <w:bookmarkStart w:id="0" w:name="_GoBack"/>
            <w:bookmarkEnd w:id="0"/>
          </w:p>
        </w:tc>
      </w:tr>
    </w:tbl>
    <w:p w14:paraId="31974B01">
      <w:pPr>
        <w:spacing w:before="1" w:line="610" w:lineRule="exact"/>
        <w:rPr>
          <w:rFonts w:hint="eastAsia" w:ascii="宋体" w:hAnsi="宋体" w:eastAsia="宋体" w:cs="宋体"/>
          <w:sz w:val="28"/>
          <w:szCs w:val="28"/>
        </w:rPr>
      </w:pPr>
    </w:p>
    <w:sectPr>
      <w:footerReference r:id="rId5" w:type="default"/>
      <w:pgSz w:w="12161" w:h="17008"/>
      <w:pgMar w:top="1440" w:right="1803" w:bottom="1440" w:left="1803" w:header="0" w:footer="737" w:gutter="0"/>
      <w:pgBorders>
        <w:top w:val="none" w:sz="0" w:space="0"/>
        <w:left w:val="none" w:sz="0" w:space="0"/>
        <w:bottom w:val="none" w:sz="0" w:space="0"/>
        <w:right w:val="none" w:sz="0" w:space="0"/>
      </w:pgBorders>
      <w:pgNumType w:fmt="decimal" w:start="2"/>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8F5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82441">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782441">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zQ2MmU1NGI0YWM0ZjRiOGI0NWVjYjJjYTkyN2ExM2EifQ=="/>
  </w:docVars>
  <w:rsids>
    <w:rsidRoot w:val="00000000"/>
    <w:rsid w:val="003E6BAC"/>
    <w:rsid w:val="009E28B8"/>
    <w:rsid w:val="02E7306F"/>
    <w:rsid w:val="03EF1A15"/>
    <w:rsid w:val="049B3C06"/>
    <w:rsid w:val="04B74ECB"/>
    <w:rsid w:val="05D15877"/>
    <w:rsid w:val="06B56F46"/>
    <w:rsid w:val="08060567"/>
    <w:rsid w:val="0BE1541D"/>
    <w:rsid w:val="0D5D63E3"/>
    <w:rsid w:val="0FA47B58"/>
    <w:rsid w:val="0FE53A2F"/>
    <w:rsid w:val="0FF72791"/>
    <w:rsid w:val="105772C0"/>
    <w:rsid w:val="115B00EC"/>
    <w:rsid w:val="117143B2"/>
    <w:rsid w:val="136A2E67"/>
    <w:rsid w:val="13BF1404"/>
    <w:rsid w:val="14B13EF6"/>
    <w:rsid w:val="15520056"/>
    <w:rsid w:val="16074E97"/>
    <w:rsid w:val="16BC7E7D"/>
    <w:rsid w:val="174E6716"/>
    <w:rsid w:val="17AF4A7F"/>
    <w:rsid w:val="199649B5"/>
    <w:rsid w:val="1B3A75C2"/>
    <w:rsid w:val="1B80591D"/>
    <w:rsid w:val="1E2C1A6C"/>
    <w:rsid w:val="1E672DC4"/>
    <w:rsid w:val="1EFC175F"/>
    <w:rsid w:val="20CB601A"/>
    <w:rsid w:val="20F85427"/>
    <w:rsid w:val="240237E2"/>
    <w:rsid w:val="26EA14B5"/>
    <w:rsid w:val="29FD3A62"/>
    <w:rsid w:val="2B1118F1"/>
    <w:rsid w:val="2D047A30"/>
    <w:rsid w:val="2D92540B"/>
    <w:rsid w:val="2E823302"/>
    <w:rsid w:val="2F8D44A1"/>
    <w:rsid w:val="2FDA5A18"/>
    <w:rsid w:val="38E53F50"/>
    <w:rsid w:val="3B387C30"/>
    <w:rsid w:val="3C44609B"/>
    <w:rsid w:val="3D115F7D"/>
    <w:rsid w:val="3DD31E89"/>
    <w:rsid w:val="3DD47255"/>
    <w:rsid w:val="3F00274D"/>
    <w:rsid w:val="42DA2F75"/>
    <w:rsid w:val="436F7EA2"/>
    <w:rsid w:val="44AB4F09"/>
    <w:rsid w:val="48C77F91"/>
    <w:rsid w:val="493C25D4"/>
    <w:rsid w:val="49831D56"/>
    <w:rsid w:val="4A1277D9"/>
    <w:rsid w:val="4BE11211"/>
    <w:rsid w:val="4E872198"/>
    <w:rsid w:val="4ED427AF"/>
    <w:rsid w:val="4FA73929"/>
    <w:rsid w:val="51655FAC"/>
    <w:rsid w:val="54ED6E78"/>
    <w:rsid w:val="56564C0A"/>
    <w:rsid w:val="56E46059"/>
    <w:rsid w:val="5BCF552A"/>
    <w:rsid w:val="5C610FD3"/>
    <w:rsid w:val="5FA813B5"/>
    <w:rsid w:val="604E19EC"/>
    <w:rsid w:val="60563B24"/>
    <w:rsid w:val="60597AB8"/>
    <w:rsid w:val="66BA2932"/>
    <w:rsid w:val="683F7593"/>
    <w:rsid w:val="69EE0D23"/>
    <w:rsid w:val="6A9F07BD"/>
    <w:rsid w:val="6B5C7948"/>
    <w:rsid w:val="6C845EBC"/>
    <w:rsid w:val="6D6261FE"/>
    <w:rsid w:val="6DB85E1E"/>
    <w:rsid w:val="6DE50BDD"/>
    <w:rsid w:val="6DE52764"/>
    <w:rsid w:val="6E511176"/>
    <w:rsid w:val="70082B49"/>
    <w:rsid w:val="70CC1905"/>
    <w:rsid w:val="70E60700"/>
    <w:rsid w:val="71F96A05"/>
    <w:rsid w:val="72165809"/>
    <w:rsid w:val="72BB1F0C"/>
    <w:rsid w:val="72BC04C1"/>
    <w:rsid w:val="72CE1C3F"/>
    <w:rsid w:val="72D80D10"/>
    <w:rsid w:val="73B4710E"/>
    <w:rsid w:val="751604DE"/>
    <w:rsid w:val="76886635"/>
    <w:rsid w:val="795C2891"/>
    <w:rsid w:val="796C10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5"/>
      <w:szCs w:val="25"/>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1439</Words>
  <Characters>1589</Characters>
  <TotalTime>0</TotalTime>
  <ScaleCrop>false</ScaleCrop>
  <LinksUpToDate>false</LinksUpToDate>
  <CharactersWithSpaces>1942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2024-06-21T15:53:00Z</dcterms:created>
  <dc:creator>Administrator</dc:creator>
  <cp:lastModifiedBy>不予时光度流年</cp:lastModifiedBy>
  <cp:lastPrinted>2025-01-16T09:14:00Z</cp:lastPrinted>
  <dcterms:modified xsi:type="dcterms:W3CDTF">2026-06-09T10:05:44Z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2024-06-21T15:53:07Z</vt:filetime>
  </property>
  <property fmtid="{D5CDD505-2E9C-101B-9397-08002B2CF9AE}" pid="4" name="UsrData">
    <vt:lpwstr>6675315d4e755d0020641c58wl</vt:lpwstr>
  </property>
  <property fmtid="{D5CDD505-2E9C-101B-9397-08002B2CF9AE}" pid="5" name="KSOProductBuildVer">
    <vt:lpwstr>2052-12.1.0.26895</vt:lpwstr>
  </property>
  <property fmtid="{D5CDD505-2E9C-101B-9397-08002B2CF9AE}" pid="6" name="ICV">
    <vt:lpwstr>06F703C049FF40E3B549A1C3E0D48E84_12</vt:lpwstr>
  </property>
  <property fmtid="{D5CDD505-2E9C-101B-9397-08002B2CF9AE}" pid="7" name="KSOTemplateDocerSaveRecord">
    <vt:lpwstr>eyJoZGlkIjoiY2I1NWQwMTlkZDFjNDVhYTYzMzg4YTdiM2YzMjBmMmEiLCJ1c2VySWQiOiIyNTA2MTA1MjgifQ==</vt:lpwstr>
  </property>
</Properties>
</file>