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版本号：ZZHY202601101220260821001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西安市临潼区马额街道2026年小城镇建设项目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ZZHY2026011012</w:t>
      </w:r>
      <w:r>
        <w:br/>
      </w:r>
      <w:r>
        <w:br/>
      </w:r>
      <w:r>
        <w:br/>
      </w:r>
    </w:p>
    <w:p>
      <w:pPr>
        <w:pStyle w:val="null3"/>
        <w:jc w:val="center"/>
        <w:outlineLvl w:val="2"/>
      </w:pPr>
      <w:r>
        <w:rPr>
          <w:rFonts w:ascii="仿宋_GB2312" w:hAnsi="仿宋_GB2312" w:cs="仿宋_GB2312" w:eastAsia="仿宋_GB2312"/>
          <w:sz w:val="28"/>
          <w:b/>
        </w:rPr>
        <w:t>西安市临潼区马额街道办事处</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西安市临潼区马额街道办事处</w:t>
      </w:r>
      <w:r>
        <w:rPr>
          <w:rFonts w:ascii="仿宋_GB2312" w:hAnsi="仿宋_GB2312" w:cs="仿宋_GB2312" w:eastAsia="仿宋_GB2312"/>
        </w:rPr>
        <w:t>委托，拟对</w:t>
      </w:r>
      <w:r>
        <w:rPr>
          <w:rFonts w:ascii="仿宋_GB2312" w:hAnsi="仿宋_GB2312" w:cs="仿宋_GB2312" w:eastAsia="仿宋_GB2312"/>
        </w:rPr>
        <w:t>西安市临潼区马额街道2026年小城镇建设项目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ZZHY2026011012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西安市临潼区马额街道2026年小城镇建设项目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西安市临潼区马额街道2026年小城镇建设项目拓宽道路1600平方米，硬化黑化道路8000平方米，修建排水管网600米等基础设施配套。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采购包1（西安市临潼区马额街道2026年小城镇建设项目）：属于专门面向小微企业采购。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2、主体资格证明：具有独立承担民事责任能力的法人、其他组织或自然人，并出具合法有效的营业执照或事业单位法人证书等国家规定的合法证明文件，自然人参与的提供其身份证。</w:t>
      </w:r>
    </w:p>
    <w:p>
      <w:pPr>
        <w:pStyle w:val="null3"/>
      </w:pPr>
      <w:r>
        <w:rPr>
          <w:rFonts w:ascii="仿宋_GB2312" w:hAnsi="仿宋_GB2312" w:cs="仿宋_GB2312" w:eastAsia="仿宋_GB2312"/>
        </w:rPr>
        <w:t>3、供应商资质要求：供应商须具备建设行政主管部门颁发的市政公用工程施工总承包三级及以上资质，且具备有效的安全生产许可证。</w:t>
      </w:r>
    </w:p>
    <w:p>
      <w:pPr>
        <w:pStyle w:val="null3"/>
      </w:pPr>
      <w:r>
        <w:rPr>
          <w:rFonts w:ascii="仿宋_GB2312" w:hAnsi="仿宋_GB2312" w:cs="仿宋_GB2312" w:eastAsia="仿宋_GB2312"/>
        </w:rPr>
        <w:t>4、拟派项目负责人：拟派项目负责人具备市政公用工程专业二级及以上注册建造师证书和有效的安全生产考核合格证（B证），且无在建工程（提供无在建承诺书）。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西安市临潼区马额街道办事处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西安市临潼区马额街道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029-83943558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陕西省西安市未央区未央路126号赛高港务港20层2004室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王海艳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15991980597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代理服务费收费标准：1、招标代理费以成交金额为收费基数，参照国家计委颁发的《 招标代理服务收费管理暂行办法》（计价格〔2002〕1980号）、国家发展改革委办公厅颁发的《关于招标代理服务收费有关问题的通知》（发改办价格〔2003〕 857号）、《国家发展改革委关于降低部分建设项目收费标准规范收费行为等有关问题的通知》（发改价格〔2011〕534号）的有关规定执行，由成交单位在领取成交通知书前一次性支付。 2、代理服务费账户名称：中正翰元项目管理有限公司，开户行：交通银行股份有限公司西安长庆支行，账号：611301096013001128048。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西安市临潼区马额街道办事处</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西安市临潼区马额街道办事处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西安市临潼区马额街道办事处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 3、构成本磋商文件的各组成部分，未经采购人书面同意，供应商不得擅自复印或用于非本磋商项目所需的其他目的。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联系电话：15991980597</w:t>
      </w:r>
    </w:p>
    <w:p>
      <w:pPr>
        <w:pStyle w:val="null3"/>
      </w:pPr>
      <w:r>
        <w:rPr>
          <w:rFonts w:ascii="仿宋_GB2312" w:hAnsi="仿宋_GB2312" w:cs="仿宋_GB2312" w:eastAsia="仿宋_GB2312"/>
        </w:rPr>
        <w:t>地址：陕西省西安市未央区未央路126号赛高商务港20层2004室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1,998,108.36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西安市临潼区马额街道2026年小城镇建设项目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标的名称：西安市临潼区马额街道2026年小城镇建设项目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一、项目概况</w:t>
            </w:r>
          </w:p>
          <w:p>
            <w:pPr>
              <w:pStyle w:val="null3"/>
              <w:ind w:firstLine="560"/>
              <w:jc w:val="both"/>
            </w:pPr>
            <w:r>
              <w:rPr>
                <w:rFonts w:ascii="仿宋_GB2312" w:hAnsi="仿宋_GB2312" w:cs="仿宋_GB2312" w:eastAsia="仿宋_GB2312"/>
                <w:sz w:val="24"/>
                <w:color w:val="000000"/>
              </w:rPr>
              <w:t>1.项目名称：西安市临潼区马额街道2026年小城镇建设项目</w:t>
            </w:r>
          </w:p>
          <w:p>
            <w:pPr>
              <w:pStyle w:val="null3"/>
              <w:ind w:firstLine="560"/>
              <w:jc w:val="both"/>
            </w:pPr>
            <w:r>
              <w:rPr>
                <w:rFonts w:ascii="仿宋_GB2312" w:hAnsi="仿宋_GB2312" w:cs="仿宋_GB2312" w:eastAsia="仿宋_GB2312"/>
                <w:sz w:val="24"/>
                <w:color w:val="000000"/>
              </w:rPr>
              <w:t>2.项目地点：</w:t>
            </w:r>
            <w:r>
              <w:rPr>
                <w:rFonts w:ascii="仿宋_GB2312" w:hAnsi="仿宋_GB2312" w:cs="仿宋_GB2312" w:eastAsia="仿宋_GB2312"/>
                <w:sz w:val="24"/>
                <w:color w:val="000000"/>
              </w:rPr>
              <w:t>临潼区马额街道</w:t>
            </w:r>
          </w:p>
          <w:p>
            <w:pPr>
              <w:pStyle w:val="null3"/>
              <w:ind w:firstLine="560"/>
              <w:jc w:val="both"/>
            </w:pPr>
            <w:r>
              <w:rPr>
                <w:rFonts w:ascii="仿宋_GB2312" w:hAnsi="仿宋_GB2312" w:cs="仿宋_GB2312" w:eastAsia="仿宋_GB2312"/>
                <w:sz w:val="24"/>
                <w:color w:val="000000"/>
              </w:rPr>
              <w:t>3.工期：60天</w:t>
            </w:r>
          </w:p>
          <w:p>
            <w:pPr>
              <w:pStyle w:val="null3"/>
              <w:ind w:firstLine="560"/>
              <w:jc w:val="both"/>
            </w:pPr>
            <w:r>
              <w:rPr>
                <w:rFonts w:ascii="仿宋_GB2312" w:hAnsi="仿宋_GB2312" w:cs="仿宋_GB2312" w:eastAsia="仿宋_GB2312"/>
                <w:sz w:val="24"/>
                <w:b/>
                <w:color w:val="000000"/>
              </w:rPr>
              <w:t>二、项目内容</w:t>
            </w:r>
          </w:p>
          <w:p>
            <w:pPr>
              <w:pStyle w:val="null3"/>
              <w:ind w:firstLine="560"/>
              <w:jc w:val="both"/>
            </w:pPr>
            <w:r>
              <w:rPr>
                <w:rFonts w:ascii="仿宋_GB2312" w:hAnsi="仿宋_GB2312" w:cs="仿宋_GB2312" w:eastAsia="仿宋_GB2312"/>
                <w:sz w:val="24"/>
              </w:rPr>
              <w:t>西安市临潼区马额街道</w:t>
            </w:r>
            <w:r>
              <w:rPr>
                <w:rFonts w:ascii="仿宋_GB2312" w:hAnsi="仿宋_GB2312" w:cs="仿宋_GB2312" w:eastAsia="仿宋_GB2312"/>
                <w:sz w:val="24"/>
              </w:rPr>
              <w:t>2026年小城镇建设项目</w:t>
            </w:r>
            <w:r>
              <w:rPr>
                <w:rFonts w:ascii="仿宋_GB2312" w:hAnsi="仿宋_GB2312" w:cs="仿宋_GB2312" w:eastAsia="仿宋_GB2312"/>
                <w:sz w:val="24"/>
              </w:rPr>
              <w:t>拓宽道路</w:t>
            </w:r>
            <w:r>
              <w:rPr>
                <w:rFonts w:ascii="仿宋_GB2312" w:hAnsi="仿宋_GB2312" w:cs="仿宋_GB2312" w:eastAsia="仿宋_GB2312"/>
                <w:sz w:val="24"/>
              </w:rPr>
              <w:t>1600平方米，硬化黑化道路8000平方米，修建排水管网600米等基础设施配套。</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、工程量清单和计价依据</w:t>
            </w:r>
          </w:p>
          <w:p>
            <w:pPr>
              <w:pStyle w:val="null3"/>
              <w:ind w:firstLine="480"/>
              <w:jc w:val="both"/>
            </w:pPr>
            <w:r>
              <w:rPr>
                <w:rFonts w:ascii="仿宋_GB2312" w:hAnsi="仿宋_GB2312" w:cs="仿宋_GB2312" w:eastAsia="仿宋_GB2312"/>
                <w:sz w:val="24"/>
              </w:rPr>
              <w:t>（一）编制依据</w:t>
            </w:r>
          </w:p>
          <w:p>
            <w:pPr>
              <w:pStyle w:val="null3"/>
              <w:ind w:firstLine="480"/>
              <w:jc w:val="both"/>
            </w:pPr>
            <w:r>
              <w:rPr>
                <w:rFonts w:ascii="仿宋_GB2312" w:hAnsi="仿宋_GB2312" w:cs="仿宋_GB2312" w:eastAsia="仿宋_GB2312"/>
                <w:sz w:val="24"/>
              </w:rPr>
              <w:t>1.《陕西省2025计价标准-省2025定额（一般计税）》；</w:t>
            </w:r>
          </w:p>
          <w:p>
            <w:pPr>
              <w:pStyle w:val="null3"/>
              <w:ind w:firstLine="480"/>
              <w:jc w:val="both"/>
            </w:pPr>
            <w:r>
              <w:rPr>
                <w:rFonts w:ascii="仿宋_GB2312" w:hAnsi="仿宋_GB2312" w:cs="仿宋_GB2312" w:eastAsia="仿宋_GB2312"/>
                <w:sz w:val="24"/>
              </w:rPr>
              <w:t>2.《陕西省建设工程工程量清单计价计算标准（2025）》；</w:t>
            </w:r>
          </w:p>
          <w:p>
            <w:pPr>
              <w:pStyle w:val="null3"/>
              <w:ind w:firstLine="480"/>
              <w:jc w:val="both"/>
            </w:pPr>
            <w:r>
              <w:rPr>
                <w:rFonts w:ascii="仿宋_GB2312" w:hAnsi="仿宋_GB2312" w:cs="仿宋_GB2312" w:eastAsia="仿宋_GB2312"/>
                <w:sz w:val="24"/>
              </w:rPr>
              <w:t>3.《市政工程工程量计算标准（2025）》；</w:t>
            </w:r>
          </w:p>
          <w:p>
            <w:pPr>
              <w:pStyle w:val="null3"/>
              <w:ind w:firstLine="480"/>
              <w:jc w:val="both"/>
            </w:pPr>
            <w:r>
              <w:rPr>
                <w:rFonts w:ascii="仿宋_GB2312" w:hAnsi="仿宋_GB2312" w:cs="仿宋_GB2312" w:eastAsia="仿宋_GB2312"/>
                <w:sz w:val="24"/>
              </w:rPr>
              <w:t>4.《陕西省市政工程基价表（2025）（一般计税）》；</w:t>
            </w:r>
          </w:p>
          <w:p>
            <w:pPr>
              <w:pStyle w:val="null3"/>
              <w:ind w:firstLine="480"/>
              <w:jc w:val="both"/>
            </w:pPr>
            <w:r>
              <w:rPr>
                <w:rFonts w:ascii="仿宋_GB2312" w:hAnsi="仿宋_GB2312" w:cs="仿宋_GB2312" w:eastAsia="仿宋_GB2312"/>
                <w:sz w:val="24"/>
              </w:rPr>
              <w:t>5.《陕西省市政工程消耗量定额（2025）》；</w:t>
            </w:r>
          </w:p>
          <w:p>
            <w:pPr>
              <w:pStyle w:val="null3"/>
              <w:ind w:firstLine="480"/>
              <w:jc w:val="both"/>
            </w:pPr>
            <w:r>
              <w:rPr>
                <w:rFonts w:ascii="仿宋_GB2312" w:hAnsi="仿宋_GB2312" w:cs="仿宋_GB2312" w:eastAsia="仿宋_GB2312"/>
                <w:sz w:val="24"/>
              </w:rPr>
              <w:t>7.《西安市临潼区马额街道2026年小城镇建设项目》施工图及图纸答疑；</w:t>
            </w:r>
          </w:p>
          <w:p>
            <w:pPr>
              <w:pStyle w:val="null3"/>
              <w:ind w:firstLine="480"/>
              <w:jc w:val="both"/>
            </w:pPr>
            <w:r>
              <w:rPr>
                <w:rFonts w:ascii="仿宋_GB2312" w:hAnsi="仿宋_GB2312" w:cs="仿宋_GB2312" w:eastAsia="仿宋_GB2312"/>
                <w:sz w:val="24"/>
              </w:rPr>
              <w:t>8.施工图纸中涉及的有关标准、规范、图集、技术资料；</w:t>
            </w:r>
          </w:p>
          <w:p>
            <w:pPr>
              <w:pStyle w:val="null3"/>
              <w:ind w:firstLine="480"/>
              <w:jc w:val="both"/>
            </w:pPr>
            <w:r>
              <w:rPr>
                <w:rFonts w:ascii="仿宋_GB2312" w:hAnsi="仿宋_GB2312" w:cs="仿宋_GB2312" w:eastAsia="仿宋_GB2312"/>
                <w:sz w:val="24"/>
              </w:rPr>
              <w:t>9.施工现场情况、工程特点及常规施工方案；</w:t>
            </w:r>
          </w:p>
          <w:p>
            <w:pPr>
              <w:pStyle w:val="null3"/>
              <w:ind w:firstLine="480"/>
              <w:jc w:val="both"/>
            </w:pPr>
            <w:r>
              <w:rPr>
                <w:rFonts w:ascii="仿宋_GB2312" w:hAnsi="仿宋_GB2312" w:cs="仿宋_GB2312" w:eastAsia="仿宋_GB2312"/>
                <w:sz w:val="24"/>
              </w:rPr>
              <w:t>10.其他相关资料。</w:t>
            </w:r>
          </w:p>
          <w:p>
            <w:pPr>
              <w:pStyle w:val="null3"/>
              <w:ind w:firstLine="480"/>
              <w:jc w:val="both"/>
            </w:pPr>
            <w:r>
              <w:rPr>
                <w:rFonts w:ascii="仿宋_GB2312" w:hAnsi="仿宋_GB2312" w:cs="仿宋_GB2312" w:eastAsia="仿宋_GB2312"/>
                <w:sz w:val="24"/>
              </w:rPr>
              <w:t>（二）其他说明</w:t>
            </w:r>
          </w:p>
          <w:p>
            <w:pPr>
              <w:pStyle w:val="null3"/>
              <w:ind w:firstLine="480"/>
              <w:jc w:val="both"/>
            </w:pPr>
            <w:r>
              <w:rPr>
                <w:rFonts w:ascii="仿宋_GB2312" w:hAnsi="仿宋_GB2312" w:cs="仿宋_GB2312" w:eastAsia="仿宋_GB2312"/>
                <w:sz w:val="24"/>
              </w:rPr>
              <w:t>1.采用陕西省广联达云计价平台版本号：7.5000.23.2编制；</w:t>
            </w:r>
          </w:p>
          <w:p>
            <w:pPr>
              <w:pStyle w:val="null3"/>
              <w:ind w:firstLine="480"/>
              <w:jc w:val="both"/>
            </w:pPr>
            <w:r>
              <w:rPr>
                <w:rFonts w:ascii="仿宋_GB2312" w:hAnsi="仿宋_GB2312" w:cs="仿宋_GB2312" w:eastAsia="仿宋_GB2312"/>
                <w:sz w:val="24"/>
              </w:rPr>
              <w:t>2.材料价参考陕西省信息价及市场价。</w:t>
            </w:r>
          </w:p>
          <w:p>
            <w:pPr>
              <w:pStyle w:val="null3"/>
              <w:ind w:left="30"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、施工要求</w:t>
            </w:r>
          </w:p>
          <w:p>
            <w:pPr>
              <w:pStyle w:val="null3"/>
              <w:ind w:firstLine="480"/>
              <w:jc w:val="both"/>
            </w:pPr>
            <w:r>
              <w:rPr>
                <w:rFonts w:ascii="仿宋_GB2312" w:hAnsi="仿宋_GB2312" w:cs="仿宋_GB2312" w:eastAsia="仿宋_GB2312"/>
                <w:sz w:val="24"/>
                <w:color w:val="000000"/>
              </w:rPr>
              <w:t>1.工程实行包工包料，施工方必须具备相应的资质。</w:t>
            </w:r>
          </w:p>
          <w:p>
            <w:pPr>
              <w:pStyle w:val="null3"/>
              <w:ind w:firstLine="480"/>
              <w:jc w:val="both"/>
            </w:pPr>
            <w:r>
              <w:rPr>
                <w:rFonts w:ascii="仿宋_GB2312" w:hAnsi="仿宋_GB2312" w:cs="仿宋_GB2312" w:eastAsia="仿宋_GB2312"/>
                <w:sz w:val="24"/>
                <w:color w:val="000000"/>
              </w:rPr>
              <w:t>2.施工方根据工程实际情况编制施工方案，制定工期进度安排，确保工程按期完工。</w:t>
            </w:r>
          </w:p>
          <w:p>
            <w:pPr>
              <w:pStyle w:val="null3"/>
              <w:ind w:firstLine="480"/>
              <w:jc w:val="both"/>
            </w:pPr>
            <w:r>
              <w:rPr>
                <w:rFonts w:ascii="仿宋_GB2312" w:hAnsi="仿宋_GB2312" w:cs="仿宋_GB2312" w:eastAsia="仿宋_GB2312"/>
                <w:sz w:val="24"/>
                <w:color w:val="000000"/>
              </w:rPr>
              <w:t>3.施工期间，施工方必须注意人员安全，加强安全防护措施，并对施工人员进行安全教育。如发生工伤及意外事故，由施工方承担全部负责。</w:t>
            </w:r>
          </w:p>
          <w:p>
            <w:pPr>
              <w:pStyle w:val="null3"/>
              <w:ind w:firstLine="480"/>
              <w:jc w:val="both"/>
            </w:pPr>
            <w:r>
              <w:rPr>
                <w:rFonts w:ascii="仿宋_GB2312" w:hAnsi="仿宋_GB2312" w:cs="仿宋_GB2312" w:eastAsia="仿宋_GB2312"/>
                <w:sz w:val="24"/>
                <w:color w:val="000000"/>
              </w:rPr>
              <w:t>4.施工过程中，严格遵守建设单位的各项管理规定及规章制度，做到文明施工。</w:t>
            </w:r>
          </w:p>
          <w:p>
            <w:pPr>
              <w:pStyle w:val="null3"/>
              <w:ind w:firstLine="480"/>
              <w:jc w:val="both"/>
            </w:pPr>
            <w:r>
              <w:rPr>
                <w:rFonts w:ascii="仿宋_GB2312" w:hAnsi="仿宋_GB2312" w:cs="仿宋_GB2312" w:eastAsia="仿宋_GB2312"/>
                <w:sz w:val="24"/>
                <w:color w:val="000000"/>
              </w:rPr>
              <w:t>5.严格遵守西安市关于控制扬尘污染、治污减霾的规定，落实各项扬尘管控措施，若因违规操作受到相关部门处罚，所有责任由施工方承担。</w:t>
            </w:r>
          </w:p>
          <w:p>
            <w:pPr>
              <w:pStyle w:val="null3"/>
              <w:ind w:firstLine="480"/>
              <w:jc w:val="both"/>
            </w:pPr>
            <w:r>
              <w:rPr>
                <w:rFonts w:ascii="仿宋_GB2312" w:hAnsi="仿宋_GB2312" w:cs="仿宋_GB2312" w:eastAsia="仿宋_GB2312"/>
                <w:sz w:val="24"/>
                <w:color w:val="000000"/>
              </w:rPr>
              <w:t>6.严格执行国家、省、市关于施工的相关规定及施工图纸要求，规范施工，确保工程质量达到合格标准。如需更改，须事先征得有关方面的同意，并经建设单位落实后实施，同时出具书面说明。</w:t>
            </w:r>
          </w:p>
          <w:p>
            <w:pPr>
              <w:pStyle w:val="null3"/>
              <w:ind w:firstLine="482"/>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质量保证</w:t>
            </w:r>
          </w:p>
          <w:p>
            <w:pPr>
              <w:pStyle w:val="null3"/>
              <w:ind w:firstLine="480"/>
              <w:jc w:val="both"/>
            </w:pPr>
            <w:r>
              <w:rPr>
                <w:rFonts w:ascii="仿宋_GB2312" w:hAnsi="仿宋_GB2312" w:cs="仿宋_GB2312" w:eastAsia="仿宋_GB2312"/>
                <w:sz w:val="24"/>
                <w:color w:val="000000"/>
              </w:rPr>
              <w:t>1.施工方必须配备足够的人员和充足的机械设备进行实施，确保按时保质保量完成任务。</w:t>
            </w:r>
          </w:p>
          <w:p>
            <w:pPr>
              <w:pStyle w:val="null3"/>
              <w:ind w:firstLine="480"/>
              <w:jc w:val="both"/>
            </w:pPr>
            <w:r>
              <w:rPr>
                <w:rFonts w:ascii="仿宋_GB2312" w:hAnsi="仿宋_GB2312" w:cs="仿宋_GB2312" w:eastAsia="仿宋_GB2312"/>
                <w:sz w:val="24"/>
                <w:color w:val="000000"/>
              </w:rPr>
              <w:t>2.选用的主材、设备、辅材必须是合格产品，并明确其品牌、规格、型号、产地，及时向建设单位提供合格证及材料检验单。在征得有关方认可后，方能进行施工，并做好相应的检验环节。</w:t>
            </w:r>
          </w:p>
          <w:p>
            <w:pPr>
              <w:pStyle w:val="null3"/>
              <w:ind w:firstLine="480"/>
              <w:jc w:val="both"/>
            </w:pPr>
            <w:r>
              <w:rPr>
                <w:rFonts w:ascii="仿宋_GB2312" w:hAnsi="仿宋_GB2312" w:cs="仿宋_GB2312" w:eastAsia="仿宋_GB2312"/>
                <w:sz w:val="24"/>
                <w:color w:val="000000"/>
              </w:rPr>
              <w:t>3.施工方必须依据采购要求，按照有关规范施工，一次性验收交接。</w:t>
            </w:r>
          </w:p>
          <w:p>
            <w:pPr>
              <w:pStyle w:val="null3"/>
              <w:ind w:firstLine="480"/>
              <w:jc w:val="both"/>
            </w:pPr>
            <w:r>
              <w:rPr>
                <w:rFonts w:ascii="仿宋_GB2312" w:hAnsi="仿宋_GB2312" w:cs="仿宋_GB2312" w:eastAsia="仿宋_GB2312"/>
                <w:sz w:val="24"/>
                <w:color w:val="000000"/>
              </w:rPr>
              <w:t>4.施工方的售后服务完善、及时，并派遣相关技术人员配合建设单位检查，质保期内发生任何质量问题施工方需及时维护修理。</w:t>
            </w:r>
          </w:p>
          <w:p>
            <w:pPr>
              <w:pStyle w:val="null3"/>
              <w:ind w:firstLine="482"/>
              <w:jc w:val="both"/>
            </w:pPr>
            <w:r>
              <w:rPr>
                <w:rFonts w:ascii="仿宋_GB2312" w:hAnsi="仿宋_GB2312" w:cs="仿宋_GB2312" w:eastAsia="仿宋_GB2312"/>
                <w:sz w:val="24"/>
                <w:b/>
                <w:color w:val="000000"/>
              </w:rPr>
              <w:t>六、验收标准</w:t>
            </w:r>
          </w:p>
          <w:p>
            <w:pPr>
              <w:pStyle w:val="null3"/>
              <w:ind w:firstLine="480"/>
              <w:jc w:val="both"/>
            </w:pPr>
            <w:r>
              <w:rPr>
                <w:rFonts w:ascii="仿宋_GB2312" w:hAnsi="仿宋_GB2312" w:cs="仿宋_GB2312" w:eastAsia="仿宋_GB2312"/>
                <w:sz w:val="24"/>
                <w:color w:val="000000"/>
              </w:rPr>
              <w:t>1.质量标准：合格。</w:t>
            </w:r>
          </w:p>
          <w:p>
            <w:pPr>
              <w:pStyle w:val="null3"/>
              <w:ind w:firstLine="480"/>
              <w:jc w:val="both"/>
            </w:pPr>
            <w:r>
              <w:rPr>
                <w:rFonts w:ascii="仿宋_GB2312" w:hAnsi="仿宋_GB2312" w:cs="仿宋_GB2312" w:eastAsia="仿宋_GB2312"/>
                <w:sz w:val="24"/>
                <w:color w:val="000000"/>
              </w:rPr>
              <w:t>2.验收方法：依据国家现行建设工程施工验收规范或标准执行。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的《供应商基本资格条件承诺函》（未提供的供应商需提交以下资格证明文件:①财务状况报告：提供具有财务审计资质单位出具的2025年度完整的财务审计报告（包括报告正文及四表一注即资产负债表、利润表、现金流量表、所有者权益变动表及其附注），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②税收缴纳证明：提供响应文件递截止时间前6个月内已缴纳的至少一个月的纳税证明或完税证明，依法免税的单位应提供相关证明材料；③社会保障资金缴纳证明：提供响应文件递截止时间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失信被执行人和重大税收违法失信主体，未被中国政府采购网(www.cc.gov.sn)列入政府采购严重违法失信行为记录名单）。</w:t>
            </w:r>
          </w:p>
        </w:tc>
        <w:tc>
          <w:tcPr>
            <w:tcW w:type="dxa" w:w="1661"/>
          </w:tcPr>
          <w:p>
            <w:pPr>
              <w:pStyle w:val="null3"/>
            </w:pPr>
            <w:r>
              <w:rPr>
                <w:rFonts w:ascii="仿宋_GB2312" w:hAnsi="仿宋_GB2312" w:cs="仿宋_GB2312" w:eastAsia="仿宋_GB2312"/>
              </w:rPr>
              <w:t>3.基本资格条件承诺函.docx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4.非联合体磋商承诺函.docx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5.1中小企业声明函 5.2残疾人福利性单位声明函 5.3监狱企业的证明文件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6.法定代表人授权书或身份证明.docx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具有独立承担民事责任能力的法人、其他组织或自然人，并出具合法有效的营业执照或事业单位法人证书等国家规定的合法证明文件，自然人参与的提供其身份证。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7.供应商提交的相关资格证明材料.docx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拟派项目负责人具备市政公用工程专业二级及以上注册建造师证书和有效的安全生产考核合格证（B证），且无在建工程（提供无在建承诺书）。</w:t>
            </w:r>
          </w:p>
        </w:tc>
        <w:tc>
          <w:tcPr>
            <w:tcW w:type="dxa" w:w="1661"/>
          </w:tcPr>
          <w:p>
            <w:pPr>
              <w:pStyle w:val="null3"/>
            </w:pPr>
            <w:r>
              <w:rPr>
                <w:rFonts w:ascii="仿宋_GB2312" w:hAnsi="仿宋_GB2312" w:cs="仿宋_GB2312" w:eastAsia="仿宋_GB2312"/>
              </w:rPr>
              <w:t>8.1项目管理机构人员表.pdf 8.2主要人员简历表 9.2标的清单</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9.3已标价工程量清单 9.1报价函 9.2标的清单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（1）供应商名称：与营业执照、资质证书、安全生产许可证及响应文件的签署盖章一致。（2）响应文件签字盖章：符合磋商文件“第七章 响应文件格式”的规定。（3）报价唯一：只能有一个有效报价，不得提交选择性报价，且报价不超过磋商文件规定的采购预算金额及最高限价。（4）响应文件格式：符合磋商文件“第七章 响应文件格式”的要求。</w:t>
            </w:r>
          </w:p>
        </w:tc>
        <w:tc>
          <w:tcPr>
            <w:tcW w:type="dxa" w:w="1661"/>
          </w:tcPr>
          <w:p>
            <w:pPr>
              <w:pStyle w:val="null3"/>
            </w:pPr>
            <w:r>
              <w:rPr>
                <w:rFonts w:ascii="仿宋_GB2312" w:hAnsi="仿宋_GB2312" w:cs="仿宋_GB2312" w:eastAsia="仿宋_GB2312"/>
              </w:rPr>
              <w:t>5.1中小企业声明函 9.3已标价工程量清单 9.1报价函 6.法定代表人授权书或身份证明.docx 3.基本资格条件承诺函.docx 2.响应函 5.2残疾人福利性单位声明函 5.3监狱企业的证明文件 7.供应商提交的相关资格证明材料.docx 1.响应文件封面 4.非联合体磋商承诺函.docx 9.2标的清单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9.1报价函 9.2标的清单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9.1报价函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2.响应函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编制完善的施工部署及准备：1.方案内容全面、具体、科学，可行性强，得8分；2.方案内容基本全面、具体，可行性较强，得6分；3.方案内容笼统，可行性一般得4分；4.方案内容简单，可行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工程质量技术措施详细、科学、符合项目需求：1.技术措施内容全面详细、阐述清晰，符合项目需求，得8分；2.技术措施内容较详细、阐述较清晰，基本符合项目需求，得6分；3.技术措施内容简单、阐述模糊，满足项目需求，得4分；4.技术措施内容粗略、阐述混乱，不完全满足项目需求，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安全施工技术措施详实、切实可行：1.技术措施内容全面、具体，可行性强，得8分；2.技术措施内容基本全面，可行性较强，得6分；3.技术措施内容简单，可行性一般，得4分；4.技术措施内容粗略，可行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针对本项目文明施工技术措施具体可行：1.技术措施内容全面、具体，可行性强，得6分；2.技术措施内容基本全面，可行性较强，得4分；3.技术措施内容简单，可行性一般，得2分；4.无内容不得分。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环境保护技术措施（包含治污减霾措施）具体可行：1.技术措施内容全面、科学，可行性强，得6分；2.技术措施内容基本全面，可行性较强，得4分；3.技术措施内容简单，可行性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工期的技术措施全面、具体，满足工期要求：1.技术措施内容全面、具体，优于工期要求，得8分；2.技术措施内容基本全面，完全响应工期要求，得6分；3.技术措施内容简单，响应工期要求，得4分；4.技术措施内容粗略，仅满足工期要求，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针对本项目施工进度计划安排科学、合理：1.施工进度安排内容均衡资源、控制节点明确，可实施性强，得8分；2.施工进度安排内容均衡资源、控制节点较明确，可实施性较强，得6分；3.施工进度安排内容资源利用合理、控制节点模糊，可实施性一般，得4分；4.施工进度安排内容资源利用不合理、控制节点不明确，可实施性较差，得2分；5.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针对本项目拟投入的主要设备先进，劳动力配备齐全：1.拟投入的主要设备适合项目需要，数量充足，劳动力配备齐全，得6分；2.拟投入的主要设备适合项目需要，数量较足，劳动力配备较齐全，得4分；3.拟投入的主要设备适合项目需要，数量不足，劳动力配备一般，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针对本项目经理部组成人员结构合理，人员配备齐全：1.项目经理部人员职责清晰、专业齐全，人员配备合理，佐证材料齐全，得6分；2.项目经理部人员职责较清晰、专业较齐全，人员配备较合理，佐证材料不齐全，得4分；3.项目经理部人员职责不清晰、专业不齐全，人员配备一般，左证材料缺失，得2分；4.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8.1项目管理机构人员表.pdf</w:t>
            </w:r>
          </w:p>
          <w:p>
            <w:pPr>
              <w:pStyle w:val="null3"/>
            </w:pPr>
            <w:r>
              <w:rPr>
                <w:rFonts w:ascii="仿宋_GB2312" w:hAnsi="仿宋_GB2312" w:cs="仿宋_GB2312" w:eastAsia="仿宋_GB2312"/>
              </w:rPr>
              <w:t>10.实施方案.docx</w:t>
            </w:r>
          </w:p>
          <w:p>
            <w:pPr>
              <w:pStyle w:val="null3"/>
            </w:pPr>
            <w:r>
              <w:rPr>
                <w:rFonts w:ascii="仿宋_GB2312" w:hAnsi="仿宋_GB2312" w:cs="仿宋_GB2312" w:eastAsia="仿宋_GB2312"/>
              </w:rPr>
              <w:t>8.2主要人员简历表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8月至今（以签署时间为准）类似项目业绩，每提供1份计2分，最高得6分。业绩证明材料以合同或中标通知书为准，须包含金额、项目信息、签字盖章页等主要内容。供应商应在磋商响应文件中附上述证明材料的扫描件，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9.2标的清单</w:t>
            </w:r>
          </w:p>
          <w:p>
            <w:pPr>
              <w:pStyle w:val="null3"/>
            </w:pPr>
            <w:r>
              <w:rPr>
                <w:rFonts w:ascii="仿宋_GB2312" w:hAnsi="仿宋_GB2312" w:cs="仿宋_GB2312" w:eastAsia="仿宋_GB2312"/>
              </w:rPr>
              <w:t>9.3已标价工程量清单</w:t>
            </w:r>
          </w:p>
          <w:p>
            <w:pPr>
              <w:pStyle w:val="null3"/>
            </w:pPr>
            <w:r>
              <w:rPr>
                <w:rFonts w:ascii="仿宋_GB2312" w:hAnsi="仿宋_GB2312" w:cs="仿宋_GB2312" w:eastAsia="仿宋_GB2312"/>
              </w:rPr>
              <w:t>9.1报价函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1.经资格审查和符合性审查合格的磋商响应文件，其报价为有效磋商报价。 2.最终报价最低的供应商价格为磋商基准价，其价格分为满分30分。 3.其它供应商价格得分为：磋商报价得分=（磋商基准价/最终磋商报价）×30。 4.最终结果数字小数点后保留两位小数，第三位“四舍五入”。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9.1报价函</w:t>
            </w:r>
          </w:p>
          <w:p>
            <w:pPr>
              <w:pStyle w:val="null3"/>
            </w:pPr>
            <w:r>
              <w:rPr>
                <w:rFonts w:ascii="仿宋_GB2312" w:hAnsi="仿宋_GB2312" w:cs="仿宋_GB2312" w:eastAsia="仿宋_GB2312"/>
              </w:rPr>
              <w:t>9.2标的清单</w:t>
            </w:r>
          </w:p>
          <w:p>
            <w:pPr>
              <w:pStyle w:val="null3"/>
            </w:pPr>
            <w:r>
              <w:rPr>
                <w:rFonts w:ascii="仿宋_GB2312" w:hAnsi="仿宋_GB2312" w:cs="仿宋_GB2312" w:eastAsia="仿宋_GB2312"/>
              </w:rPr>
              <w:t>9.3已标价工程量清单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详见附件：1.响应文件封面</w:t>
      </w:r>
    </w:p>
    <w:p>
      <w:pPr>
        <w:pStyle w:val="null3"/>
        <w:ind w:firstLine="960"/>
      </w:pPr>
      <w:r>
        <w:rPr>
          <w:rFonts w:ascii="仿宋_GB2312" w:hAnsi="仿宋_GB2312" w:cs="仿宋_GB2312" w:eastAsia="仿宋_GB2312"/>
        </w:rPr>
        <w:t>详见附件：2.响应函</w:t>
      </w:r>
    </w:p>
    <w:p>
      <w:pPr>
        <w:pStyle w:val="null3"/>
        <w:ind w:firstLine="960"/>
      </w:pPr>
      <w:r>
        <w:rPr>
          <w:rFonts w:ascii="仿宋_GB2312" w:hAnsi="仿宋_GB2312" w:cs="仿宋_GB2312" w:eastAsia="仿宋_GB2312"/>
        </w:rPr>
        <w:t>详见附件：3.基本资格条件承诺函.docx</w:t>
      </w:r>
    </w:p>
    <w:p>
      <w:pPr>
        <w:pStyle w:val="null3"/>
        <w:ind w:firstLine="960"/>
      </w:pPr>
      <w:r>
        <w:rPr>
          <w:rFonts w:ascii="仿宋_GB2312" w:hAnsi="仿宋_GB2312" w:cs="仿宋_GB2312" w:eastAsia="仿宋_GB2312"/>
        </w:rPr>
        <w:t>详见附件：4.非联合体磋商承诺函.docx</w:t>
      </w:r>
    </w:p>
    <w:p>
      <w:pPr>
        <w:pStyle w:val="null3"/>
        <w:ind w:firstLine="960"/>
      </w:pPr>
      <w:r>
        <w:rPr>
          <w:rFonts w:ascii="仿宋_GB2312" w:hAnsi="仿宋_GB2312" w:cs="仿宋_GB2312" w:eastAsia="仿宋_GB2312"/>
        </w:rPr>
        <w:t>详见附件：5.1中小企业声明函</w:t>
      </w:r>
    </w:p>
    <w:p>
      <w:pPr>
        <w:pStyle w:val="null3"/>
        <w:ind w:firstLine="960"/>
      </w:pPr>
      <w:r>
        <w:rPr>
          <w:rFonts w:ascii="仿宋_GB2312" w:hAnsi="仿宋_GB2312" w:cs="仿宋_GB2312" w:eastAsia="仿宋_GB2312"/>
        </w:rPr>
        <w:t>详见附件：5.2残疾人福利性单位声明函</w:t>
      </w:r>
    </w:p>
    <w:p>
      <w:pPr>
        <w:pStyle w:val="null3"/>
        <w:ind w:firstLine="960"/>
      </w:pPr>
      <w:r>
        <w:rPr>
          <w:rFonts w:ascii="仿宋_GB2312" w:hAnsi="仿宋_GB2312" w:cs="仿宋_GB2312" w:eastAsia="仿宋_GB2312"/>
        </w:rPr>
        <w:t>详见附件：5.3监狱企业的证明文件</w:t>
      </w:r>
    </w:p>
    <w:p>
      <w:pPr>
        <w:pStyle w:val="null3"/>
        <w:ind w:firstLine="960"/>
      </w:pPr>
      <w:r>
        <w:rPr>
          <w:rFonts w:ascii="仿宋_GB2312" w:hAnsi="仿宋_GB2312" w:cs="仿宋_GB2312" w:eastAsia="仿宋_GB2312"/>
        </w:rPr>
        <w:t>详见附件：6.法定代表人授权书或身份证明.docx</w:t>
      </w:r>
    </w:p>
    <w:p>
      <w:pPr>
        <w:pStyle w:val="null3"/>
        <w:ind w:firstLine="960"/>
      </w:pPr>
      <w:r>
        <w:rPr>
          <w:rFonts w:ascii="仿宋_GB2312" w:hAnsi="仿宋_GB2312" w:cs="仿宋_GB2312" w:eastAsia="仿宋_GB2312"/>
        </w:rPr>
        <w:t>详见附件：7.供应商提交的相关资格证明材料.docx</w:t>
      </w:r>
    </w:p>
    <w:p>
      <w:pPr>
        <w:pStyle w:val="null3"/>
        <w:ind w:firstLine="960"/>
      </w:pPr>
      <w:r>
        <w:rPr>
          <w:rFonts w:ascii="仿宋_GB2312" w:hAnsi="仿宋_GB2312" w:cs="仿宋_GB2312" w:eastAsia="仿宋_GB2312"/>
        </w:rPr>
        <w:t>详见附件：8.1项目管理机构人员表.pdf</w:t>
      </w:r>
    </w:p>
    <w:p>
      <w:pPr>
        <w:pStyle w:val="null3"/>
        <w:ind w:firstLine="960"/>
      </w:pPr>
      <w:r>
        <w:rPr>
          <w:rFonts w:ascii="仿宋_GB2312" w:hAnsi="仿宋_GB2312" w:cs="仿宋_GB2312" w:eastAsia="仿宋_GB2312"/>
        </w:rPr>
        <w:t>详见附件：8.2主要人员简历表</w:t>
      </w:r>
    </w:p>
    <w:p>
      <w:pPr>
        <w:pStyle w:val="null3"/>
        <w:ind w:firstLine="960"/>
      </w:pPr>
      <w:r>
        <w:rPr>
          <w:rFonts w:ascii="仿宋_GB2312" w:hAnsi="仿宋_GB2312" w:cs="仿宋_GB2312" w:eastAsia="仿宋_GB2312"/>
        </w:rPr>
        <w:t>详见附件：9.1报价函</w:t>
      </w:r>
    </w:p>
    <w:p>
      <w:pPr>
        <w:pStyle w:val="null3"/>
        <w:ind w:firstLine="960"/>
      </w:pPr>
      <w:r>
        <w:rPr>
          <w:rFonts w:ascii="仿宋_GB2312" w:hAnsi="仿宋_GB2312" w:cs="仿宋_GB2312" w:eastAsia="仿宋_GB2312"/>
        </w:rPr>
        <w:t>详见附件：9.2标的清单</w:t>
      </w:r>
    </w:p>
    <w:p>
      <w:pPr>
        <w:pStyle w:val="null3"/>
        <w:ind w:firstLine="960"/>
      </w:pPr>
      <w:r>
        <w:rPr>
          <w:rFonts w:ascii="仿宋_GB2312" w:hAnsi="仿宋_GB2312" w:cs="仿宋_GB2312" w:eastAsia="仿宋_GB2312"/>
        </w:rPr>
        <w:t>详见附件：9.3已标价工程量清单</w:t>
      </w:r>
    </w:p>
    <w:p>
      <w:pPr>
        <w:pStyle w:val="null3"/>
        <w:ind w:firstLine="960"/>
      </w:pPr>
      <w:r>
        <w:rPr>
          <w:rFonts w:ascii="仿宋_GB2312" w:hAnsi="仿宋_GB2312" w:cs="仿宋_GB2312" w:eastAsia="仿宋_GB2312"/>
        </w:rPr>
        <w:t>详见附件：10.实施方案.docx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详见附件：施工合同（小城镇建设）.docx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