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4E5680">
      <w:pPr>
        <w:pStyle w:val="4"/>
        <w:rPr>
          <w:rFonts w:hint="default"/>
        </w:rPr>
      </w:pPr>
      <w:r>
        <w:rPr>
          <w:rFonts w:ascii="仿宋_GB2312" w:hAnsi="仿宋_GB2312" w:eastAsia="仿宋_GB2312" w:cs="仿宋_GB2312"/>
        </w:rPr>
        <w:t>采购包1：</w:t>
      </w:r>
    </w:p>
    <w:p w14:paraId="0BC38B3B">
      <w:pPr>
        <w:pStyle w:val="4"/>
        <w:rPr>
          <w:rFonts w:hint="default" w:eastAsia="仿宋_GB2312"/>
          <w:lang w:eastAsia="zh-CN"/>
        </w:rPr>
      </w:pPr>
      <w:r>
        <w:rPr>
          <w:rFonts w:ascii="仿宋_GB2312" w:hAnsi="仿宋_GB2312" w:eastAsia="仿宋_GB2312" w:cs="仿宋_GB2312"/>
        </w:rPr>
        <w:t>标的名称：</w:t>
      </w:r>
      <w:r>
        <w:rPr>
          <w:rFonts w:hint="eastAsia" w:ascii="仿宋_GB2312" w:hAnsi="仿宋_GB2312" w:eastAsia="仿宋_GB2312" w:cs="仿宋_GB2312"/>
        </w:rPr>
        <w:t>血细胞分离机配套管路A及租赁设备</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35"/>
        <w:gridCol w:w="1020"/>
        <w:gridCol w:w="6652"/>
      </w:tblGrid>
      <w:tr w14:paraId="6B3ED2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5" w:type="dxa"/>
          </w:tcPr>
          <w:p w14:paraId="49ADF262">
            <w:pPr>
              <w:pStyle w:val="4"/>
              <w:jc w:val="center"/>
              <w:rPr>
                <w:rFonts w:hint="default"/>
              </w:rPr>
            </w:pPr>
            <w:r>
              <w:rPr>
                <w:rFonts w:ascii="仿宋_GB2312" w:hAnsi="仿宋_GB2312" w:eastAsia="仿宋_GB2312" w:cs="仿宋_GB2312"/>
              </w:rPr>
              <w:t>序号</w:t>
            </w:r>
          </w:p>
        </w:tc>
        <w:tc>
          <w:tcPr>
            <w:tcW w:w="1020" w:type="dxa"/>
          </w:tcPr>
          <w:p w14:paraId="2DABF081">
            <w:pPr>
              <w:pStyle w:val="4"/>
              <w:jc w:val="center"/>
              <w:rPr>
                <w:rFonts w:hint="default"/>
              </w:rPr>
            </w:pPr>
            <w:r>
              <w:rPr>
                <w:rFonts w:ascii="仿宋_GB2312" w:hAnsi="仿宋_GB2312" w:eastAsia="仿宋_GB2312" w:cs="仿宋_GB2312"/>
              </w:rPr>
              <w:t>参数性质</w:t>
            </w:r>
          </w:p>
        </w:tc>
        <w:tc>
          <w:tcPr>
            <w:tcW w:w="6652" w:type="dxa"/>
          </w:tcPr>
          <w:p w14:paraId="3FDE0A48">
            <w:pPr>
              <w:pStyle w:val="4"/>
              <w:rPr>
                <w:rFonts w:hint="default"/>
              </w:rPr>
            </w:pPr>
            <w:r>
              <w:rPr>
                <w:rFonts w:ascii="仿宋_GB2312" w:hAnsi="仿宋_GB2312" w:eastAsia="仿宋_GB2312" w:cs="仿宋_GB2312"/>
              </w:rPr>
              <w:t xml:space="preserve"> 技术参数与性能指标</w:t>
            </w:r>
          </w:p>
        </w:tc>
      </w:tr>
      <w:tr w14:paraId="78FE9B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5" w:type="dxa"/>
          </w:tcPr>
          <w:p w14:paraId="0AE99A7E">
            <w:pPr>
              <w:pStyle w:val="4"/>
              <w:jc w:val="center"/>
              <w:rPr>
                <w:rFonts w:hint="default"/>
              </w:rPr>
            </w:pPr>
            <w:r>
              <w:rPr>
                <w:rFonts w:ascii="仿宋_GB2312" w:hAnsi="仿宋_GB2312" w:eastAsia="仿宋_GB2312" w:cs="仿宋_GB2312"/>
              </w:rPr>
              <w:t>1</w:t>
            </w:r>
          </w:p>
        </w:tc>
        <w:tc>
          <w:tcPr>
            <w:tcW w:w="1020" w:type="dxa"/>
          </w:tcPr>
          <w:p w14:paraId="6FF0BD19">
            <w:pPr>
              <w:jc w:val="center"/>
            </w:pPr>
          </w:p>
        </w:tc>
        <w:tc>
          <w:tcPr>
            <w:tcW w:w="6652" w:type="dxa"/>
          </w:tcPr>
          <w:p w14:paraId="1DC263C3">
            <w:pPr>
              <w:spacing w:line="360" w:lineRule="exact"/>
              <w:rPr>
                <w:rFonts w:ascii="仿宋" w:hAnsi="仿宋" w:eastAsia="仿宋" w:cs="仿宋"/>
                <w:sz w:val="18"/>
                <w:szCs w:val="18"/>
              </w:rPr>
            </w:pPr>
            <w:r>
              <w:rPr>
                <w:rFonts w:hint="eastAsia" w:ascii="仿宋" w:hAnsi="仿宋" w:eastAsia="仿宋" w:cs="仿宋"/>
                <w:sz w:val="18"/>
                <w:szCs w:val="18"/>
              </w:rPr>
              <w:t>一、技术要求</w:t>
            </w:r>
          </w:p>
          <w:p w14:paraId="2A50E5A6">
            <w:pPr>
              <w:pStyle w:val="4"/>
              <w:rPr>
                <w:rFonts w:hint="default" w:ascii="仿宋_GB2312" w:hAnsi="仿宋_GB2312" w:eastAsia="仿宋_GB2312" w:cs="仿宋_GB2312"/>
                <w:highlight w:val="none"/>
              </w:rPr>
            </w:pPr>
            <w:r>
              <w:rPr>
                <w:rFonts w:hint="eastAsia" w:ascii="仿宋" w:hAnsi="仿宋" w:eastAsia="仿宋" w:cs="仿宋"/>
                <w:highlight w:val="none"/>
                <w:lang w:eastAsia="zh-CN"/>
              </w:rPr>
              <w:t>▲</w:t>
            </w:r>
            <w:r>
              <w:rPr>
                <w:rFonts w:hint="default" w:ascii="仿宋_GB2312" w:hAnsi="仿宋_GB2312" w:eastAsia="仿宋_GB2312" w:cs="仿宋_GB2312"/>
                <w:highlight w:val="none"/>
              </w:rPr>
              <w:t>1.采集方式为单针采集双份血小板耗材，连续式分离，具备自动充放气袖带与抓具辅助采集功能。</w:t>
            </w:r>
          </w:p>
          <w:p w14:paraId="0AB8F47E">
            <w:pPr>
              <w:pStyle w:val="4"/>
              <w:rPr>
                <w:rFonts w:hint="default" w:ascii="仿宋_GB2312" w:hAnsi="仿宋_GB2312" w:eastAsia="仿宋_GB2312" w:cs="仿宋_GB2312"/>
                <w:highlight w:val="none"/>
              </w:rPr>
            </w:pPr>
            <w:r>
              <w:rPr>
                <w:rFonts w:hint="default" w:ascii="仿宋_GB2312" w:hAnsi="仿宋_GB2312" w:eastAsia="仿宋_GB2312" w:cs="仿宋_GB2312"/>
                <w:highlight w:val="none"/>
              </w:rPr>
              <w:t>2.耗材外包装为密封防压包装，灭菌方式为辐照灭菌；具备国际通用的条形码，可供血站</w:t>
            </w:r>
            <w:r>
              <w:rPr>
                <w:rFonts w:hint="eastAsia" w:ascii="仿宋_GB2312" w:hAnsi="仿宋_GB2312" w:eastAsia="仿宋_GB2312" w:cs="仿宋_GB2312"/>
                <w:highlight w:val="none"/>
                <w:lang w:val="en-US" w:eastAsia="zh-Hans"/>
              </w:rPr>
              <w:t>信息系统</w:t>
            </w:r>
            <w:r>
              <w:rPr>
                <w:rFonts w:hint="default" w:ascii="仿宋_GB2312" w:hAnsi="仿宋_GB2312" w:eastAsia="仿宋_GB2312" w:cs="仿宋_GB2312"/>
                <w:highlight w:val="none"/>
              </w:rPr>
              <w:t>阅读识别。</w:t>
            </w:r>
          </w:p>
          <w:p w14:paraId="53945DA1">
            <w:pPr>
              <w:pStyle w:val="4"/>
              <w:rPr>
                <w:rFonts w:hint="default" w:ascii="仿宋_GB2312" w:hAnsi="仿宋_GB2312" w:eastAsia="仿宋_GB2312" w:cs="仿宋_GB2312"/>
                <w:highlight w:val="none"/>
              </w:rPr>
            </w:pPr>
            <w:r>
              <w:rPr>
                <w:rFonts w:hint="default" w:ascii="仿宋_GB2312" w:hAnsi="仿宋_GB2312" w:eastAsia="仿宋_GB2312" w:cs="仿宋_GB2312"/>
                <w:highlight w:val="none"/>
              </w:rPr>
              <w:t>3.血小板耗材自带血小板保存袋，在20-24摄氏度、不间断震荡条件下，可保存血小板≥5天。</w:t>
            </w:r>
          </w:p>
          <w:p w14:paraId="512ECC09">
            <w:pPr>
              <w:pStyle w:val="4"/>
              <w:rPr>
                <w:rFonts w:hint="default" w:ascii="仿宋_GB2312" w:hAnsi="仿宋_GB2312" w:eastAsia="仿宋_GB2312" w:cs="仿宋_GB2312"/>
                <w:highlight w:val="none"/>
              </w:rPr>
            </w:pPr>
            <w:r>
              <w:rPr>
                <w:rFonts w:hint="default" w:ascii="仿宋_GB2312" w:hAnsi="仿宋_GB2312" w:eastAsia="仿宋_GB2312" w:cs="仿宋_GB2312"/>
                <w:highlight w:val="none"/>
              </w:rPr>
              <w:t>4.耗材具有独立的全血留样袋和血小板留样袋。并且全血留样袋上有取样器。耗材盐水连接管路、抗凝剂连接管路上均有除菌滤器。</w:t>
            </w:r>
          </w:p>
          <w:p w14:paraId="08971BD8">
            <w:pPr>
              <w:pStyle w:val="4"/>
              <w:rPr>
                <w:rFonts w:hint="default" w:ascii="仿宋_GB2312" w:hAnsi="仿宋_GB2312" w:eastAsia="仿宋_GB2312" w:cs="仿宋_GB2312"/>
                <w:highlight w:val="none"/>
              </w:rPr>
            </w:pPr>
            <w:r>
              <w:rPr>
                <w:rFonts w:hint="eastAsia" w:ascii="仿宋" w:hAnsi="仿宋" w:eastAsia="仿宋" w:cs="仿宋"/>
                <w:highlight w:val="none"/>
                <w:lang w:eastAsia="zh-CN"/>
              </w:rPr>
              <w:t>▲</w:t>
            </w:r>
            <w:r>
              <w:rPr>
                <w:rFonts w:hint="default" w:ascii="仿宋_GB2312" w:hAnsi="仿宋_GB2312" w:eastAsia="仿宋_GB2312" w:cs="仿宋_GB2312"/>
                <w:highlight w:val="none"/>
              </w:rPr>
              <w:t>5.具备盐水预充和盐水补偿功能，补充献血者血容量。</w:t>
            </w:r>
          </w:p>
          <w:p w14:paraId="35DD2135">
            <w:pPr>
              <w:pStyle w:val="4"/>
              <w:rPr>
                <w:rFonts w:hint="default" w:ascii="仿宋_GB2312" w:hAnsi="仿宋_GB2312" w:eastAsia="仿宋_GB2312" w:cs="仿宋_GB2312"/>
                <w:highlight w:val="none"/>
              </w:rPr>
            </w:pPr>
            <w:r>
              <w:rPr>
                <w:rFonts w:hint="default" w:ascii="仿宋_GB2312" w:hAnsi="仿宋_GB2312" w:eastAsia="仿宋_GB2312" w:cs="仿宋_GB2312"/>
                <w:highlight w:val="none"/>
              </w:rPr>
              <w:t>6.穿刺针头为17G穿刺针，针头部件使用鲁尔接头连接。</w:t>
            </w:r>
          </w:p>
          <w:p w14:paraId="72E76644">
            <w:pPr>
              <w:pStyle w:val="4"/>
              <w:rPr>
                <w:rFonts w:hint="default" w:ascii="仿宋_GB2312" w:hAnsi="仿宋_GB2312" w:eastAsia="仿宋_GB2312" w:cs="仿宋_GB2312"/>
                <w:highlight w:val="none"/>
              </w:rPr>
            </w:pPr>
            <w:r>
              <w:rPr>
                <w:rFonts w:hint="default" w:ascii="仿宋_GB2312" w:hAnsi="仿宋_GB2312" w:eastAsia="仿宋_GB2312" w:cs="仿宋_GB2312"/>
                <w:highlight w:val="none"/>
              </w:rPr>
              <w:t>7.同一款耗材可同时实现单份或双份血小板采集；具备单独采集血小板或单独采集血浆的功能；具备可同时采集血小板+血浆的功能。</w:t>
            </w:r>
          </w:p>
          <w:p w14:paraId="3768A9E5">
            <w:pPr>
              <w:pStyle w:val="4"/>
              <w:rPr>
                <w:rFonts w:hint="default" w:ascii="仿宋_GB2312" w:hAnsi="仿宋_GB2312" w:eastAsia="仿宋_GB2312" w:cs="仿宋_GB2312"/>
                <w:b/>
                <w:bCs/>
                <w:highlight w:val="none"/>
              </w:rPr>
            </w:pPr>
            <w:r>
              <w:rPr>
                <w:rFonts w:hint="eastAsia" w:ascii="仿宋" w:hAnsi="仿宋" w:eastAsia="仿宋" w:cs="仿宋"/>
                <w:highlight w:val="none"/>
                <w:lang w:eastAsia="zh-CN"/>
              </w:rPr>
              <w:t>▲</w:t>
            </w:r>
            <w:r>
              <w:rPr>
                <w:rFonts w:hint="default" w:ascii="仿宋_GB2312" w:hAnsi="仿宋_GB2312" w:eastAsia="仿宋_GB2312" w:cs="仿宋_GB2312"/>
                <w:highlight w:val="none"/>
              </w:rPr>
              <w:t>8.具有专利估算器。在安全采集双份血小板同时，考虑到脾释放等因素，确保不遗漏合格献血者。对符合国标要求的献血者的双份采集率</w:t>
            </w:r>
            <w:r>
              <w:rPr>
                <w:rFonts w:hint="eastAsia"/>
                <w:highlight w:val="none"/>
                <w:lang w:val="en-US" w:eastAsia="zh-CN"/>
              </w:rPr>
              <w:t>≥</w:t>
            </w:r>
            <w:r>
              <w:rPr>
                <w:rFonts w:hint="default" w:ascii="仿宋_GB2312" w:hAnsi="仿宋_GB2312" w:eastAsia="仿宋_GB2312" w:cs="仿宋_GB2312"/>
                <w:highlight w:val="none"/>
              </w:rPr>
              <w:t>80%。</w:t>
            </w:r>
          </w:p>
          <w:p w14:paraId="53E39E92">
            <w:pPr>
              <w:pStyle w:val="4"/>
              <w:rPr>
                <w:rFonts w:hint="default" w:ascii="仿宋_GB2312" w:hAnsi="仿宋_GB2312" w:eastAsia="仿宋_GB2312" w:cs="仿宋_GB2312"/>
                <w:highlight w:val="none"/>
              </w:rPr>
            </w:pPr>
            <w:r>
              <w:rPr>
                <w:rFonts w:hint="eastAsia" w:ascii="仿宋" w:hAnsi="仿宋" w:eastAsia="仿宋" w:cs="仿宋"/>
                <w:highlight w:val="none"/>
                <w:lang w:eastAsia="zh-CN"/>
              </w:rPr>
              <w:t>▲</w:t>
            </w:r>
            <w:r>
              <w:rPr>
                <w:rFonts w:hint="default" w:ascii="仿宋_GB2312" w:hAnsi="仿宋_GB2312" w:eastAsia="仿宋_GB2312" w:cs="仿宋_GB2312"/>
                <w:highlight w:val="none"/>
              </w:rPr>
              <w:t>9.采用独特设计的分离袋和收集袋实现两步分离。独特的连续式分离，血小板采集时间：单份≤45分钟，双份≤80分钟。</w:t>
            </w:r>
          </w:p>
          <w:p w14:paraId="2068E5BA">
            <w:pPr>
              <w:pStyle w:val="4"/>
              <w:rPr>
                <w:rFonts w:hint="default" w:ascii="仿宋_GB2312" w:hAnsi="仿宋_GB2312" w:eastAsia="仿宋_GB2312" w:cs="仿宋_GB2312"/>
                <w:highlight w:val="none"/>
              </w:rPr>
            </w:pPr>
            <w:r>
              <w:rPr>
                <w:rFonts w:hint="eastAsia" w:ascii="仿宋" w:hAnsi="仿宋" w:eastAsia="仿宋" w:cs="仿宋"/>
                <w:highlight w:val="none"/>
                <w:lang w:eastAsia="zh-CN"/>
              </w:rPr>
              <w:t>▲</w:t>
            </w:r>
            <w:r>
              <w:rPr>
                <w:rFonts w:hint="default" w:ascii="仿宋_GB2312" w:hAnsi="仿宋_GB2312" w:eastAsia="仿宋_GB2312" w:cs="仿宋_GB2312"/>
                <w:highlight w:val="none"/>
              </w:rPr>
              <w:t>10.献血者安全保障：每个循环体外循环血量</w:t>
            </w:r>
            <w:r>
              <w:rPr>
                <w:rFonts w:hint="eastAsia"/>
                <w:highlight w:val="none"/>
                <w:lang w:val="en-US" w:eastAsia="zh-CN"/>
              </w:rPr>
              <w:t>≤</w:t>
            </w:r>
            <w:r>
              <w:rPr>
                <w:rFonts w:hint="default" w:ascii="仿宋_GB2312" w:hAnsi="仿宋_GB2312" w:eastAsia="仿宋_GB2312" w:cs="仿宋_GB2312"/>
                <w:highlight w:val="none"/>
              </w:rPr>
              <w:t>210ml。</w:t>
            </w:r>
          </w:p>
          <w:p w14:paraId="00EE93F6">
            <w:pPr>
              <w:pStyle w:val="4"/>
              <w:rPr>
                <w:rFonts w:hint="default" w:ascii="仿宋_GB2312" w:hAnsi="仿宋_GB2312" w:eastAsia="仿宋_GB2312" w:cs="仿宋_GB2312"/>
                <w:highlight w:val="none"/>
              </w:rPr>
            </w:pPr>
            <w:r>
              <w:rPr>
                <w:rFonts w:hint="default" w:ascii="仿宋_GB2312" w:hAnsi="仿宋_GB2312" w:eastAsia="仿宋_GB2312" w:cs="仿宋_GB2312"/>
                <w:highlight w:val="none"/>
              </w:rPr>
              <w:t>11.采集完成后管路中的红细胞残留量≤30ml 。</w:t>
            </w:r>
          </w:p>
          <w:p w14:paraId="2227829C">
            <w:pPr>
              <w:pStyle w:val="4"/>
              <w:rPr>
                <w:rFonts w:hint="default" w:ascii="仿宋_GB2312" w:hAnsi="仿宋_GB2312" w:eastAsia="仿宋_GB2312" w:cs="仿宋_GB2312"/>
                <w:highlight w:val="none"/>
              </w:rPr>
            </w:pPr>
            <w:r>
              <w:rPr>
                <w:rFonts w:hint="default" w:ascii="仿宋_GB2312" w:hAnsi="仿宋_GB2312" w:eastAsia="仿宋_GB2312" w:cs="仿宋_GB2312"/>
                <w:highlight w:val="none"/>
              </w:rPr>
              <w:t>12.终产品体积恒定与工作人员预设值完全一致。</w:t>
            </w:r>
          </w:p>
          <w:p w14:paraId="4DE4896A">
            <w:pPr>
              <w:pStyle w:val="4"/>
              <w:rPr>
                <w:rFonts w:hint="default" w:ascii="仿宋_GB2312" w:hAnsi="仿宋_GB2312" w:eastAsia="仿宋_GB2312" w:cs="仿宋_GB2312"/>
              </w:rPr>
            </w:pPr>
            <w:r>
              <w:rPr>
                <w:rFonts w:hint="eastAsia" w:ascii="仿宋" w:hAnsi="仿宋" w:eastAsia="仿宋" w:cs="仿宋"/>
                <w:highlight w:val="none"/>
                <w:lang w:eastAsia="zh-CN"/>
              </w:rPr>
              <w:t>▲</w:t>
            </w:r>
            <w:r>
              <w:rPr>
                <w:rFonts w:hint="default" w:ascii="仿宋_GB2312" w:hAnsi="仿宋_GB2312" w:eastAsia="仿宋_GB2312" w:cs="仿宋_GB2312"/>
                <w:highlight w:val="none"/>
              </w:rPr>
              <w:t>13.血小板产品中，血小板含量≥2.5×10</w:t>
            </w:r>
            <w:r>
              <w:rPr>
                <w:rFonts w:hint="default" w:ascii="仿宋_GB2312" w:hAnsi="仿宋_GB2312" w:eastAsia="仿宋_GB2312" w:cs="仿宋_GB2312"/>
                <w:highlight w:val="none"/>
                <w:vertAlign w:val="superscript"/>
              </w:rPr>
              <w:t>11</w:t>
            </w:r>
            <w:r>
              <w:rPr>
                <w:rFonts w:hint="default" w:ascii="仿宋_GB2312" w:hAnsi="仿宋_GB2312" w:eastAsia="仿宋_GB2312" w:cs="仿宋_GB2312"/>
                <w:highlight w:val="none"/>
              </w:rPr>
              <w:t>个/袋，白细胞混入量≤1×10</w:t>
            </w:r>
            <w:r>
              <w:rPr>
                <w:rFonts w:hint="default" w:ascii="仿宋_GB2312" w:hAnsi="仿宋_GB2312" w:eastAsia="仿宋_GB2312" w:cs="仿宋_GB2312"/>
                <w:highlight w:val="none"/>
                <w:vertAlign w:val="superscript"/>
              </w:rPr>
              <w:t>6</w:t>
            </w:r>
            <w:r>
              <w:rPr>
                <w:rFonts w:hint="default" w:ascii="仿宋_GB2312" w:hAnsi="仿宋_GB2312" w:eastAsia="仿宋_GB2312" w:cs="仿宋_GB2312"/>
                <w:highlight w:val="none"/>
              </w:rPr>
              <w:t>个/袋；非</w:t>
            </w:r>
            <w:r>
              <w:rPr>
                <w:rFonts w:hint="default" w:ascii="仿宋_GB2312" w:hAnsi="仿宋_GB2312" w:eastAsia="仿宋_GB2312" w:cs="仿宋_GB2312"/>
              </w:rPr>
              <w:t>过滤式的在线去白技术，无血小板激化。</w:t>
            </w:r>
          </w:p>
          <w:p w14:paraId="3B4AB9CC">
            <w:pPr>
              <w:pStyle w:val="4"/>
              <w:rPr>
                <w:rFonts w:hint="default" w:ascii="仿宋_GB2312" w:hAnsi="仿宋_GB2312" w:eastAsia="仿宋_GB2312" w:cs="仿宋_GB2312"/>
              </w:rPr>
            </w:pPr>
            <w:r>
              <w:rPr>
                <w:rFonts w:hint="default" w:ascii="仿宋_GB2312" w:hAnsi="仿宋_GB2312" w:eastAsia="仿宋_GB2312" w:cs="仿宋_GB2312"/>
              </w:rPr>
              <w:t>14.具有界面探测系统，确保采集过程中无血小板充红现象发生。血小板产品中红细胞混入量≤8×10</w:t>
            </w:r>
            <w:r>
              <w:rPr>
                <w:rFonts w:hint="default" w:ascii="仿宋_GB2312" w:hAnsi="仿宋_GB2312" w:eastAsia="仿宋_GB2312" w:cs="仿宋_GB2312"/>
                <w:vertAlign w:val="superscript"/>
              </w:rPr>
              <w:t>9</w:t>
            </w:r>
            <w:r>
              <w:rPr>
                <w:rFonts w:hint="default" w:ascii="仿宋_GB2312" w:hAnsi="仿宋_GB2312" w:eastAsia="仿宋_GB2312" w:cs="仿宋_GB2312"/>
              </w:rPr>
              <w:t>个/袋。</w:t>
            </w:r>
          </w:p>
        </w:tc>
      </w:tr>
      <w:tr w14:paraId="779A2D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5" w:type="dxa"/>
          </w:tcPr>
          <w:p w14:paraId="1237ED3B">
            <w:pPr>
              <w:pStyle w:val="4"/>
              <w:jc w:val="center"/>
              <w:rPr>
                <w:rFonts w:hint="default"/>
              </w:rPr>
            </w:pPr>
            <w:r>
              <w:rPr>
                <w:rFonts w:ascii="仿宋_GB2312" w:hAnsi="仿宋_GB2312" w:eastAsia="仿宋_GB2312" w:cs="仿宋_GB2312"/>
              </w:rPr>
              <w:t>2</w:t>
            </w:r>
          </w:p>
        </w:tc>
        <w:tc>
          <w:tcPr>
            <w:tcW w:w="1020" w:type="dxa"/>
          </w:tcPr>
          <w:p w14:paraId="14FCE9AC">
            <w:pPr>
              <w:jc w:val="center"/>
            </w:pPr>
          </w:p>
        </w:tc>
        <w:tc>
          <w:tcPr>
            <w:tcW w:w="6652" w:type="dxa"/>
          </w:tcPr>
          <w:p w14:paraId="6D7A40F1">
            <w:pPr>
              <w:numPr>
                <w:ilvl w:val="0"/>
                <w:numId w:val="0"/>
              </w:numPr>
              <w:spacing w:line="360" w:lineRule="exact"/>
              <w:rPr>
                <w:rFonts w:hint="eastAsia" w:ascii="仿宋_GB2312" w:hAnsi="仿宋_GB2312" w:eastAsia="仿宋_GB2312" w:cs="仿宋_GB2312"/>
                <w:sz w:val="20"/>
                <w:szCs w:val="20"/>
                <w:highlight w:val="none"/>
              </w:rPr>
            </w:pPr>
            <w:r>
              <w:rPr>
                <w:rFonts w:hint="eastAsia" w:ascii="仿宋_GB2312" w:hAnsi="仿宋_GB2312" w:eastAsia="仿宋_GB2312" w:cs="仿宋_GB2312"/>
                <w:kern w:val="2"/>
                <w:sz w:val="20"/>
                <w:szCs w:val="20"/>
                <w:lang w:val="en-US" w:eastAsia="zh-CN" w:bidi="ar-SA"/>
              </w:rPr>
              <w:t>二、</w:t>
            </w:r>
            <w:r>
              <w:rPr>
                <w:rFonts w:hint="eastAsia" w:ascii="仿宋_GB2312" w:hAnsi="仿宋_GB2312" w:eastAsia="仿宋_GB2312" w:cs="仿宋_GB2312"/>
                <w:sz w:val="20"/>
                <w:szCs w:val="20"/>
                <w:highlight w:val="none"/>
              </w:rPr>
              <w:t>服务要求</w:t>
            </w:r>
          </w:p>
          <w:p w14:paraId="5BA49429">
            <w:pPr>
              <w:numPr>
                <w:ilvl w:val="0"/>
                <w:numId w:val="0"/>
              </w:numPr>
              <w:spacing w:line="360" w:lineRule="exac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在合同执行过程中需要供应商应执行的伴随服务的服务标准或应当履行的相关义务。</w:t>
            </w:r>
          </w:p>
          <w:p w14:paraId="0878DFD2">
            <w:pPr>
              <w:spacing w:line="360" w:lineRule="exac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1.技术服务承诺：乙方提供必要的技术支持，包括现场指导、集中授课、专项操作等。</w:t>
            </w:r>
          </w:p>
          <w:p w14:paraId="3BC58B8F">
            <w:pPr>
              <w:spacing w:line="360" w:lineRule="exac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2.提供备用机和采血椅供甲方使用。</w:t>
            </w:r>
          </w:p>
          <w:p w14:paraId="13A81A12">
            <w:pPr>
              <w:spacing w:line="360" w:lineRule="exac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3.甲方仪器的保养、维护由厂家提供。</w:t>
            </w:r>
          </w:p>
          <w:p w14:paraId="5E3082AA">
            <w:pPr>
              <w:spacing w:line="360" w:lineRule="exact"/>
              <w:rPr>
                <w:rFonts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4.售后服务承诺：甲方发现产品有质量或可能影响质量问题时，乙方接到通知后4小时内到达现场或通过视频对话解决问题。因产品质量问题造成的耗材报废、血液报废和献血者血液的丢失，乙方应给甲方1-3倍的赔偿，赔偿应在发生之日起2个月内完成赔偿。</w:t>
            </w:r>
          </w:p>
        </w:tc>
      </w:tr>
      <w:tr w14:paraId="1B1707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5" w:type="dxa"/>
          </w:tcPr>
          <w:p w14:paraId="74581E0D">
            <w:pPr>
              <w:pStyle w:val="4"/>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w:t>
            </w:r>
          </w:p>
        </w:tc>
        <w:tc>
          <w:tcPr>
            <w:tcW w:w="1020" w:type="dxa"/>
          </w:tcPr>
          <w:p w14:paraId="78B429F9">
            <w:pPr>
              <w:jc w:val="center"/>
            </w:pPr>
          </w:p>
        </w:tc>
        <w:tc>
          <w:tcPr>
            <w:tcW w:w="6652" w:type="dxa"/>
          </w:tcPr>
          <w:p w14:paraId="429EAB97">
            <w:pPr>
              <w:spacing w:line="400" w:lineRule="exact"/>
              <w:rPr>
                <w:rFonts w:ascii="仿宋" w:hAnsi="仿宋" w:eastAsia="仿宋" w:cs="仿宋"/>
                <w:b/>
                <w:sz w:val="20"/>
                <w:szCs w:val="20"/>
                <w:highlight w:val="none"/>
              </w:rPr>
            </w:pPr>
            <w:r>
              <w:rPr>
                <w:rFonts w:hint="eastAsia" w:ascii="仿宋" w:hAnsi="仿宋" w:eastAsia="仿宋" w:cs="仿宋"/>
                <w:b/>
                <w:sz w:val="20"/>
                <w:szCs w:val="20"/>
                <w:highlight w:val="none"/>
              </w:rPr>
              <w:t>三、设备租赁要求</w:t>
            </w:r>
          </w:p>
          <w:p w14:paraId="0692655A">
            <w:pPr>
              <w:spacing w:line="360" w:lineRule="exact"/>
              <w:rPr>
                <w:rFonts w:ascii="仿宋" w:hAnsi="仿宋" w:eastAsia="仿宋" w:cs="仿宋"/>
                <w:sz w:val="20"/>
                <w:szCs w:val="20"/>
                <w:highlight w:val="none"/>
              </w:rPr>
            </w:pPr>
            <w:r>
              <w:rPr>
                <w:rFonts w:hint="eastAsia" w:ascii="仿宋" w:hAnsi="仿宋" w:eastAsia="仿宋" w:cs="仿宋"/>
                <w:sz w:val="20"/>
                <w:szCs w:val="20"/>
                <w:highlight w:val="none"/>
              </w:rPr>
              <w:t>（1）设备租赁需求：投标人需提供与其耗材相配套的仪器设备供甲方租赁使用，至少提供血细胞分离机28台、采血椅28台。仪器设备的保养、维护由厂家提供。</w:t>
            </w:r>
          </w:p>
          <w:p w14:paraId="3B10801B">
            <w:pPr>
              <w:spacing w:line="360" w:lineRule="exact"/>
              <w:rPr>
                <w:rFonts w:hint="eastAsia" w:ascii="仿宋_GB2312" w:hAnsi="仿宋_GB2312" w:eastAsia="仿宋_GB2312" w:cs="仿宋_GB2312"/>
                <w:sz w:val="20"/>
                <w:szCs w:val="20"/>
                <w:highlight w:val="none"/>
              </w:rPr>
            </w:pPr>
            <w:r>
              <w:rPr>
                <w:rFonts w:hint="eastAsia" w:ascii="仿宋" w:hAnsi="仿宋" w:eastAsia="仿宋" w:cs="仿宋"/>
                <w:sz w:val="20"/>
                <w:szCs w:val="20"/>
                <w:highlight w:val="none"/>
              </w:rPr>
              <w:t>（2）各投标人根据自身情况自主报价</w:t>
            </w:r>
            <w:r>
              <w:rPr>
                <w:rFonts w:hint="eastAsia" w:ascii="仿宋" w:hAnsi="仿宋" w:eastAsia="仿宋" w:cs="仿宋"/>
                <w:sz w:val="20"/>
                <w:szCs w:val="20"/>
                <w:highlight w:val="none"/>
                <w:lang w:eastAsia="zh-CN"/>
              </w:rPr>
              <w:t>，</w:t>
            </w:r>
            <w:r>
              <w:rPr>
                <w:rFonts w:hint="eastAsia" w:ascii="仿宋" w:hAnsi="仿宋" w:eastAsia="仿宋" w:cs="仿宋"/>
                <w:sz w:val="20"/>
                <w:szCs w:val="20"/>
                <w:highlight w:val="none"/>
              </w:rPr>
              <w:t>报价应包含血细胞分离机配套管路A及设备租赁费用，费用随每批次耗材验收合格后同步结算。</w:t>
            </w:r>
          </w:p>
        </w:tc>
      </w:tr>
      <w:tr w14:paraId="226912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5" w:type="dxa"/>
          </w:tcPr>
          <w:p w14:paraId="208BFC2D">
            <w:pPr>
              <w:pStyle w:val="4"/>
              <w:jc w:val="center"/>
              <w:rPr>
                <w:rFonts w:hint="default" w:ascii="仿宋_GB2312" w:hAnsi="仿宋_GB2312" w:eastAsia="仿宋_GB2312" w:cs="仿宋_GB2312"/>
                <w:lang w:eastAsia="zh-CN"/>
              </w:rPr>
            </w:pPr>
            <w:r>
              <w:rPr>
                <w:rFonts w:hint="eastAsia" w:ascii="仿宋_GB2312" w:hAnsi="仿宋_GB2312" w:eastAsia="仿宋_GB2312" w:cs="仿宋_GB2312"/>
                <w:lang w:val="en-US" w:eastAsia="zh-CN"/>
              </w:rPr>
              <w:t>4</w:t>
            </w:r>
          </w:p>
        </w:tc>
        <w:tc>
          <w:tcPr>
            <w:tcW w:w="1020" w:type="dxa"/>
          </w:tcPr>
          <w:p w14:paraId="2AE8E531">
            <w:pPr>
              <w:jc w:val="center"/>
            </w:pPr>
          </w:p>
        </w:tc>
        <w:tc>
          <w:tcPr>
            <w:tcW w:w="6652" w:type="dxa"/>
          </w:tcPr>
          <w:p w14:paraId="6B52AD2C">
            <w:pPr>
              <w:spacing w:line="360" w:lineRule="exact"/>
              <w:rPr>
                <w:rFonts w:hint="default"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四、其他要求</w:t>
            </w:r>
          </w:p>
          <w:p w14:paraId="2D5A35B6">
            <w:pPr>
              <w:spacing w:line="360" w:lineRule="exac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1.</w:t>
            </w:r>
            <w:r>
              <w:rPr>
                <w:rFonts w:hint="eastAsia" w:ascii="仿宋_GB2312" w:hAnsi="仿宋_GB2312" w:eastAsia="仿宋_GB2312" w:cs="仿宋_GB2312"/>
                <w:sz w:val="20"/>
                <w:szCs w:val="20"/>
                <w:highlight w:val="none"/>
              </w:rPr>
              <w:t>供货期：自合同签订之日起一年</w:t>
            </w:r>
            <w:r>
              <w:rPr>
                <w:rFonts w:hint="eastAsia" w:ascii="仿宋_GB2312" w:hAnsi="仿宋_GB2312" w:eastAsia="仿宋_GB2312" w:cs="仿宋_GB2312"/>
                <w:sz w:val="20"/>
                <w:szCs w:val="20"/>
                <w:highlight w:val="none"/>
                <w:lang w:eastAsia="zh-CN"/>
              </w:rPr>
              <w:t>内</w:t>
            </w:r>
            <w:r>
              <w:rPr>
                <w:rFonts w:hint="eastAsia" w:ascii="仿宋_GB2312" w:hAnsi="仿宋_GB2312" w:eastAsia="仿宋_GB2312" w:cs="仿宋_GB2312"/>
                <w:sz w:val="20"/>
                <w:szCs w:val="20"/>
                <w:highlight w:val="none"/>
              </w:rPr>
              <w:t>按需配送。</w:t>
            </w:r>
          </w:p>
          <w:p w14:paraId="1B3A9B21">
            <w:pPr>
              <w:spacing w:line="360" w:lineRule="exac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2.</w:t>
            </w:r>
            <w:r>
              <w:rPr>
                <w:rFonts w:hint="eastAsia" w:ascii="仿宋_GB2312" w:hAnsi="仿宋_GB2312" w:eastAsia="仿宋_GB2312" w:cs="仿宋_GB2312"/>
                <w:sz w:val="20"/>
                <w:szCs w:val="20"/>
                <w:highlight w:val="none"/>
              </w:rPr>
              <w:t>交货时间：接到采购人订单之日起7日内交货。</w:t>
            </w:r>
          </w:p>
          <w:p w14:paraId="0B485731">
            <w:pPr>
              <w:spacing w:line="360" w:lineRule="exac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3.</w:t>
            </w:r>
            <w:r>
              <w:rPr>
                <w:rFonts w:hint="eastAsia" w:ascii="仿宋_GB2312" w:hAnsi="仿宋_GB2312" w:eastAsia="仿宋_GB2312" w:cs="仿宋_GB2312"/>
                <w:sz w:val="20"/>
                <w:szCs w:val="20"/>
                <w:highlight w:val="none"/>
              </w:rPr>
              <w:t>款项结算：合同签订后分批采购，分批付款。每批次产品经甲方确认合格后，按实际用量据实支付。</w:t>
            </w:r>
          </w:p>
          <w:p w14:paraId="6AB9A65A">
            <w:pPr>
              <w:spacing w:line="360" w:lineRule="exac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4.</w:t>
            </w:r>
            <w:r>
              <w:rPr>
                <w:rFonts w:hint="eastAsia" w:ascii="仿宋_GB2312" w:hAnsi="仿宋_GB2312" w:eastAsia="仿宋_GB2312" w:cs="仿宋_GB2312"/>
                <w:sz w:val="20"/>
                <w:szCs w:val="20"/>
                <w:highlight w:val="none"/>
              </w:rPr>
              <w:t>交货地点：西安市中心血站指定地点。</w:t>
            </w:r>
          </w:p>
          <w:p w14:paraId="263A7C0B">
            <w:pPr>
              <w:spacing w:line="360" w:lineRule="exac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5.</w:t>
            </w:r>
            <w:r>
              <w:rPr>
                <w:rFonts w:hint="eastAsia" w:ascii="仿宋_GB2312" w:hAnsi="仿宋_GB2312" w:eastAsia="仿宋_GB2312" w:cs="仿宋_GB2312"/>
                <w:sz w:val="20"/>
                <w:szCs w:val="20"/>
                <w:highlight w:val="none"/>
              </w:rPr>
              <w:t>质量验收标准或规范</w:t>
            </w:r>
          </w:p>
          <w:p w14:paraId="3DBA417F">
            <w:pPr>
              <w:spacing w:line="360" w:lineRule="exac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现行的国家标准或国家行政部门颁布的法律法规、规章制度等，是项目验收的另一个重要依据。没有国家标准的，可以参考行业标准。</w:t>
            </w:r>
          </w:p>
          <w:p w14:paraId="2F88E4C0">
            <w:pPr>
              <w:spacing w:line="360" w:lineRule="exact"/>
              <w:rPr>
                <w:rFonts w:hint="eastAsia" w:ascii="仿宋_GB2312" w:hAnsi="仿宋_GB2312" w:eastAsia="仿宋_GB2312" w:cs="仿宋_GB2312"/>
                <w:sz w:val="20"/>
                <w:szCs w:val="20"/>
                <w:highlight w:val="none"/>
                <w:lang w:eastAsia="zh-CN"/>
              </w:rPr>
            </w:pPr>
            <w:r>
              <w:rPr>
                <w:rFonts w:hint="eastAsia" w:ascii="仿宋_GB2312" w:hAnsi="仿宋_GB2312" w:eastAsia="仿宋_GB2312" w:cs="仿宋_GB2312"/>
                <w:sz w:val="20"/>
                <w:szCs w:val="20"/>
                <w:highlight w:val="none"/>
                <w:lang w:val="en-US" w:eastAsia="zh-CN"/>
              </w:rPr>
              <w:t>6.</w:t>
            </w:r>
            <w:r>
              <w:rPr>
                <w:rFonts w:hint="eastAsia" w:ascii="仿宋_GB2312" w:hAnsi="仿宋_GB2312" w:eastAsia="仿宋_GB2312" w:cs="仿宋_GB2312"/>
                <w:sz w:val="20"/>
                <w:szCs w:val="20"/>
                <w:highlight w:val="none"/>
              </w:rPr>
              <w:t>产品质保期</w:t>
            </w:r>
            <w:r>
              <w:rPr>
                <w:rFonts w:hint="eastAsia" w:ascii="仿宋_GB2312" w:hAnsi="仿宋_GB2312" w:eastAsia="仿宋_GB2312" w:cs="仿宋_GB2312"/>
                <w:sz w:val="20"/>
                <w:szCs w:val="20"/>
                <w:highlight w:val="none"/>
                <w:lang w:eastAsia="zh-CN"/>
              </w:rPr>
              <w:t>：</w:t>
            </w:r>
          </w:p>
          <w:p w14:paraId="162895AA">
            <w:pPr>
              <w:spacing w:line="360" w:lineRule="exac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保质期：收货后有效期≥12个月。</w:t>
            </w:r>
          </w:p>
          <w:p w14:paraId="15C4E8C3">
            <w:pPr>
              <w:spacing w:line="360" w:lineRule="exact"/>
              <w:rPr>
                <w:rFonts w:hint="eastAsia" w:ascii="仿宋_GB2312" w:hAnsi="仿宋_GB2312" w:eastAsia="仿宋_GB2312" w:cs="仿宋_GB2312"/>
                <w:sz w:val="20"/>
                <w:szCs w:val="20"/>
                <w:highlight w:val="none"/>
                <w:lang w:eastAsia="zh-CN"/>
              </w:rPr>
            </w:pPr>
            <w:r>
              <w:rPr>
                <w:rFonts w:hint="eastAsia" w:ascii="仿宋_GB2312" w:hAnsi="仿宋_GB2312" w:eastAsia="仿宋_GB2312" w:cs="仿宋_GB2312"/>
                <w:sz w:val="20"/>
                <w:szCs w:val="20"/>
                <w:highlight w:val="none"/>
                <w:lang w:val="en-US" w:eastAsia="zh-CN"/>
              </w:rPr>
              <w:t>7.</w:t>
            </w:r>
            <w:r>
              <w:rPr>
                <w:rFonts w:hint="eastAsia" w:ascii="仿宋_GB2312" w:hAnsi="仿宋_GB2312" w:eastAsia="仿宋_GB2312" w:cs="仿宋_GB2312"/>
                <w:sz w:val="20"/>
                <w:szCs w:val="20"/>
                <w:highlight w:val="none"/>
              </w:rPr>
              <w:t>违约责任</w:t>
            </w:r>
            <w:r>
              <w:rPr>
                <w:rFonts w:hint="eastAsia" w:ascii="仿宋_GB2312" w:hAnsi="仿宋_GB2312" w:eastAsia="仿宋_GB2312" w:cs="仿宋_GB2312"/>
                <w:sz w:val="20"/>
                <w:szCs w:val="20"/>
                <w:highlight w:val="none"/>
                <w:lang w:eastAsia="zh-CN"/>
              </w:rPr>
              <w:t>：</w:t>
            </w:r>
          </w:p>
          <w:p w14:paraId="72837F92">
            <w:pPr>
              <w:spacing w:line="360" w:lineRule="exact"/>
            </w:pPr>
            <w:r>
              <w:rPr>
                <w:rFonts w:hint="eastAsia" w:ascii="仿宋_GB2312" w:hAnsi="仿宋_GB2312" w:eastAsia="仿宋_GB2312" w:cs="仿宋_GB2312"/>
                <w:sz w:val="20"/>
                <w:szCs w:val="20"/>
                <w:highlight w:val="none"/>
              </w:rPr>
              <w:t>一般与合同款项的支付相关，注意不要超出《民法典》中对于违约的责任上限。</w:t>
            </w:r>
          </w:p>
        </w:tc>
      </w:tr>
    </w:tbl>
    <w:p w14:paraId="699FE2F8">
      <w:pPr>
        <w:pStyle w:val="4"/>
        <w:rPr>
          <w:rFonts w:hint="default" w:ascii="仿宋_GB2312" w:hAnsi="仿宋_GB2312" w:eastAsia="仿宋_GB2312" w:cs="仿宋_GB2312"/>
        </w:rPr>
      </w:pPr>
    </w:p>
    <w:p w14:paraId="3CB80FAF">
      <w:pPr>
        <w:pStyle w:val="4"/>
        <w:rPr>
          <w:rFonts w:hint="default"/>
        </w:rPr>
      </w:pPr>
      <w:r>
        <w:rPr>
          <w:rFonts w:ascii="仿宋_GB2312" w:hAnsi="仿宋_GB2312" w:eastAsia="仿宋_GB2312" w:cs="仿宋_GB2312"/>
        </w:rPr>
        <w:t>采购包</w:t>
      </w:r>
      <w:r>
        <w:rPr>
          <w:rFonts w:hint="eastAsia" w:ascii="仿宋_GB2312" w:hAnsi="仿宋_GB2312" w:eastAsia="仿宋_GB2312" w:cs="仿宋_GB2312"/>
          <w:lang w:val="en-US" w:eastAsia="zh-CN"/>
        </w:rPr>
        <w:t>2</w:t>
      </w:r>
      <w:r>
        <w:rPr>
          <w:rFonts w:ascii="仿宋_GB2312" w:hAnsi="仿宋_GB2312" w:eastAsia="仿宋_GB2312" w:cs="仿宋_GB2312"/>
        </w:rPr>
        <w:t>：</w:t>
      </w:r>
    </w:p>
    <w:p w14:paraId="565871D0">
      <w:pPr>
        <w:pStyle w:val="4"/>
        <w:rPr>
          <w:rFonts w:hint="default" w:eastAsia="仿宋_GB2312"/>
          <w:highlight w:val="yellow"/>
          <w:lang w:eastAsia="zh-CN"/>
        </w:rPr>
      </w:pPr>
      <w:r>
        <w:rPr>
          <w:rFonts w:ascii="仿宋_GB2312" w:hAnsi="仿宋_GB2312" w:eastAsia="仿宋_GB2312" w:cs="仿宋_GB2312"/>
        </w:rPr>
        <w:t>标的名称：</w:t>
      </w:r>
      <w:r>
        <w:rPr>
          <w:rFonts w:hint="eastAsia" w:ascii="仿宋_GB2312" w:hAnsi="仿宋_GB2312" w:eastAsia="仿宋_GB2312" w:cs="仿宋_GB2312"/>
          <w:kern w:val="0"/>
          <w:sz w:val="20"/>
          <w:szCs w:val="20"/>
          <w:lang w:val="en-US" w:eastAsia="zh-Hans" w:bidi="ar-SA"/>
        </w:rPr>
        <w:t>血细胞分析</w:t>
      </w:r>
      <w:r>
        <w:rPr>
          <w:rFonts w:hint="eastAsia" w:ascii="仿宋_GB2312" w:hAnsi="仿宋_GB2312" w:eastAsia="仿宋_GB2312" w:cs="仿宋_GB2312"/>
          <w:kern w:val="0"/>
          <w:sz w:val="20"/>
          <w:szCs w:val="20"/>
          <w:lang w:val="en-US" w:eastAsia="zh-CN" w:bidi="ar-SA"/>
        </w:rPr>
        <w:t>仪配套试剂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35"/>
        <w:gridCol w:w="1020"/>
        <w:gridCol w:w="6652"/>
      </w:tblGrid>
      <w:tr w14:paraId="4FDFC0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5" w:type="dxa"/>
          </w:tcPr>
          <w:p w14:paraId="6D9C395A">
            <w:pPr>
              <w:pStyle w:val="4"/>
              <w:jc w:val="center"/>
              <w:rPr>
                <w:rFonts w:hint="default"/>
              </w:rPr>
            </w:pPr>
            <w:r>
              <w:rPr>
                <w:rFonts w:ascii="仿宋_GB2312" w:hAnsi="仿宋_GB2312" w:eastAsia="仿宋_GB2312" w:cs="仿宋_GB2312"/>
              </w:rPr>
              <w:t>序号</w:t>
            </w:r>
          </w:p>
        </w:tc>
        <w:tc>
          <w:tcPr>
            <w:tcW w:w="1020" w:type="dxa"/>
          </w:tcPr>
          <w:p w14:paraId="6852FFE2">
            <w:pPr>
              <w:pStyle w:val="4"/>
              <w:jc w:val="center"/>
              <w:rPr>
                <w:rFonts w:hint="default"/>
              </w:rPr>
            </w:pPr>
            <w:r>
              <w:rPr>
                <w:rFonts w:ascii="仿宋_GB2312" w:hAnsi="仿宋_GB2312" w:eastAsia="仿宋_GB2312" w:cs="仿宋_GB2312"/>
              </w:rPr>
              <w:t>参数性质</w:t>
            </w:r>
          </w:p>
        </w:tc>
        <w:tc>
          <w:tcPr>
            <w:tcW w:w="6652" w:type="dxa"/>
          </w:tcPr>
          <w:p w14:paraId="00380891">
            <w:pPr>
              <w:pStyle w:val="4"/>
              <w:rPr>
                <w:rFonts w:hint="default"/>
              </w:rPr>
            </w:pPr>
            <w:r>
              <w:rPr>
                <w:rFonts w:ascii="仿宋_GB2312" w:hAnsi="仿宋_GB2312" w:eastAsia="仿宋_GB2312" w:cs="仿宋_GB2312"/>
              </w:rPr>
              <w:t xml:space="preserve"> 技术参数与性能指标</w:t>
            </w:r>
          </w:p>
        </w:tc>
      </w:tr>
      <w:tr w14:paraId="15A374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5" w:type="dxa"/>
          </w:tcPr>
          <w:p w14:paraId="51FE8032">
            <w:pPr>
              <w:pStyle w:val="4"/>
              <w:jc w:val="center"/>
              <w:rPr>
                <w:rFonts w:hint="default"/>
              </w:rPr>
            </w:pPr>
            <w:r>
              <w:rPr>
                <w:rFonts w:ascii="仿宋_GB2312" w:hAnsi="仿宋_GB2312" w:eastAsia="仿宋_GB2312" w:cs="仿宋_GB2312"/>
              </w:rPr>
              <w:t>1</w:t>
            </w:r>
          </w:p>
        </w:tc>
        <w:tc>
          <w:tcPr>
            <w:tcW w:w="1020" w:type="dxa"/>
          </w:tcPr>
          <w:p w14:paraId="12F1DFEC">
            <w:pPr>
              <w:jc w:val="center"/>
            </w:pPr>
          </w:p>
        </w:tc>
        <w:tc>
          <w:tcPr>
            <w:tcW w:w="6652" w:type="dxa"/>
          </w:tcPr>
          <w:p w14:paraId="1CC828D1">
            <w:pPr>
              <w:spacing w:line="360" w:lineRule="exact"/>
              <w:rPr>
                <w:rFonts w:hint="eastAsia" w:ascii="仿宋_GB2312" w:hAnsi="仿宋_GB2312" w:eastAsia="仿宋_GB2312" w:cs="仿宋_GB2312"/>
                <w:kern w:val="0"/>
                <w:sz w:val="20"/>
                <w:szCs w:val="20"/>
                <w:highlight w:val="none"/>
                <w:lang w:val="en-US" w:eastAsia="zh-CN" w:bidi="ar-SA"/>
              </w:rPr>
            </w:pPr>
            <w:r>
              <w:rPr>
                <w:rFonts w:hint="eastAsia" w:ascii="仿宋_GB2312" w:hAnsi="仿宋_GB2312" w:eastAsia="仿宋_GB2312" w:cs="仿宋_GB2312"/>
                <w:kern w:val="0"/>
                <w:sz w:val="20"/>
                <w:szCs w:val="20"/>
                <w:lang w:val="en-US" w:eastAsia="zh-Hans" w:bidi="ar-SA"/>
              </w:rPr>
              <w:t>一</w:t>
            </w:r>
            <w:r>
              <w:rPr>
                <w:rFonts w:hint="eastAsia" w:ascii="仿宋_GB2312" w:hAnsi="仿宋_GB2312" w:eastAsia="仿宋_GB2312" w:cs="仿宋_GB2312"/>
                <w:kern w:val="0"/>
                <w:sz w:val="20"/>
                <w:szCs w:val="20"/>
                <w:highlight w:val="none"/>
                <w:lang w:val="en-US" w:eastAsia="zh-Hans" w:bidi="ar-SA"/>
              </w:rPr>
              <w:t>、</w:t>
            </w:r>
            <w:r>
              <w:rPr>
                <w:rFonts w:hint="eastAsia" w:ascii="仿宋_GB2312" w:hAnsi="仿宋_GB2312" w:eastAsia="仿宋_GB2312" w:cs="仿宋_GB2312"/>
                <w:kern w:val="0"/>
                <w:sz w:val="20"/>
                <w:szCs w:val="20"/>
                <w:highlight w:val="none"/>
                <w:lang w:val="en-US" w:eastAsia="zh-CN" w:bidi="ar-SA"/>
              </w:rPr>
              <w:t>采购清单</w:t>
            </w:r>
          </w:p>
          <w:tbl>
            <w:tblPr>
              <w:tblStyle w:val="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2"/>
              <w:gridCol w:w="2888"/>
              <w:gridCol w:w="1808"/>
              <w:gridCol w:w="1095"/>
            </w:tblGrid>
            <w:tr w14:paraId="1A70B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492" w:type="pct"/>
                  <w:tcBorders>
                    <w:left w:val="single" w:color="auto" w:sz="4" w:space="0"/>
                  </w:tcBorders>
                  <w:shd w:val="clear" w:color="auto" w:fill="auto"/>
                  <w:vAlign w:val="center"/>
                </w:tcPr>
                <w:p w14:paraId="2D5F31D2">
                  <w:pPr>
                    <w:spacing w:line="360" w:lineRule="exact"/>
                    <w:jc w:val="center"/>
                    <w:rPr>
                      <w:rFonts w:hint="eastAsia" w:ascii="仿宋_GB2312" w:hAnsi="仿宋_GB2312" w:eastAsia="仿宋_GB2312" w:cs="仿宋_GB2312"/>
                      <w:kern w:val="0"/>
                      <w:sz w:val="20"/>
                      <w:szCs w:val="20"/>
                      <w:highlight w:val="none"/>
                      <w:lang w:val="en-US" w:eastAsia="zh-CN" w:bidi="ar-SA"/>
                    </w:rPr>
                  </w:pPr>
                  <w:r>
                    <w:rPr>
                      <w:rFonts w:hint="eastAsia" w:ascii="仿宋_GB2312" w:hAnsi="仿宋_GB2312" w:eastAsia="仿宋_GB2312" w:cs="仿宋_GB2312"/>
                      <w:kern w:val="0"/>
                      <w:sz w:val="20"/>
                      <w:szCs w:val="20"/>
                      <w:highlight w:val="none"/>
                      <w:lang w:val="en-US" w:eastAsia="zh-CN" w:bidi="ar-SA"/>
                    </w:rPr>
                    <w:t>序号</w:t>
                  </w:r>
                </w:p>
              </w:tc>
              <w:tc>
                <w:tcPr>
                  <w:tcW w:w="2247" w:type="pct"/>
                  <w:tcBorders>
                    <w:left w:val="single" w:color="auto" w:sz="4" w:space="0"/>
                  </w:tcBorders>
                  <w:shd w:val="clear" w:color="auto" w:fill="auto"/>
                  <w:vAlign w:val="center"/>
                </w:tcPr>
                <w:p w14:paraId="53534E49">
                  <w:pPr>
                    <w:spacing w:line="360" w:lineRule="exact"/>
                    <w:jc w:val="center"/>
                    <w:rPr>
                      <w:rFonts w:hint="default" w:ascii="仿宋_GB2312" w:hAnsi="仿宋_GB2312" w:eastAsia="仿宋_GB2312" w:cs="仿宋_GB2312"/>
                      <w:kern w:val="0"/>
                      <w:sz w:val="20"/>
                      <w:szCs w:val="20"/>
                      <w:highlight w:val="none"/>
                      <w:lang w:val="en-US" w:eastAsia="zh-CN" w:bidi="ar-SA"/>
                    </w:rPr>
                  </w:pPr>
                  <w:r>
                    <w:rPr>
                      <w:rFonts w:hint="eastAsia" w:ascii="仿宋_GB2312" w:hAnsi="仿宋_GB2312" w:eastAsia="仿宋_GB2312" w:cs="仿宋_GB2312"/>
                      <w:kern w:val="0"/>
                      <w:sz w:val="20"/>
                      <w:szCs w:val="20"/>
                      <w:highlight w:val="none"/>
                      <w:lang w:val="en-US" w:eastAsia="zh-CN" w:bidi="ar-SA"/>
                    </w:rPr>
                    <w:t>产品名称</w:t>
                  </w:r>
                </w:p>
              </w:tc>
              <w:tc>
                <w:tcPr>
                  <w:tcW w:w="1407" w:type="pct"/>
                  <w:tcBorders>
                    <w:left w:val="single" w:color="auto" w:sz="4" w:space="0"/>
                  </w:tcBorders>
                  <w:shd w:val="clear" w:color="auto" w:fill="auto"/>
                  <w:vAlign w:val="center"/>
                </w:tcPr>
                <w:p w14:paraId="20E5108E">
                  <w:pPr>
                    <w:spacing w:line="360" w:lineRule="exact"/>
                    <w:jc w:val="center"/>
                    <w:rPr>
                      <w:rFonts w:hint="default" w:ascii="仿宋_GB2312" w:hAnsi="仿宋_GB2312" w:eastAsia="仿宋_GB2312" w:cs="仿宋_GB2312"/>
                      <w:kern w:val="0"/>
                      <w:sz w:val="20"/>
                      <w:szCs w:val="20"/>
                      <w:highlight w:val="none"/>
                      <w:lang w:val="en-US" w:eastAsia="zh-CN" w:bidi="ar-SA"/>
                    </w:rPr>
                  </w:pPr>
                  <w:r>
                    <w:rPr>
                      <w:rFonts w:hint="eastAsia" w:ascii="仿宋_GB2312" w:hAnsi="仿宋_GB2312" w:eastAsia="仿宋_GB2312" w:cs="仿宋_GB2312"/>
                      <w:kern w:val="0"/>
                      <w:sz w:val="20"/>
                      <w:szCs w:val="20"/>
                      <w:highlight w:val="none"/>
                      <w:lang w:val="en-US" w:eastAsia="zh-CN" w:bidi="ar-SA"/>
                    </w:rPr>
                    <w:t>数量</w:t>
                  </w:r>
                </w:p>
              </w:tc>
              <w:tc>
                <w:tcPr>
                  <w:tcW w:w="852" w:type="pct"/>
                  <w:tcBorders>
                    <w:left w:val="single" w:color="auto" w:sz="4" w:space="0"/>
                  </w:tcBorders>
                  <w:shd w:val="clear" w:color="auto" w:fill="auto"/>
                  <w:vAlign w:val="center"/>
                </w:tcPr>
                <w:p w14:paraId="4CA5646F">
                  <w:pPr>
                    <w:spacing w:line="360" w:lineRule="exact"/>
                    <w:jc w:val="center"/>
                    <w:rPr>
                      <w:rFonts w:hint="default" w:ascii="仿宋_GB2312" w:hAnsi="仿宋_GB2312" w:eastAsia="仿宋_GB2312" w:cs="仿宋_GB2312"/>
                      <w:kern w:val="0"/>
                      <w:sz w:val="20"/>
                      <w:szCs w:val="20"/>
                      <w:highlight w:val="none"/>
                      <w:lang w:val="en-US" w:eastAsia="zh-CN" w:bidi="ar-SA"/>
                    </w:rPr>
                  </w:pPr>
                  <w:r>
                    <w:rPr>
                      <w:rFonts w:hint="eastAsia" w:ascii="仿宋_GB2312" w:hAnsi="仿宋_GB2312" w:eastAsia="仿宋_GB2312" w:cs="仿宋_GB2312"/>
                      <w:kern w:val="0"/>
                      <w:sz w:val="20"/>
                      <w:szCs w:val="20"/>
                      <w:highlight w:val="none"/>
                      <w:lang w:val="en-US" w:eastAsia="zh-CN" w:bidi="ar-SA"/>
                    </w:rPr>
                    <w:t>单位</w:t>
                  </w:r>
                </w:p>
              </w:tc>
            </w:tr>
            <w:tr w14:paraId="67CD6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492" w:type="pct"/>
                  <w:tcBorders>
                    <w:left w:val="single" w:color="auto" w:sz="4" w:space="0"/>
                  </w:tcBorders>
                  <w:shd w:val="clear" w:color="auto" w:fill="auto"/>
                  <w:vAlign w:val="center"/>
                </w:tcPr>
                <w:p w14:paraId="0AA1C1FF">
                  <w:pPr>
                    <w:spacing w:line="360" w:lineRule="exact"/>
                    <w:jc w:val="center"/>
                    <w:rPr>
                      <w:rFonts w:hint="eastAsia" w:ascii="仿宋_GB2312" w:hAnsi="仿宋_GB2312" w:eastAsia="仿宋_GB2312" w:cs="仿宋_GB2312"/>
                      <w:kern w:val="0"/>
                      <w:sz w:val="20"/>
                      <w:szCs w:val="20"/>
                      <w:highlight w:val="none"/>
                      <w:lang w:val="en-US" w:eastAsia="zh-CN" w:bidi="ar-SA"/>
                    </w:rPr>
                  </w:pPr>
                  <w:r>
                    <w:rPr>
                      <w:rFonts w:hint="eastAsia" w:ascii="仿宋_GB2312" w:hAnsi="仿宋_GB2312" w:eastAsia="仿宋_GB2312" w:cs="仿宋_GB2312"/>
                      <w:kern w:val="0"/>
                      <w:sz w:val="20"/>
                      <w:szCs w:val="20"/>
                      <w:highlight w:val="none"/>
                      <w:lang w:val="en-US" w:eastAsia="zh-CN" w:bidi="ar-SA"/>
                    </w:rPr>
                    <w:t>1</w:t>
                  </w:r>
                </w:p>
              </w:tc>
              <w:tc>
                <w:tcPr>
                  <w:tcW w:w="2247" w:type="pct"/>
                  <w:tcBorders>
                    <w:left w:val="single" w:color="auto" w:sz="4" w:space="0"/>
                  </w:tcBorders>
                  <w:shd w:val="clear" w:color="auto" w:fill="auto"/>
                  <w:vAlign w:val="center"/>
                </w:tcPr>
                <w:p w14:paraId="04523108">
                  <w:pPr>
                    <w:spacing w:line="360" w:lineRule="exact"/>
                    <w:jc w:val="center"/>
                    <w:rPr>
                      <w:rFonts w:hint="eastAsia" w:ascii="仿宋_GB2312" w:hAnsi="仿宋_GB2312" w:eastAsia="仿宋_GB2312" w:cs="仿宋_GB2312"/>
                      <w:kern w:val="0"/>
                      <w:sz w:val="20"/>
                      <w:szCs w:val="20"/>
                      <w:highlight w:val="none"/>
                      <w:lang w:val="en-US" w:eastAsia="zh-CN" w:bidi="ar-SA"/>
                    </w:rPr>
                  </w:pPr>
                  <w:r>
                    <w:rPr>
                      <w:rFonts w:hint="eastAsia" w:ascii="仿宋_GB2312" w:hAnsi="仿宋_GB2312" w:eastAsia="仿宋_GB2312" w:cs="仿宋_GB2312"/>
                      <w:kern w:val="0"/>
                      <w:sz w:val="20"/>
                      <w:szCs w:val="20"/>
                      <w:highlight w:val="none"/>
                      <w:lang w:val="en-US" w:eastAsia="zh-Hans" w:bidi="ar-SA"/>
                    </w:rPr>
                    <w:t>血细胞分析用稀释液</w:t>
                  </w:r>
                </w:p>
              </w:tc>
              <w:tc>
                <w:tcPr>
                  <w:tcW w:w="1407" w:type="pct"/>
                  <w:tcBorders>
                    <w:left w:val="single" w:color="auto" w:sz="4" w:space="0"/>
                  </w:tcBorders>
                  <w:shd w:val="clear" w:color="auto" w:fill="auto"/>
                  <w:vAlign w:val="center"/>
                </w:tcPr>
                <w:p w14:paraId="341AB696">
                  <w:pPr>
                    <w:spacing w:line="360" w:lineRule="exact"/>
                    <w:jc w:val="center"/>
                    <w:rPr>
                      <w:rFonts w:hint="eastAsia" w:ascii="仿宋_GB2312" w:hAnsi="仿宋_GB2312" w:eastAsia="仿宋_GB2312" w:cs="仿宋_GB2312"/>
                      <w:kern w:val="0"/>
                      <w:sz w:val="20"/>
                      <w:szCs w:val="20"/>
                      <w:highlight w:val="none"/>
                      <w:lang w:val="en-US" w:eastAsia="zh-CN" w:bidi="ar-SA"/>
                    </w:rPr>
                  </w:pPr>
                  <w:r>
                    <w:rPr>
                      <w:rFonts w:hint="eastAsia" w:ascii="仿宋_GB2312" w:hAnsi="仿宋_GB2312" w:eastAsia="仿宋_GB2312" w:cs="仿宋_GB2312"/>
                      <w:kern w:val="0"/>
                      <w:sz w:val="20"/>
                      <w:szCs w:val="20"/>
                      <w:highlight w:val="none"/>
                      <w:lang w:val="en-US" w:eastAsia="zh-CN" w:bidi="ar-SA"/>
                    </w:rPr>
                    <w:t>202</w:t>
                  </w:r>
                </w:p>
              </w:tc>
              <w:tc>
                <w:tcPr>
                  <w:tcW w:w="852" w:type="pct"/>
                  <w:tcBorders>
                    <w:left w:val="single" w:color="auto" w:sz="4" w:space="0"/>
                  </w:tcBorders>
                  <w:shd w:val="clear" w:color="auto" w:fill="auto"/>
                  <w:vAlign w:val="center"/>
                </w:tcPr>
                <w:p w14:paraId="32058FB6">
                  <w:pPr>
                    <w:spacing w:line="360" w:lineRule="exact"/>
                    <w:jc w:val="center"/>
                    <w:rPr>
                      <w:rFonts w:hint="eastAsia" w:ascii="仿宋_GB2312" w:hAnsi="仿宋_GB2312" w:eastAsia="仿宋_GB2312" w:cs="仿宋_GB2312"/>
                      <w:kern w:val="0"/>
                      <w:sz w:val="20"/>
                      <w:szCs w:val="20"/>
                      <w:highlight w:val="none"/>
                      <w:lang w:val="en-US" w:eastAsia="zh-CN" w:bidi="ar-SA"/>
                    </w:rPr>
                  </w:pPr>
                  <w:r>
                    <w:rPr>
                      <w:rFonts w:hint="eastAsia" w:ascii="仿宋_GB2312" w:hAnsi="仿宋_GB2312" w:eastAsia="仿宋_GB2312" w:cs="仿宋_GB2312"/>
                      <w:kern w:val="0"/>
                      <w:sz w:val="20"/>
                      <w:szCs w:val="20"/>
                      <w:highlight w:val="none"/>
                      <w:lang w:val="en-US" w:eastAsia="zh-Hans" w:bidi="ar-SA"/>
                    </w:rPr>
                    <w:t>箱</w:t>
                  </w:r>
                </w:p>
              </w:tc>
            </w:tr>
            <w:tr w14:paraId="55D8E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492" w:type="pct"/>
                  <w:tcBorders>
                    <w:left w:val="single" w:color="auto" w:sz="4" w:space="0"/>
                  </w:tcBorders>
                  <w:shd w:val="clear" w:color="auto" w:fill="auto"/>
                  <w:vAlign w:val="center"/>
                </w:tcPr>
                <w:p w14:paraId="55C05C2D">
                  <w:pPr>
                    <w:spacing w:line="360" w:lineRule="exact"/>
                    <w:jc w:val="center"/>
                    <w:rPr>
                      <w:rFonts w:hint="eastAsia" w:ascii="仿宋_GB2312" w:hAnsi="仿宋_GB2312" w:eastAsia="仿宋_GB2312" w:cs="仿宋_GB2312"/>
                      <w:kern w:val="0"/>
                      <w:sz w:val="20"/>
                      <w:szCs w:val="20"/>
                      <w:highlight w:val="none"/>
                      <w:lang w:val="en-US" w:eastAsia="zh-CN" w:bidi="ar-SA"/>
                    </w:rPr>
                  </w:pPr>
                  <w:r>
                    <w:rPr>
                      <w:rFonts w:hint="eastAsia" w:ascii="仿宋_GB2312" w:hAnsi="仿宋_GB2312" w:eastAsia="仿宋_GB2312" w:cs="仿宋_GB2312"/>
                      <w:kern w:val="0"/>
                      <w:sz w:val="20"/>
                      <w:szCs w:val="20"/>
                      <w:highlight w:val="none"/>
                      <w:lang w:val="en-US" w:eastAsia="zh-CN" w:bidi="ar-SA"/>
                    </w:rPr>
                    <w:t>2</w:t>
                  </w:r>
                </w:p>
              </w:tc>
              <w:tc>
                <w:tcPr>
                  <w:tcW w:w="2247" w:type="pct"/>
                  <w:tcBorders>
                    <w:left w:val="single" w:color="auto" w:sz="4" w:space="0"/>
                  </w:tcBorders>
                  <w:shd w:val="clear" w:color="auto" w:fill="auto"/>
                  <w:vAlign w:val="center"/>
                </w:tcPr>
                <w:p w14:paraId="1104CAFA">
                  <w:pPr>
                    <w:spacing w:line="360" w:lineRule="exact"/>
                    <w:jc w:val="center"/>
                    <w:rPr>
                      <w:rFonts w:hint="eastAsia" w:ascii="仿宋_GB2312" w:hAnsi="仿宋_GB2312" w:eastAsia="仿宋_GB2312" w:cs="仿宋_GB2312"/>
                      <w:kern w:val="0"/>
                      <w:sz w:val="20"/>
                      <w:szCs w:val="20"/>
                      <w:highlight w:val="none"/>
                      <w:lang w:val="en-US" w:eastAsia="zh-Hans" w:bidi="ar-SA"/>
                    </w:rPr>
                  </w:pPr>
                  <w:r>
                    <w:rPr>
                      <w:rFonts w:hint="eastAsia" w:ascii="仿宋_GB2312" w:hAnsi="仿宋_GB2312" w:eastAsia="仿宋_GB2312" w:cs="仿宋_GB2312"/>
                      <w:kern w:val="0"/>
                      <w:sz w:val="20"/>
                      <w:szCs w:val="20"/>
                      <w:highlight w:val="none"/>
                      <w:lang w:val="en-US" w:eastAsia="zh-Hans" w:bidi="ar-SA"/>
                    </w:rPr>
                    <w:t>血细胞分析用溶血剂</w:t>
                  </w:r>
                </w:p>
                <w:p w14:paraId="3698DD8B">
                  <w:pPr>
                    <w:spacing w:line="360" w:lineRule="exact"/>
                    <w:jc w:val="center"/>
                    <w:rPr>
                      <w:rFonts w:hint="eastAsia" w:ascii="仿宋_GB2312" w:hAnsi="仿宋_GB2312" w:eastAsia="仿宋_GB2312" w:cs="仿宋_GB2312"/>
                      <w:kern w:val="0"/>
                      <w:sz w:val="20"/>
                      <w:szCs w:val="20"/>
                      <w:highlight w:val="none"/>
                      <w:lang w:val="en-US" w:eastAsia="zh-CN" w:bidi="ar-SA"/>
                    </w:rPr>
                  </w:pPr>
                  <w:r>
                    <w:rPr>
                      <w:rFonts w:hint="eastAsia" w:ascii="仿宋_GB2312" w:hAnsi="仿宋_GB2312" w:eastAsia="仿宋_GB2312" w:cs="仿宋_GB2312"/>
                      <w:b/>
                      <w:bCs/>
                      <w:kern w:val="0"/>
                      <w:sz w:val="20"/>
                      <w:szCs w:val="20"/>
                      <w:highlight w:val="none"/>
                      <w:lang w:val="en-US" w:eastAsia="zh-CN" w:bidi="ar-SA"/>
                    </w:rPr>
                    <w:t>【核心产品】</w:t>
                  </w:r>
                </w:p>
              </w:tc>
              <w:tc>
                <w:tcPr>
                  <w:tcW w:w="1407" w:type="pct"/>
                  <w:tcBorders>
                    <w:left w:val="single" w:color="auto" w:sz="4" w:space="0"/>
                  </w:tcBorders>
                  <w:shd w:val="clear" w:color="auto" w:fill="auto"/>
                  <w:vAlign w:val="center"/>
                </w:tcPr>
                <w:p w14:paraId="4BE4CC5F">
                  <w:pPr>
                    <w:spacing w:line="360" w:lineRule="exact"/>
                    <w:jc w:val="center"/>
                    <w:rPr>
                      <w:rFonts w:hint="eastAsia" w:ascii="仿宋_GB2312" w:hAnsi="仿宋_GB2312" w:eastAsia="仿宋_GB2312" w:cs="仿宋_GB2312"/>
                      <w:kern w:val="0"/>
                      <w:sz w:val="20"/>
                      <w:szCs w:val="20"/>
                      <w:highlight w:val="none"/>
                      <w:lang w:val="en-US" w:eastAsia="zh-CN" w:bidi="ar-SA"/>
                    </w:rPr>
                  </w:pPr>
                  <w:r>
                    <w:rPr>
                      <w:rFonts w:hint="eastAsia" w:ascii="仿宋_GB2312" w:hAnsi="仿宋_GB2312" w:eastAsia="仿宋_GB2312" w:cs="仿宋_GB2312"/>
                      <w:kern w:val="0"/>
                      <w:sz w:val="20"/>
                      <w:szCs w:val="20"/>
                      <w:highlight w:val="none"/>
                      <w:lang w:val="en-US" w:eastAsia="zh-CN" w:bidi="ar-SA"/>
                    </w:rPr>
                    <w:t>203</w:t>
                  </w:r>
                </w:p>
              </w:tc>
              <w:tc>
                <w:tcPr>
                  <w:tcW w:w="852" w:type="pct"/>
                  <w:tcBorders>
                    <w:left w:val="single" w:color="auto" w:sz="4" w:space="0"/>
                  </w:tcBorders>
                  <w:shd w:val="clear" w:color="auto" w:fill="auto"/>
                  <w:vAlign w:val="center"/>
                </w:tcPr>
                <w:p w14:paraId="1EAE6008">
                  <w:pPr>
                    <w:spacing w:line="360" w:lineRule="exact"/>
                    <w:jc w:val="center"/>
                    <w:rPr>
                      <w:rFonts w:hint="eastAsia" w:ascii="仿宋_GB2312" w:hAnsi="仿宋_GB2312" w:eastAsia="仿宋_GB2312" w:cs="仿宋_GB2312"/>
                      <w:kern w:val="0"/>
                      <w:sz w:val="20"/>
                      <w:szCs w:val="20"/>
                      <w:highlight w:val="none"/>
                      <w:lang w:val="en-US" w:eastAsia="zh-CN" w:bidi="ar-SA"/>
                    </w:rPr>
                  </w:pPr>
                  <w:r>
                    <w:rPr>
                      <w:rFonts w:hint="eastAsia" w:ascii="仿宋_GB2312" w:hAnsi="仿宋_GB2312" w:eastAsia="仿宋_GB2312" w:cs="仿宋_GB2312"/>
                      <w:kern w:val="0"/>
                      <w:sz w:val="20"/>
                      <w:szCs w:val="20"/>
                      <w:highlight w:val="none"/>
                      <w:lang w:val="en-US" w:eastAsia="zh-Hans" w:bidi="ar-SA"/>
                    </w:rPr>
                    <w:t>瓶</w:t>
                  </w:r>
                </w:p>
              </w:tc>
            </w:tr>
            <w:tr w14:paraId="67B73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492" w:type="pct"/>
                  <w:tcBorders>
                    <w:left w:val="single" w:color="auto" w:sz="4" w:space="0"/>
                  </w:tcBorders>
                  <w:shd w:val="clear" w:color="auto" w:fill="auto"/>
                  <w:vAlign w:val="center"/>
                </w:tcPr>
                <w:p w14:paraId="1F1C0F02">
                  <w:pPr>
                    <w:spacing w:line="360" w:lineRule="exact"/>
                    <w:jc w:val="center"/>
                    <w:rPr>
                      <w:rFonts w:hint="eastAsia" w:ascii="仿宋_GB2312" w:hAnsi="仿宋_GB2312" w:eastAsia="仿宋_GB2312" w:cs="仿宋_GB2312"/>
                      <w:kern w:val="0"/>
                      <w:sz w:val="20"/>
                      <w:szCs w:val="20"/>
                      <w:lang w:val="en-US" w:eastAsia="zh-CN" w:bidi="ar-SA"/>
                    </w:rPr>
                  </w:pPr>
                  <w:r>
                    <w:rPr>
                      <w:rFonts w:hint="eastAsia" w:ascii="仿宋_GB2312" w:hAnsi="仿宋_GB2312" w:eastAsia="仿宋_GB2312" w:cs="仿宋_GB2312"/>
                      <w:kern w:val="0"/>
                      <w:sz w:val="20"/>
                      <w:szCs w:val="20"/>
                      <w:lang w:val="en-US" w:eastAsia="zh-CN" w:bidi="ar-SA"/>
                    </w:rPr>
                    <w:t>3</w:t>
                  </w:r>
                </w:p>
              </w:tc>
              <w:tc>
                <w:tcPr>
                  <w:tcW w:w="2247" w:type="pct"/>
                  <w:tcBorders>
                    <w:left w:val="single" w:color="auto" w:sz="4" w:space="0"/>
                  </w:tcBorders>
                  <w:shd w:val="clear" w:color="auto" w:fill="auto"/>
                  <w:vAlign w:val="center"/>
                </w:tcPr>
                <w:p w14:paraId="3F80D66A">
                  <w:pPr>
                    <w:spacing w:line="360" w:lineRule="exact"/>
                    <w:jc w:val="center"/>
                    <w:rPr>
                      <w:rFonts w:hint="eastAsia" w:ascii="仿宋_GB2312" w:hAnsi="仿宋_GB2312" w:eastAsia="仿宋_GB2312" w:cs="仿宋_GB2312"/>
                      <w:kern w:val="0"/>
                      <w:sz w:val="20"/>
                      <w:szCs w:val="20"/>
                      <w:lang w:val="en-US" w:eastAsia="zh-CN" w:bidi="ar-SA"/>
                    </w:rPr>
                  </w:pPr>
                  <w:r>
                    <w:rPr>
                      <w:rFonts w:hint="eastAsia" w:ascii="仿宋_GB2312" w:hAnsi="仿宋_GB2312" w:eastAsia="仿宋_GB2312" w:cs="仿宋_GB2312"/>
                      <w:kern w:val="0"/>
                      <w:sz w:val="20"/>
                      <w:szCs w:val="20"/>
                      <w:lang w:val="en-US" w:eastAsia="zh-Hans" w:bidi="ar-SA"/>
                    </w:rPr>
                    <w:t>清洗剂</w:t>
                  </w:r>
                </w:p>
              </w:tc>
              <w:tc>
                <w:tcPr>
                  <w:tcW w:w="1407" w:type="pct"/>
                  <w:tcBorders>
                    <w:left w:val="single" w:color="auto" w:sz="4" w:space="0"/>
                  </w:tcBorders>
                  <w:shd w:val="clear" w:color="auto" w:fill="auto"/>
                  <w:vAlign w:val="center"/>
                </w:tcPr>
                <w:p w14:paraId="7D415CD9">
                  <w:pPr>
                    <w:spacing w:line="360" w:lineRule="exact"/>
                    <w:jc w:val="center"/>
                    <w:rPr>
                      <w:rFonts w:hint="eastAsia" w:ascii="仿宋_GB2312" w:hAnsi="仿宋_GB2312" w:eastAsia="仿宋_GB2312" w:cs="仿宋_GB2312"/>
                      <w:kern w:val="0"/>
                      <w:sz w:val="20"/>
                      <w:szCs w:val="20"/>
                      <w:lang w:val="en-US" w:eastAsia="zh-CN" w:bidi="ar-SA"/>
                    </w:rPr>
                  </w:pPr>
                  <w:r>
                    <w:rPr>
                      <w:rFonts w:hint="eastAsia" w:ascii="仿宋_GB2312" w:hAnsi="仿宋_GB2312" w:eastAsia="仿宋_GB2312" w:cs="仿宋_GB2312"/>
                      <w:kern w:val="0"/>
                      <w:sz w:val="20"/>
                      <w:szCs w:val="20"/>
                      <w:lang w:val="en-US" w:eastAsia="zh-CN" w:bidi="ar-SA"/>
                    </w:rPr>
                    <w:t>102</w:t>
                  </w:r>
                </w:p>
              </w:tc>
              <w:tc>
                <w:tcPr>
                  <w:tcW w:w="852" w:type="pct"/>
                  <w:tcBorders>
                    <w:left w:val="single" w:color="auto" w:sz="4" w:space="0"/>
                  </w:tcBorders>
                  <w:shd w:val="clear" w:color="auto" w:fill="auto"/>
                  <w:vAlign w:val="center"/>
                </w:tcPr>
                <w:p w14:paraId="08E27D94">
                  <w:pPr>
                    <w:spacing w:line="360" w:lineRule="exact"/>
                    <w:jc w:val="center"/>
                    <w:rPr>
                      <w:rFonts w:hint="eastAsia" w:ascii="仿宋_GB2312" w:hAnsi="仿宋_GB2312" w:eastAsia="仿宋_GB2312" w:cs="仿宋_GB2312"/>
                      <w:kern w:val="0"/>
                      <w:sz w:val="20"/>
                      <w:szCs w:val="20"/>
                      <w:lang w:val="en-US" w:eastAsia="zh-CN" w:bidi="ar-SA"/>
                    </w:rPr>
                  </w:pPr>
                  <w:r>
                    <w:rPr>
                      <w:rFonts w:hint="eastAsia" w:ascii="仿宋_GB2312" w:hAnsi="仿宋_GB2312" w:eastAsia="仿宋_GB2312" w:cs="仿宋_GB2312"/>
                      <w:kern w:val="0"/>
                      <w:sz w:val="20"/>
                      <w:szCs w:val="20"/>
                      <w:lang w:val="en-US" w:eastAsia="zh-Hans" w:bidi="ar-SA"/>
                    </w:rPr>
                    <w:t>盒</w:t>
                  </w:r>
                </w:p>
              </w:tc>
            </w:tr>
            <w:tr w14:paraId="4E18D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492" w:type="pct"/>
                  <w:tcBorders>
                    <w:left w:val="single" w:color="auto" w:sz="4" w:space="0"/>
                  </w:tcBorders>
                  <w:shd w:val="clear" w:color="auto" w:fill="auto"/>
                  <w:vAlign w:val="center"/>
                </w:tcPr>
                <w:p w14:paraId="2998840A">
                  <w:pPr>
                    <w:spacing w:line="360" w:lineRule="exact"/>
                    <w:jc w:val="center"/>
                    <w:rPr>
                      <w:rFonts w:hint="eastAsia" w:ascii="仿宋_GB2312" w:hAnsi="仿宋_GB2312" w:eastAsia="仿宋_GB2312" w:cs="仿宋_GB2312"/>
                      <w:kern w:val="0"/>
                      <w:sz w:val="20"/>
                      <w:szCs w:val="20"/>
                      <w:lang w:val="en-US" w:eastAsia="zh-CN" w:bidi="ar-SA"/>
                    </w:rPr>
                  </w:pPr>
                  <w:r>
                    <w:rPr>
                      <w:rFonts w:hint="eastAsia" w:ascii="仿宋_GB2312" w:hAnsi="仿宋_GB2312" w:eastAsia="仿宋_GB2312" w:cs="仿宋_GB2312"/>
                      <w:kern w:val="0"/>
                      <w:sz w:val="20"/>
                      <w:szCs w:val="20"/>
                      <w:lang w:val="en-US" w:eastAsia="zh-CN" w:bidi="ar-SA"/>
                    </w:rPr>
                    <w:t>4</w:t>
                  </w:r>
                </w:p>
              </w:tc>
              <w:tc>
                <w:tcPr>
                  <w:tcW w:w="2247" w:type="pct"/>
                  <w:tcBorders>
                    <w:left w:val="single" w:color="auto" w:sz="4" w:space="0"/>
                  </w:tcBorders>
                  <w:shd w:val="clear" w:color="auto" w:fill="auto"/>
                  <w:vAlign w:val="center"/>
                </w:tcPr>
                <w:p w14:paraId="2459147F">
                  <w:pPr>
                    <w:spacing w:line="360" w:lineRule="exact"/>
                    <w:jc w:val="center"/>
                    <w:rPr>
                      <w:rFonts w:hint="eastAsia" w:ascii="仿宋_GB2312" w:hAnsi="仿宋_GB2312" w:eastAsia="仿宋_GB2312" w:cs="仿宋_GB2312"/>
                      <w:kern w:val="0"/>
                      <w:sz w:val="20"/>
                      <w:szCs w:val="20"/>
                      <w:lang w:val="en-US" w:eastAsia="zh-CN" w:bidi="ar-SA"/>
                    </w:rPr>
                  </w:pPr>
                  <w:r>
                    <w:rPr>
                      <w:rFonts w:hint="eastAsia" w:ascii="仿宋_GB2312" w:hAnsi="仿宋_GB2312" w:eastAsia="仿宋_GB2312" w:cs="仿宋_GB2312"/>
                      <w:kern w:val="0"/>
                      <w:sz w:val="20"/>
                      <w:szCs w:val="20"/>
                      <w:lang w:val="en-US" w:eastAsia="zh-Hans" w:bidi="ar-SA"/>
                    </w:rPr>
                    <w:t>血细胞分析仪质控品</w:t>
                  </w:r>
                </w:p>
              </w:tc>
              <w:tc>
                <w:tcPr>
                  <w:tcW w:w="1407" w:type="pct"/>
                  <w:tcBorders>
                    <w:left w:val="single" w:color="auto" w:sz="4" w:space="0"/>
                  </w:tcBorders>
                  <w:shd w:val="clear" w:color="auto" w:fill="auto"/>
                  <w:vAlign w:val="center"/>
                </w:tcPr>
                <w:p w14:paraId="059B4260">
                  <w:pPr>
                    <w:spacing w:line="360" w:lineRule="exact"/>
                    <w:jc w:val="center"/>
                    <w:rPr>
                      <w:rFonts w:hint="eastAsia" w:ascii="仿宋_GB2312" w:hAnsi="仿宋_GB2312" w:eastAsia="仿宋_GB2312" w:cs="仿宋_GB2312"/>
                      <w:kern w:val="0"/>
                      <w:sz w:val="20"/>
                      <w:szCs w:val="20"/>
                      <w:lang w:val="en-US" w:eastAsia="zh-CN" w:bidi="ar-SA"/>
                    </w:rPr>
                  </w:pPr>
                  <w:r>
                    <w:rPr>
                      <w:rFonts w:hint="eastAsia" w:ascii="仿宋_GB2312" w:hAnsi="仿宋_GB2312" w:eastAsia="仿宋_GB2312" w:cs="仿宋_GB2312"/>
                      <w:kern w:val="0"/>
                      <w:sz w:val="20"/>
                      <w:szCs w:val="20"/>
                      <w:lang w:val="en-US" w:eastAsia="zh-CN" w:bidi="ar-SA"/>
                    </w:rPr>
                    <w:t>242</w:t>
                  </w:r>
                </w:p>
              </w:tc>
              <w:tc>
                <w:tcPr>
                  <w:tcW w:w="852" w:type="pct"/>
                  <w:tcBorders>
                    <w:left w:val="single" w:color="auto" w:sz="4" w:space="0"/>
                  </w:tcBorders>
                  <w:shd w:val="clear" w:color="auto" w:fill="auto"/>
                  <w:vAlign w:val="center"/>
                </w:tcPr>
                <w:p w14:paraId="78DDC7E3">
                  <w:pPr>
                    <w:spacing w:line="360" w:lineRule="exact"/>
                    <w:jc w:val="center"/>
                    <w:rPr>
                      <w:rFonts w:hint="eastAsia" w:ascii="仿宋_GB2312" w:hAnsi="仿宋_GB2312" w:eastAsia="仿宋_GB2312" w:cs="仿宋_GB2312"/>
                      <w:kern w:val="0"/>
                      <w:sz w:val="20"/>
                      <w:szCs w:val="20"/>
                      <w:lang w:val="en-US" w:eastAsia="zh-CN" w:bidi="ar-SA"/>
                    </w:rPr>
                  </w:pPr>
                  <w:r>
                    <w:rPr>
                      <w:rFonts w:hint="eastAsia" w:ascii="仿宋_GB2312" w:hAnsi="仿宋_GB2312" w:eastAsia="仿宋_GB2312" w:cs="仿宋_GB2312"/>
                      <w:kern w:val="0"/>
                      <w:sz w:val="20"/>
                      <w:szCs w:val="20"/>
                      <w:lang w:val="en-US" w:eastAsia="zh-Hans" w:bidi="ar-SA"/>
                    </w:rPr>
                    <w:t>支</w:t>
                  </w:r>
                </w:p>
              </w:tc>
            </w:tr>
          </w:tbl>
          <w:p w14:paraId="1794B496">
            <w:pPr>
              <w:pStyle w:val="4"/>
              <w:rPr>
                <w:rFonts w:hint="default" w:ascii="仿宋_GB2312" w:hAnsi="仿宋_GB2312" w:eastAsia="仿宋_GB2312" w:cs="仿宋_GB2312"/>
              </w:rPr>
            </w:pPr>
          </w:p>
        </w:tc>
      </w:tr>
      <w:tr w14:paraId="17AE38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5" w:type="dxa"/>
          </w:tcPr>
          <w:p w14:paraId="1265B6C6">
            <w:pPr>
              <w:pStyle w:val="4"/>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w:t>
            </w:r>
          </w:p>
        </w:tc>
        <w:tc>
          <w:tcPr>
            <w:tcW w:w="1020" w:type="dxa"/>
          </w:tcPr>
          <w:p w14:paraId="4DBDABC9">
            <w:pPr>
              <w:jc w:val="center"/>
            </w:pPr>
          </w:p>
        </w:tc>
        <w:tc>
          <w:tcPr>
            <w:tcW w:w="6652" w:type="dxa"/>
          </w:tcPr>
          <w:p w14:paraId="33E4F1CD">
            <w:pPr>
              <w:pStyle w:val="4"/>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二、技术要求</w:t>
            </w:r>
          </w:p>
          <w:p w14:paraId="50CC56F4">
            <w:pPr>
              <w:pStyle w:val="4"/>
              <w:rPr>
                <w:rFonts w:hint="default" w:ascii="仿宋_GB2312" w:hAnsi="仿宋_GB2312" w:eastAsia="仿宋_GB2312" w:cs="仿宋_GB2312"/>
              </w:rPr>
            </w:pPr>
            <w:r>
              <w:rPr>
                <w:rFonts w:hint="default" w:ascii="仿宋_GB2312" w:hAnsi="仿宋_GB2312" w:eastAsia="仿宋_GB2312" w:cs="仿宋_GB2312"/>
              </w:rPr>
              <w:t>1. 血细胞分析用稀释液</w:t>
            </w:r>
          </w:p>
          <w:p w14:paraId="16DC38AF">
            <w:pPr>
              <w:pStyle w:val="4"/>
              <w:rPr>
                <w:rFonts w:hint="default" w:ascii="仿宋_GB2312" w:hAnsi="仿宋_GB2312" w:eastAsia="仿宋_GB2312" w:cs="仿宋_GB2312"/>
              </w:rPr>
            </w:pPr>
            <w:r>
              <w:rPr>
                <w:rFonts w:hint="default" w:ascii="仿宋_GB2312" w:hAnsi="仿宋_GB2312" w:eastAsia="仿宋_GB2312" w:cs="仿宋_GB2312"/>
              </w:rPr>
              <w:t>（1）该试剂适用于现有Sysmex XP-100全自动三分类血液分析仪，用于血常规的检测。</w:t>
            </w:r>
          </w:p>
          <w:p w14:paraId="71F37253">
            <w:pPr>
              <w:pStyle w:val="4"/>
              <w:rPr>
                <w:rFonts w:hint="default" w:ascii="仿宋_GB2312" w:hAnsi="仿宋_GB2312" w:eastAsia="仿宋_GB2312" w:cs="仿宋_GB2312"/>
              </w:rPr>
            </w:pPr>
            <w:r>
              <w:rPr>
                <w:rFonts w:hint="default" w:ascii="仿宋_GB2312" w:hAnsi="仿宋_GB2312" w:eastAsia="仿宋_GB2312" w:cs="仿宋_GB2312"/>
              </w:rPr>
              <w:t>（2）规格：20L/桶。</w:t>
            </w:r>
          </w:p>
          <w:p w14:paraId="36A1BDBE">
            <w:pPr>
              <w:pStyle w:val="4"/>
              <w:rPr>
                <w:rFonts w:hint="default" w:ascii="仿宋_GB2312" w:hAnsi="仿宋_GB2312" w:eastAsia="仿宋_GB2312" w:cs="仿宋_GB2312"/>
              </w:rPr>
            </w:pPr>
            <w:r>
              <w:rPr>
                <w:rFonts w:hint="default" w:ascii="仿宋_GB2312" w:hAnsi="仿宋_GB2312" w:eastAsia="仿宋_GB2312" w:cs="仿宋_GB2312"/>
              </w:rPr>
              <w:t>（3）储存条件及有效期：室温条件下保存≥</w:t>
            </w:r>
            <w:r>
              <w:rPr>
                <w:rFonts w:hint="eastAsia" w:ascii="仿宋_GB2312" w:hAnsi="仿宋_GB2312" w:eastAsia="仿宋_GB2312" w:cs="仿宋_GB2312"/>
                <w:lang w:val="en-US" w:eastAsia="zh-CN"/>
              </w:rPr>
              <w:t>1</w:t>
            </w:r>
            <w:r>
              <w:rPr>
                <w:rFonts w:hint="default" w:ascii="仿宋_GB2312" w:hAnsi="仿宋_GB2312" w:eastAsia="仿宋_GB2312" w:cs="仿宋_GB2312"/>
              </w:rPr>
              <w:t>年。</w:t>
            </w:r>
          </w:p>
          <w:p w14:paraId="7EC797EF">
            <w:pPr>
              <w:pStyle w:val="4"/>
              <w:rPr>
                <w:rFonts w:hint="default" w:ascii="仿宋_GB2312" w:hAnsi="仿宋_GB2312" w:eastAsia="仿宋_GB2312" w:cs="仿宋_GB2312"/>
              </w:rPr>
            </w:pPr>
            <w:r>
              <w:rPr>
                <w:rFonts w:hint="default" w:ascii="仿宋_GB2312" w:hAnsi="仿宋_GB2312" w:eastAsia="仿宋_GB2312" w:cs="仿宋_GB2312"/>
              </w:rPr>
              <w:t>2.血细胞分析用溶血剂</w:t>
            </w:r>
          </w:p>
          <w:p w14:paraId="7D2AF560">
            <w:pPr>
              <w:pStyle w:val="4"/>
              <w:rPr>
                <w:rFonts w:hint="default" w:ascii="仿宋_GB2312" w:hAnsi="仿宋_GB2312" w:eastAsia="仿宋_GB2312" w:cs="仿宋_GB2312"/>
              </w:rPr>
            </w:pPr>
            <w:r>
              <w:rPr>
                <w:rFonts w:hint="default" w:ascii="仿宋_GB2312" w:hAnsi="仿宋_GB2312" w:eastAsia="仿宋_GB2312" w:cs="仿宋_GB2312"/>
              </w:rPr>
              <w:t>（1）该试剂适用于现有Sysmex XP-100全自动三分类血液分析仪，用于血常规的检测。</w:t>
            </w:r>
          </w:p>
          <w:p w14:paraId="6606929B">
            <w:pPr>
              <w:pStyle w:val="4"/>
              <w:rPr>
                <w:rFonts w:hint="default" w:ascii="仿宋_GB2312" w:hAnsi="仿宋_GB2312" w:eastAsia="仿宋_GB2312" w:cs="仿宋_GB2312"/>
              </w:rPr>
            </w:pPr>
            <w:r>
              <w:rPr>
                <w:rFonts w:hint="default" w:ascii="仿宋_GB2312" w:hAnsi="仿宋_GB2312" w:eastAsia="仿宋_GB2312" w:cs="仿宋_GB2312"/>
              </w:rPr>
              <w:t>（2）规格：500ml/瓶。</w:t>
            </w:r>
          </w:p>
          <w:p w14:paraId="5834A53B">
            <w:pPr>
              <w:pStyle w:val="4"/>
              <w:rPr>
                <w:rFonts w:hint="default" w:ascii="仿宋_GB2312" w:hAnsi="仿宋_GB2312" w:eastAsia="仿宋_GB2312" w:cs="仿宋_GB2312"/>
              </w:rPr>
            </w:pPr>
            <w:r>
              <w:rPr>
                <w:rFonts w:hint="default" w:ascii="仿宋_GB2312" w:hAnsi="仿宋_GB2312" w:eastAsia="仿宋_GB2312" w:cs="仿宋_GB2312"/>
              </w:rPr>
              <w:t>（3）储存条件及有效期：室温条件下保存≥</w:t>
            </w:r>
            <w:r>
              <w:rPr>
                <w:rFonts w:hint="eastAsia" w:ascii="仿宋_GB2312" w:hAnsi="仿宋_GB2312" w:eastAsia="仿宋_GB2312" w:cs="仿宋_GB2312"/>
                <w:lang w:val="en-US" w:eastAsia="zh-CN"/>
              </w:rPr>
              <w:t>1</w:t>
            </w:r>
            <w:r>
              <w:rPr>
                <w:rFonts w:hint="default" w:ascii="仿宋_GB2312" w:hAnsi="仿宋_GB2312" w:eastAsia="仿宋_GB2312" w:cs="仿宋_GB2312"/>
              </w:rPr>
              <w:t>年。</w:t>
            </w:r>
          </w:p>
          <w:p w14:paraId="07D5C895">
            <w:pPr>
              <w:pStyle w:val="4"/>
              <w:rPr>
                <w:rFonts w:hint="default" w:ascii="仿宋_GB2312" w:hAnsi="仿宋_GB2312" w:eastAsia="仿宋_GB2312" w:cs="仿宋_GB2312"/>
              </w:rPr>
            </w:pPr>
            <w:r>
              <w:rPr>
                <w:rFonts w:hint="default" w:ascii="仿宋_GB2312" w:hAnsi="仿宋_GB2312" w:eastAsia="仿宋_GB2312" w:cs="仿宋_GB2312"/>
              </w:rPr>
              <w:t>3.清洗剂</w:t>
            </w:r>
          </w:p>
          <w:p w14:paraId="56C1BD61">
            <w:pPr>
              <w:pStyle w:val="4"/>
              <w:rPr>
                <w:rFonts w:hint="default" w:ascii="仿宋_GB2312" w:hAnsi="仿宋_GB2312" w:eastAsia="仿宋_GB2312" w:cs="仿宋_GB2312"/>
              </w:rPr>
            </w:pPr>
            <w:r>
              <w:rPr>
                <w:rFonts w:hint="default" w:ascii="仿宋_GB2312" w:hAnsi="仿宋_GB2312" w:eastAsia="仿宋_GB2312" w:cs="仿宋_GB2312"/>
              </w:rPr>
              <w:t>（1）该试剂适用于现有Sysmex XP-100全自动三分类血液分析仪，用于血常规的检测。</w:t>
            </w:r>
          </w:p>
          <w:p w14:paraId="34A54F2B">
            <w:pPr>
              <w:pStyle w:val="4"/>
              <w:rPr>
                <w:rFonts w:hint="default" w:ascii="仿宋_GB2312" w:hAnsi="仿宋_GB2312" w:eastAsia="仿宋_GB2312" w:cs="仿宋_GB2312"/>
              </w:rPr>
            </w:pPr>
            <w:r>
              <w:rPr>
                <w:rFonts w:hint="default" w:ascii="仿宋_GB2312" w:hAnsi="仿宋_GB2312" w:eastAsia="仿宋_GB2312" w:cs="仿宋_GB2312"/>
              </w:rPr>
              <w:t>（2）规格：50ml/瓶。</w:t>
            </w:r>
          </w:p>
          <w:p w14:paraId="7D14C859">
            <w:pPr>
              <w:pStyle w:val="4"/>
              <w:rPr>
                <w:rFonts w:hint="default" w:ascii="仿宋_GB2312" w:hAnsi="仿宋_GB2312" w:eastAsia="仿宋_GB2312" w:cs="仿宋_GB2312"/>
              </w:rPr>
            </w:pPr>
            <w:r>
              <w:rPr>
                <w:rFonts w:hint="default" w:ascii="仿宋_GB2312" w:hAnsi="仿宋_GB2312" w:eastAsia="仿宋_GB2312" w:cs="仿宋_GB2312"/>
              </w:rPr>
              <w:t>（3）储存条件及有效期：室温条件下储存，保存≥</w:t>
            </w:r>
            <w:r>
              <w:rPr>
                <w:rFonts w:hint="eastAsia" w:ascii="仿宋_GB2312" w:hAnsi="仿宋_GB2312" w:eastAsia="仿宋_GB2312" w:cs="仿宋_GB2312"/>
                <w:lang w:val="en-US" w:eastAsia="zh-CN"/>
              </w:rPr>
              <w:t>1</w:t>
            </w:r>
            <w:r>
              <w:rPr>
                <w:rFonts w:hint="default" w:ascii="仿宋_GB2312" w:hAnsi="仿宋_GB2312" w:eastAsia="仿宋_GB2312" w:cs="仿宋_GB2312"/>
              </w:rPr>
              <w:t>年。</w:t>
            </w:r>
          </w:p>
          <w:p w14:paraId="254BB3A2">
            <w:pPr>
              <w:pStyle w:val="4"/>
              <w:rPr>
                <w:rFonts w:hint="default" w:ascii="仿宋_GB2312" w:hAnsi="仿宋_GB2312" w:eastAsia="仿宋_GB2312" w:cs="仿宋_GB2312"/>
              </w:rPr>
            </w:pPr>
            <w:r>
              <w:rPr>
                <w:rFonts w:hint="default" w:ascii="仿宋_GB2312" w:hAnsi="仿宋_GB2312" w:eastAsia="仿宋_GB2312" w:cs="仿宋_GB2312"/>
              </w:rPr>
              <w:t>4. 血细胞分析仪质控品</w:t>
            </w:r>
          </w:p>
          <w:p w14:paraId="1C4CCC18">
            <w:pPr>
              <w:pStyle w:val="4"/>
              <w:rPr>
                <w:rFonts w:hint="default" w:ascii="仿宋_GB2312" w:hAnsi="仿宋_GB2312" w:eastAsia="仿宋_GB2312" w:cs="仿宋_GB2312"/>
              </w:rPr>
            </w:pPr>
            <w:r>
              <w:rPr>
                <w:rFonts w:hint="default" w:ascii="仿宋_GB2312" w:hAnsi="仿宋_GB2312" w:eastAsia="仿宋_GB2312" w:cs="仿宋_GB2312"/>
              </w:rPr>
              <w:t>（1）适用于现有Sysmex XP-100全自动三分类血液分析仪使用前的质量控制。</w:t>
            </w:r>
          </w:p>
          <w:p w14:paraId="74C06029">
            <w:pPr>
              <w:pStyle w:val="4"/>
              <w:rPr>
                <w:rFonts w:hint="default" w:ascii="仿宋_GB2312" w:hAnsi="仿宋_GB2312" w:eastAsia="仿宋_GB2312" w:cs="仿宋_GB2312"/>
              </w:rPr>
            </w:pPr>
            <w:r>
              <w:rPr>
                <w:rFonts w:hint="default" w:ascii="仿宋_GB2312" w:hAnsi="仿宋_GB2312" w:eastAsia="仿宋_GB2312" w:cs="仿宋_GB2312"/>
              </w:rPr>
              <w:t>（2）规格：4.6ml/</w:t>
            </w:r>
            <w:r>
              <w:rPr>
                <w:rFonts w:hint="eastAsia" w:ascii="仿宋_GB2312" w:hAnsi="仿宋_GB2312" w:eastAsia="仿宋_GB2312" w:cs="仿宋_GB2312"/>
                <w:lang w:val="en-US" w:eastAsia="zh-CN"/>
              </w:rPr>
              <w:t>支</w:t>
            </w:r>
            <w:r>
              <w:rPr>
                <w:rFonts w:hint="default" w:ascii="仿宋_GB2312" w:hAnsi="仿宋_GB2312" w:eastAsia="仿宋_GB2312" w:cs="仿宋_GB2312"/>
              </w:rPr>
              <w:t>。</w:t>
            </w:r>
          </w:p>
          <w:p w14:paraId="3EE00726">
            <w:pPr>
              <w:pStyle w:val="4"/>
              <w:rPr>
                <w:rFonts w:hint="default" w:ascii="仿宋_GB2312" w:hAnsi="仿宋_GB2312" w:eastAsia="仿宋_GB2312" w:cs="仿宋_GB2312"/>
              </w:rPr>
            </w:pPr>
            <w:r>
              <w:rPr>
                <w:rFonts w:hint="default" w:ascii="仿宋_GB2312" w:hAnsi="仿宋_GB2312" w:eastAsia="仿宋_GB2312" w:cs="仿宋_GB2312"/>
              </w:rPr>
              <w:t>（3）储存条件及有效期：储存于2-8℃环境中，有效期≥2个月。</w:t>
            </w:r>
          </w:p>
          <w:p w14:paraId="446EAC4A">
            <w:pPr>
              <w:pStyle w:val="4"/>
              <w:rPr>
                <w:rFonts w:hint="default" w:ascii="仿宋_GB2312" w:hAnsi="仿宋_GB2312" w:eastAsia="仿宋_GB2312" w:cs="仿宋_GB2312"/>
              </w:rPr>
            </w:pPr>
            <w:r>
              <w:rPr>
                <w:rFonts w:hint="default" w:ascii="仿宋_GB2312" w:hAnsi="仿宋_GB2312" w:eastAsia="仿宋_GB2312" w:cs="仿宋_GB2312"/>
              </w:rPr>
              <w:t>（4）标准质控品需提供检测数据对照表。</w:t>
            </w:r>
          </w:p>
        </w:tc>
      </w:tr>
      <w:tr w14:paraId="53EFCC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5" w:type="dxa"/>
          </w:tcPr>
          <w:p w14:paraId="6BA15482">
            <w:pPr>
              <w:pStyle w:val="4"/>
              <w:jc w:val="center"/>
              <w:rPr>
                <w:rFonts w:hint="eastAsia" w:eastAsiaTheme="minorEastAsia"/>
                <w:lang w:eastAsia="zh-CN"/>
              </w:rPr>
            </w:pPr>
            <w:r>
              <w:rPr>
                <w:rFonts w:hint="eastAsia" w:ascii="仿宋_GB2312" w:hAnsi="仿宋_GB2312" w:eastAsia="仿宋_GB2312" w:cs="仿宋_GB2312"/>
                <w:lang w:val="en-US" w:eastAsia="zh-CN"/>
              </w:rPr>
              <w:t>3</w:t>
            </w:r>
          </w:p>
        </w:tc>
        <w:tc>
          <w:tcPr>
            <w:tcW w:w="1020" w:type="dxa"/>
          </w:tcPr>
          <w:p w14:paraId="424D49B7">
            <w:pPr>
              <w:jc w:val="center"/>
            </w:pPr>
          </w:p>
        </w:tc>
        <w:tc>
          <w:tcPr>
            <w:tcW w:w="6652" w:type="dxa"/>
          </w:tcPr>
          <w:p w14:paraId="7339CAE9">
            <w:pPr>
              <w:numPr>
                <w:ilvl w:val="0"/>
                <w:numId w:val="0"/>
              </w:numPr>
              <w:spacing w:line="360" w:lineRule="exact"/>
              <w:rPr>
                <w:rFonts w:hint="eastAsia" w:ascii="仿宋_GB2312" w:hAnsi="仿宋_GB2312" w:eastAsia="仿宋_GB2312" w:cs="仿宋_GB2312"/>
                <w:sz w:val="20"/>
                <w:szCs w:val="20"/>
                <w:highlight w:val="none"/>
              </w:rPr>
            </w:pPr>
            <w:r>
              <w:rPr>
                <w:rFonts w:hint="eastAsia" w:ascii="仿宋_GB2312" w:hAnsi="仿宋_GB2312" w:eastAsia="仿宋_GB2312" w:cs="仿宋_GB2312"/>
                <w:kern w:val="2"/>
                <w:sz w:val="20"/>
                <w:szCs w:val="20"/>
                <w:lang w:val="en-US" w:eastAsia="zh-CN" w:bidi="ar-SA"/>
              </w:rPr>
              <w:t>三、</w:t>
            </w:r>
            <w:r>
              <w:rPr>
                <w:rFonts w:hint="eastAsia" w:ascii="仿宋_GB2312" w:hAnsi="仿宋_GB2312" w:eastAsia="仿宋_GB2312" w:cs="仿宋_GB2312"/>
                <w:sz w:val="20"/>
                <w:szCs w:val="20"/>
                <w:highlight w:val="none"/>
              </w:rPr>
              <w:t>服务要求</w:t>
            </w:r>
          </w:p>
          <w:p w14:paraId="62EF331D">
            <w:pPr>
              <w:numPr>
                <w:ilvl w:val="0"/>
                <w:numId w:val="0"/>
              </w:numPr>
              <w:spacing w:line="360" w:lineRule="exac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在合同执行过程中需要供应商应执行的伴随服务的服务标准或应当履行的相关义务。</w:t>
            </w:r>
          </w:p>
          <w:p w14:paraId="0051C645">
            <w:pPr>
              <w:spacing w:line="360" w:lineRule="exac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1.技术服务承诺：乙方提供必要的技术支持，包括现场指导、集中授课、专项操作等。</w:t>
            </w:r>
          </w:p>
          <w:p w14:paraId="26DAA374">
            <w:pPr>
              <w:spacing w:line="360" w:lineRule="exac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2.提供备用机和采血椅供甲方使用。</w:t>
            </w:r>
          </w:p>
          <w:p w14:paraId="6895E842">
            <w:pPr>
              <w:spacing w:line="360" w:lineRule="exac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3.甲方仪器的保养、维护由厂家提供。</w:t>
            </w:r>
          </w:p>
          <w:p w14:paraId="237E43A3">
            <w:pPr>
              <w:spacing w:line="360" w:lineRule="exact"/>
              <w:rPr>
                <w:rFonts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4.售后服务承诺：甲方发现产品有质量或可能影响质量问题时，乙方接到通知后4小时内到达现场或通过视频对话解决问题。因产品质量问题造成的耗材报废、血液报废和献血者血液的丢失，乙方应给甲方1-3倍的赔偿，赔偿应在发生之日起2个月内完成赔偿。</w:t>
            </w:r>
          </w:p>
        </w:tc>
      </w:tr>
      <w:tr w14:paraId="1FBAA8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5" w:type="dxa"/>
          </w:tcPr>
          <w:p w14:paraId="7F557CB8">
            <w:pPr>
              <w:pStyle w:val="4"/>
              <w:jc w:val="center"/>
              <w:rPr>
                <w:rFonts w:hint="default" w:ascii="仿宋_GB2312" w:hAnsi="仿宋_GB2312" w:eastAsia="仿宋_GB2312" w:cs="仿宋_GB2312"/>
                <w:lang w:eastAsia="zh-CN"/>
              </w:rPr>
            </w:pPr>
            <w:r>
              <w:rPr>
                <w:rFonts w:hint="eastAsia" w:ascii="仿宋_GB2312" w:hAnsi="仿宋_GB2312" w:eastAsia="仿宋_GB2312" w:cs="仿宋_GB2312"/>
                <w:lang w:val="en-US" w:eastAsia="zh-CN"/>
              </w:rPr>
              <w:t>4</w:t>
            </w:r>
          </w:p>
        </w:tc>
        <w:tc>
          <w:tcPr>
            <w:tcW w:w="1020" w:type="dxa"/>
          </w:tcPr>
          <w:p w14:paraId="3D8CF9B4">
            <w:pPr>
              <w:jc w:val="center"/>
            </w:pPr>
          </w:p>
        </w:tc>
        <w:tc>
          <w:tcPr>
            <w:tcW w:w="6652" w:type="dxa"/>
          </w:tcPr>
          <w:p w14:paraId="2BDC4820">
            <w:pPr>
              <w:spacing w:line="360" w:lineRule="exact"/>
              <w:rPr>
                <w:rFonts w:hint="default"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四、其他要求</w:t>
            </w:r>
          </w:p>
          <w:p w14:paraId="36F5FB66">
            <w:pPr>
              <w:spacing w:line="360" w:lineRule="exac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1.</w:t>
            </w:r>
            <w:r>
              <w:rPr>
                <w:rFonts w:hint="eastAsia" w:ascii="仿宋_GB2312" w:hAnsi="仿宋_GB2312" w:eastAsia="仿宋_GB2312" w:cs="仿宋_GB2312"/>
                <w:sz w:val="20"/>
                <w:szCs w:val="20"/>
                <w:highlight w:val="none"/>
              </w:rPr>
              <w:t>供货期：自合同签订之日起一年</w:t>
            </w:r>
            <w:r>
              <w:rPr>
                <w:rFonts w:hint="eastAsia" w:ascii="仿宋_GB2312" w:hAnsi="仿宋_GB2312" w:eastAsia="仿宋_GB2312" w:cs="仿宋_GB2312"/>
                <w:sz w:val="20"/>
                <w:szCs w:val="20"/>
                <w:highlight w:val="none"/>
                <w:lang w:eastAsia="zh-CN"/>
              </w:rPr>
              <w:t>内</w:t>
            </w:r>
            <w:r>
              <w:rPr>
                <w:rFonts w:hint="eastAsia" w:ascii="仿宋_GB2312" w:hAnsi="仿宋_GB2312" w:eastAsia="仿宋_GB2312" w:cs="仿宋_GB2312"/>
                <w:sz w:val="20"/>
                <w:szCs w:val="20"/>
                <w:highlight w:val="none"/>
              </w:rPr>
              <w:t>按需配送。</w:t>
            </w:r>
          </w:p>
          <w:p w14:paraId="228D9992">
            <w:pPr>
              <w:spacing w:line="360" w:lineRule="exac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2.</w:t>
            </w:r>
            <w:r>
              <w:rPr>
                <w:rFonts w:hint="eastAsia" w:ascii="仿宋_GB2312" w:hAnsi="仿宋_GB2312" w:eastAsia="仿宋_GB2312" w:cs="仿宋_GB2312"/>
                <w:sz w:val="20"/>
                <w:szCs w:val="20"/>
                <w:highlight w:val="none"/>
              </w:rPr>
              <w:t>交货时间：接到采购人订单之日起7日内交货。</w:t>
            </w:r>
          </w:p>
          <w:p w14:paraId="14379D35">
            <w:pPr>
              <w:spacing w:line="360" w:lineRule="exac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3.</w:t>
            </w:r>
            <w:r>
              <w:rPr>
                <w:rFonts w:hint="eastAsia" w:ascii="仿宋_GB2312" w:hAnsi="仿宋_GB2312" w:eastAsia="仿宋_GB2312" w:cs="仿宋_GB2312"/>
                <w:sz w:val="20"/>
                <w:szCs w:val="20"/>
                <w:highlight w:val="none"/>
              </w:rPr>
              <w:t>款项结算：合同签订后分批采购，分批付款。每批次产品经甲方确认合格后，按实际用量据实支付。</w:t>
            </w:r>
          </w:p>
          <w:p w14:paraId="17BB21D6">
            <w:pPr>
              <w:spacing w:line="360" w:lineRule="exac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4.</w:t>
            </w:r>
            <w:r>
              <w:rPr>
                <w:rFonts w:hint="eastAsia" w:ascii="仿宋_GB2312" w:hAnsi="仿宋_GB2312" w:eastAsia="仿宋_GB2312" w:cs="仿宋_GB2312"/>
                <w:sz w:val="20"/>
                <w:szCs w:val="20"/>
                <w:highlight w:val="none"/>
              </w:rPr>
              <w:t>交货地点：西安市中心血站指定地点。</w:t>
            </w:r>
          </w:p>
          <w:p w14:paraId="46B50238">
            <w:pPr>
              <w:spacing w:line="360" w:lineRule="exac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5.</w:t>
            </w:r>
            <w:r>
              <w:rPr>
                <w:rFonts w:hint="eastAsia" w:ascii="仿宋_GB2312" w:hAnsi="仿宋_GB2312" w:eastAsia="仿宋_GB2312" w:cs="仿宋_GB2312"/>
                <w:sz w:val="20"/>
                <w:szCs w:val="20"/>
                <w:highlight w:val="none"/>
              </w:rPr>
              <w:t>质量验收标准或规范</w:t>
            </w:r>
          </w:p>
          <w:p w14:paraId="152353BC">
            <w:pPr>
              <w:spacing w:line="360" w:lineRule="exac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现行的国家标准或国家行政部门颁布的法律法规、规章制度等，是项目验收的另一个重要依据。没有国家标准的，可以参考行业标准。</w:t>
            </w:r>
          </w:p>
          <w:p w14:paraId="671A4411">
            <w:pPr>
              <w:spacing w:line="360" w:lineRule="exact"/>
              <w:rPr>
                <w:rFonts w:hint="eastAsia" w:ascii="仿宋_GB2312" w:hAnsi="仿宋_GB2312" w:eastAsia="仿宋_GB2312" w:cs="仿宋_GB2312"/>
                <w:sz w:val="20"/>
                <w:szCs w:val="20"/>
                <w:highlight w:val="none"/>
                <w:lang w:eastAsia="zh-CN"/>
              </w:rPr>
            </w:pPr>
            <w:r>
              <w:rPr>
                <w:rFonts w:hint="eastAsia" w:ascii="仿宋_GB2312" w:hAnsi="仿宋_GB2312" w:eastAsia="仿宋_GB2312" w:cs="仿宋_GB2312"/>
                <w:sz w:val="20"/>
                <w:szCs w:val="20"/>
                <w:highlight w:val="none"/>
                <w:lang w:val="en-US" w:eastAsia="zh-CN"/>
              </w:rPr>
              <w:t>6.</w:t>
            </w:r>
            <w:r>
              <w:rPr>
                <w:rFonts w:hint="eastAsia" w:ascii="仿宋_GB2312" w:hAnsi="仿宋_GB2312" w:eastAsia="仿宋_GB2312" w:cs="仿宋_GB2312"/>
                <w:sz w:val="20"/>
                <w:szCs w:val="20"/>
                <w:highlight w:val="none"/>
              </w:rPr>
              <w:t>产品质保期</w:t>
            </w:r>
            <w:r>
              <w:rPr>
                <w:rFonts w:hint="eastAsia" w:ascii="仿宋_GB2312" w:hAnsi="仿宋_GB2312" w:eastAsia="仿宋_GB2312" w:cs="仿宋_GB2312"/>
                <w:sz w:val="20"/>
                <w:szCs w:val="20"/>
                <w:highlight w:val="none"/>
                <w:lang w:eastAsia="zh-CN"/>
              </w:rPr>
              <w:t>：</w:t>
            </w:r>
          </w:p>
          <w:p w14:paraId="5E59E162">
            <w:pPr>
              <w:spacing w:line="360" w:lineRule="exac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保质期：收货后有效期≥12个月。（质控品不低于2个月）。</w:t>
            </w:r>
          </w:p>
          <w:p w14:paraId="61249050">
            <w:pPr>
              <w:spacing w:line="360" w:lineRule="exact"/>
              <w:rPr>
                <w:rFonts w:hint="eastAsia" w:ascii="仿宋_GB2312" w:hAnsi="仿宋_GB2312" w:eastAsia="仿宋_GB2312" w:cs="仿宋_GB2312"/>
                <w:sz w:val="20"/>
                <w:szCs w:val="20"/>
                <w:highlight w:val="none"/>
                <w:lang w:eastAsia="zh-CN"/>
              </w:rPr>
            </w:pPr>
            <w:r>
              <w:rPr>
                <w:rFonts w:hint="eastAsia" w:ascii="仿宋_GB2312" w:hAnsi="仿宋_GB2312" w:eastAsia="仿宋_GB2312" w:cs="仿宋_GB2312"/>
                <w:sz w:val="20"/>
                <w:szCs w:val="20"/>
                <w:highlight w:val="none"/>
                <w:lang w:val="en-US" w:eastAsia="zh-CN"/>
              </w:rPr>
              <w:t>7.</w:t>
            </w:r>
            <w:r>
              <w:rPr>
                <w:rFonts w:hint="eastAsia" w:ascii="仿宋_GB2312" w:hAnsi="仿宋_GB2312" w:eastAsia="仿宋_GB2312" w:cs="仿宋_GB2312"/>
                <w:sz w:val="20"/>
                <w:szCs w:val="20"/>
                <w:highlight w:val="none"/>
              </w:rPr>
              <w:t>违约责任</w:t>
            </w:r>
            <w:r>
              <w:rPr>
                <w:rFonts w:hint="eastAsia" w:ascii="仿宋_GB2312" w:hAnsi="仿宋_GB2312" w:eastAsia="仿宋_GB2312" w:cs="仿宋_GB2312"/>
                <w:sz w:val="20"/>
                <w:szCs w:val="20"/>
                <w:highlight w:val="none"/>
                <w:lang w:eastAsia="zh-CN"/>
              </w:rPr>
              <w:t>：</w:t>
            </w:r>
          </w:p>
          <w:p w14:paraId="55B2675D">
            <w:pPr>
              <w:spacing w:line="360" w:lineRule="exact"/>
            </w:pPr>
            <w:r>
              <w:rPr>
                <w:rFonts w:hint="eastAsia" w:ascii="仿宋_GB2312" w:hAnsi="仿宋_GB2312" w:eastAsia="仿宋_GB2312" w:cs="仿宋_GB2312"/>
                <w:sz w:val="20"/>
                <w:szCs w:val="20"/>
                <w:highlight w:val="none"/>
              </w:rPr>
              <w:t>一般与合同款项的支付相关，注意不要超出《民法典》中对于违约的责任上限。</w:t>
            </w:r>
          </w:p>
        </w:tc>
      </w:tr>
    </w:tbl>
    <w:p w14:paraId="7822EB4E">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5B74C55"/>
    <w:rsid w:val="25B74C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2026-09-07T05:51:00Z</dcterms:created>
  <dc:creator>白日梦</dc:creator>
  <cp:lastModifiedBy>白日梦</cp:lastModifiedBy>
  <dcterms:modified xsi:type="dcterms:W3CDTF">2026-09-07T05:51:32Z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BC7FBFCD6C6840B1837E56EA404F8451_11</vt:lpwstr>
  </property>
  <property fmtid="{D5CDD505-2E9C-101B-9397-08002B2CF9AE}" pid="4" name="KSOTemplateDocerSaveRecord">
    <vt:lpwstr>eyJoZGlkIjoiOTQyNjJhYWQ1Y2ZkMWY1OTgyN2E4ZDZkNGNkNDQwMjYiLCJ1c2VySWQiOiIzMTI3MDEwNzEifQ==</vt:lpwstr>
  </property>
</Properties>
</file>