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版本号：0701-2641SX06001520260727001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2026年西安市中小学校园足球联赛市级决赛项目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0701-2641SX060015</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2026年西安市中小学校园足球联赛市级决赛项目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0701-2641SX060015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2026年西安市中小学校园足球联赛市级决赛项目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赛前筹备、赛中执行、赛后总结的阶段化安排，有序组织2026年西安市青少年校园足球联赛市级决赛赛事活动，保障全市各区县代表队参与小学男子组、小学女子组、初中男子组、初中女子组、高中男子组、高中女子组6个组别不少于200场比赛竞赛，并围绕赛事开展全方位宣传策划、媒体推广与负面信息处置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授权代表参加磋商的，须出具法定代表人授权委托书（附法定代表人身份证复印件及被授权人身份证复印件）；法定代表人直接参加磋商只需提供法定代表人资格证明书（附法定代表人身份证复印件）。</w:t>
      </w:r>
    </w:p>
    <w:p>
      <w:pPr>
        <w:pStyle w:val="null3"/>
      </w:pPr>
      <w:r>
        <w:rPr>
          <w:rFonts w:ascii="仿宋_GB2312" w:hAnsi="仿宋_GB2312" w:cs="仿宋_GB2312" w:eastAsia="仿宋_GB2312"/>
        </w:rPr>
        <w:t>2、联合体：本项目不接受联合体参与磋商。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北京市丰台区西营街1号院2区1号楼，2区2号楼，2区3号楼8层801、9层901（1号楼）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19039005157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开户名称：中技国际招标有限公司 开户银行：中国银行总行营业部 账号:778350010653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1.按照采购人要求，依据现场实际需要，确保2026年西安市中小学校园足球联赛市级决赛项目圆满结束。 2.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联系电话：19039005157</w:t>
      </w:r>
    </w:p>
    <w:p>
      <w:pPr>
        <w:pStyle w:val="null3"/>
      </w:pPr>
      <w:r>
        <w:rPr>
          <w:rFonts w:ascii="仿宋_GB2312" w:hAnsi="仿宋_GB2312" w:cs="仿宋_GB2312" w:eastAsia="仿宋_GB2312"/>
        </w:rPr>
        <w:t>地址：北京市丰台区西营街1号院2区1号楼，2区2号楼，2区3号楼8层801、9层901（1号楼）</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赛前筹备、赛中执行、赛后总结的阶段化安排，有序组织2026年西安市青少年校园足球联赛市级决赛赛事活动，保障全市各区县代表队参与小学男子组、小学女子组、初中男子组、初中女子组、高中男子组、高中女子组6个组别不少于200场比赛竞赛，并围绕赛事开展全方位宣传策划、媒体推广与负面信息处置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2026年西安市中小学校园足球联赛市级决赛项目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标的名称：2026年西安市中小学校园足球联赛市级决赛项目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1"/>
              <w:jc w:val="both"/>
            </w:pPr>
            <w:r>
              <w:rPr>
                <w:rFonts w:ascii="仿宋_GB2312" w:hAnsi="仿宋_GB2312" w:cs="仿宋_GB2312" w:eastAsia="仿宋_GB2312"/>
                <w:sz w:val="21"/>
                <w:b/>
              </w:rPr>
              <w:t>一、</w:t>
            </w:r>
            <w:r>
              <w:rPr>
                <w:rFonts w:ascii="仿宋_GB2312" w:hAnsi="仿宋_GB2312" w:cs="仿宋_GB2312" w:eastAsia="仿宋_GB2312"/>
                <w:sz w:val="21"/>
                <w:b/>
              </w:rPr>
              <w:t>供应商</w:t>
            </w:r>
            <w:r>
              <w:rPr>
                <w:rFonts w:ascii="仿宋_GB2312" w:hAnsi="仿宋_GB2312" w:cs="仿宋_GB2312" w:eastAsia="仿宋_GB2312"/>
                <w:sz w:val="21"/>
                <w:b/>
              </w:rPr>
              <w:t>基本条件</w:t>
            </w:r>
          </w:p>
          <w:p>
            <w:pPr>
              <w:pStyle w:val="null3"/>
              <w:ind w:firstLine="420"/>
              <w:jc w:val="both"/>
            </w:pPr>
            <w:r>
              <w:rPr>
                <w:rFonts w:ascii="仿宋_GB2312" w:hAnsi="仿宋_GB2312" w:cs="仿宋_GB2312" w:eastAsia="仿宋_GB2312"/>
                <w:sz w:val="21"/>
              </w:rPr>
              <w:t>1.具备为本项目提供所需的赛事执裁人员；</w:t>
            </w:r>
          </w:p>
          <w:p>
            <w:pPr>
              <w:pStyle w:val="null3"/>
              <w:ind w:firstLine="420"/>
              <w:jc w:val="both"/>
            </w:pPr>
            <w:r>
              <w:rPr>
                <w:rFonts w:ascii="仿宋_GB2312" w:hAnsi="仿宋_GB2312" w:cs="仿宋_GB2312" w:eastAsia="仿宋_GB2312"/>
                <w:sz w:val="21"/>
              </w:rPr>
              <w:t>2.具备同类型赛事承办及运营相关成功经验；</w:t>
            </w:r>
          </w:p>
          <w:p>
            <w:pPr>
              <w:pStyle w:val="null3"/>
              <w:ind w:firstLine="420"/>
              <w:jc w:val="both"/>
            </w:pPr>
            <w:r>
              <w:rPr>
                <w:rFonts w:ascii="仿宋_GB2312" w:hAnsi="仿宋_GB2312" w:cs="仿宋_GB2312" w:eastAsia="仿宋_GB2312"/>
                <w:sz w:val="21"/>
              </w:rPr>
              <w:t>3.具备市级媒体赛事宣传推广能力；</w:t>
            </w:r>
          </w:p>
          <w:p>
            <w:pPr>
              <w:pStyle w:val="null3"/>
              <w:ind w:firstLine="420"/>
              <w:jc w:val="both"/>
            </w:pPr>
            <w:r>
              <w:rPr>
                <w:rFonts w:ascii="仿宋_GB2312" w:hAnsi="仿宋_GB2312" w:cs="仿宋_GB2312" w:eastAsia="仿宋_GB2312"/>
                <w:sz w:val="21"/>
              </w:rPr>
              <w:t>4.具备在市级及以上线上平台收集整理报名资料、审核参赛选手参赛资格的能力；</w:t>
            </w:r>
          </w:p>
          <w:p>
            <w:pPr>
              <w:pStyle w:val="null3"/>
              <w:ind w:firstLine="420"/>
              <w:jc w:val="both"/>
            </w:pPr>
            <w:r>
              <w:rPr>
                <w:rFonts w:ascii="仿宋_GB2312" w:hAnsi="仿宋_GB2312" w:cs="仿宋_GB2312" w:eastAsia="仿宋_GB2312"/>
                <w:sz w:val="21"/>
              </w:rPr>
              <w:t>5.具备科学制定赛事规则与赛程，保障赛事公平规范、运转有序的能力</w:t>
            </w:r>
            <w:r>
              <w:rPr>
                <w:rFonts w:ascii="仿宋_GB2312" w:hAnsi="仿宋_GB2312" w:cs="仿宋_GB2312" w:eastAsia="仿宋_GB2312"/>
                <w:sz w:val="21"/>
              </w:rPr>
              <w:t>。</w:t>
            </w:r>
          </w:p>
          <w:p>
            <w:pPr>
              <w:pStyle w:val="null3"/>
              <w:ind w:firstLine="421"/>
              <w:jc w:val="both"/>
            </w:pPr>
            <w:r>
              <w:rPr>
                <w:rFonts w:ascii="仿宋_GB2312" w:hAnsi="仿宋_GB2312" w:cs="仿宋_GB2312" w:eastAsia="仿宋_GB2312"/>
                <w:sz w:val="21"/>
                <w:b/>
              </w:rPr>
              <w:t>二、</w:t>
            </w:r>
            <w:r>
              <w:rPr>
                <w:rFonts w:ascii="仿宋_GB2312" w:hAnsi="仿宋_GB2312" w:cs="仿宋_GB2312" w:eastAsia="仿宋_GB2312"/>
                <w:sz w:val="21"/>
                <w:b/>
              </w:rPr>
              <w:t>服务</w:t>
            </w:r>
            <w:r>
              <w:rPr>
                <w:rFonts w:ascii="仿宋_GB2312" w:hAnsi="仿宋_GB2312" w:cs="仿宋_GB2312" w:eastAsia="仿宋_GB2312"/>
                <w:sz w:val="21"/>
                <w:b/>
              </w:rPr>
              <w:t>内容</w:t>
            </w:r>
          </w:p>
          <w:p>
            <w:pPr>
              <w:pStyle w:val="null3"/>
              <w:ind w:firstLine="420"/>
              <w:jc w:val="both"/>
            </w:pPr>
            <w:r>
              <w:rPr>
                <w:rFonts w:ascii="仿宋_GB2312" w:hAnsi="仿宋_GB2312" w:cs="仿宋_GB2312" w:eastAsia="仿宋_GB2312"/>
                <w:sz w:val="21"/>
              </w:rPr>
              <w:t>全面负责赛事组织实施、安全管理、场地及设施设备保障、竞赛统筹等工作，并编制赛事安全应急预案。负责为整个竞赛工作提供所需的裁判、仲裁和技术人员、工作人员以及所需的设备。为比赛提供优质服务，保障竞赛顺利进行，为运动员提供良好的比赛环境，为运动队创造运动成绩提供平台，同时实现赛事良好的社会效益。具体要求：</w:t>
            </w:r>
          </w:p>
          <w:p>
            <w:pPr>
              <w:pStyle w:val="null3"/>
              <w:ind w:firstLine="420"/>
              <w:jc w:val="both"/>
            </w:pPr>
            <w:r>
              <w:rPr>
                <w:rFonts w:ascii="仿宋_GB2312" w:hAnsi="仿宋_GB2312" w:cs="仿宋_GB2312" w:eastAsia="仿宋_GB2312"/>
                <w:sz w:val="21"/>
              </w:rPr>
              <w:t>1.完成大赛闭幕颁奖仪式和比赛过程中的器材、物料。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负责闭幕颁奖仪式场地搭建及所需的物料，保障仪式正常开展；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为各赛点配备赛事用品，包含比赛足球</w:t>
            </w:r>
            <w:r>
              <w:rPr>
                <w:rFonts w:ascii="仿宋_GB2312" w:hAnsi="仿宋_GB2312" w:cs="仿宋_GB2312" w:eastAsia="仿宋_GB2312"/>
                <w:sz w:val="21"/>
              </w:rPr>
              <w:t>6个、脚旗4副、巡边旗两副、红黄牌一副、换人牌一副、翻分牌一副和足球网两套等</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2.赛事赛程制定。</w:t>
            </w:r>
          </w:p>
          <w:p>
            <w:pPr>
              <w:pStyle w:val="null3"/>
              <w:ind w:firstLine="420"/>
              <w:jc w:val="both"/>
            </w:pPr>
            <w:r>
              <w:rPr>
                <w:rFonts w:ascii="仿宋_GB2312" w:hAnsi="仿宋_GB2312" w:cs="仿宋_GB2312" w:eastAsia="仿宋_GB2312"/>
                <w:sz w:val="21"/>
              </w:rPr>
              <w:t>报名结束后，须采取抽签的方式确定</w:t>
            </w:r>
            <w:r>
              <w:rPr>
                <w:rFonts w:ascii="仿宋_GB2312" w:hAnsi="仿宋_GB2312" w:cs="仿宋_GB2312" w:eastAsia="仿宋_GB2312"/>
                <w:sz w:val="21"/>
              </w:rPr>
              <w:t>A、B、C、D 组参赛队位列，保证竞赛公平性。</w:t>
            </w:r>
          </w:p>
          <w:p>
            <w:pPr>
              <w:pStyle w:val="null3"/>
              <w:ind w:firstLine="420"/>
              <w:jc w:val="both"/>
            </w:pPr>
            <w:r>
              <w:rPr>
                <w:rFonts w:ascii="仿宋_GB2312" w:hAnsi="仿宋_GB2312" w:cs="仿宋_GB2312" w:eastAsia="仿宋_GB2312"/>
                <w:sz w:val="21"/>
              </w:rPr>
              <w:t>第一阶段：采用小学组男子组、小学女子组、初中男子组、初中女子组、高中男子组、高中女子组分赛区进行单循环比赛。</w:t>
            </w:r>
          </w:p>
          <w:p>
            <w:pPr>
              <w:pStyle w:val="null3"/>
              <w:ind w:firstLine="420"/>
              <w:jc w:val="both"/>
            </w:pPr>
            <w:r>
              <w:rPr>
                <w:rFonts w:ascii="仿宋_GB2312" w:hAnsi="仿宋_GB2312" w:cs="仿宋_GB2312" w:eastAsia="仿宋_GB2312"/>
                <w:sz w:val="21"/>
              </w:rPr>
              <w:t>第二阶段：小学男子组、小学女子组、高中男子组、高中女子组四个组别，进入第二轮八强赛的球队，采取单场交叉淘汰赛，八进四、四进二、决赛、三四名决赛。决出前</w:t>
            </w:r>
            <w:r>
              <w:rPr>
                <w:rFonts w:ascii="仿宋_GB2312" w:hAnsi="仿宋_GB2312" w:cs="仿宋_GB2312" w:eastAsia="仿宋_GB2312"/>
                <w:sz w:val="21"/>
              </w:rPr>
              <w:t>4名</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初中男子组、初中女子组两个组别，进入第二轮八强赛的球队，采取单场交叉淘汰赛，八进四、四进二、决赛、三四名决赛，负方四支队，再进行两场排名赛，决出前六名。</w:t>
            </w:r>
          </w:p>
          <w:p>
            <w:pPr>
              <w:pStyle w:val="null3"/>
              <w:ind w:firstLine="420"/>
              <w:jc w:val="both"/>
            </w:pPr>
            <w:r>
              <w:rPr>
                <w:rFonts w:ascii="仿宋_GB2312" w:hAnsi="仿宋_GB2312" w:cs="仿宋_GB2312" w:eastAsia="仿宋_GB2312"/>
                <w:sz w:val="21"/>
              </w:rPr>
              <w:t>同一时间段预估最多有</w:t>
            </w:r>
            <w:r>
              <w:rPr>
                <w:rFonts w:ascii="仿宋_GB2312" w:hAnsi="仿宋_GB2312" w:cs="仿宋_GB2312" w:eastAsia="仿宋_GB2312"/>
                <w:sz w:val="21"/>
              </w:rPr>
              <w:t>4个不同赛点同时开赛</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3.按照赛事整体安排，及时公示各阶段赛程、场地及赛事进展，主动接受采购人监督</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4.依托市级及以上线上报名平台，完成参赛报名及球员资格审查工作</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5.严格遵照采购人要求制定、发布赛事竞赛规程，并组织实施，具体内容如下：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赛前负责收集、审核、整理参赛报名资料，规范编制赛事秩序册，完成封面设计、内容排版、校对及印刷装订不少于</w:t>
            </w:r>
            <w:r>
              <w:rPr>
                <w:rFonts w:ascii="仿宋_GB2312" w:hAnsi="仿宋_GB2312" w:cs="仿宋_GB2312" w:eastAsia="仿宋_GB2312"/>
                <w:sz w:val="21"/>
              </w:rPr>
              <w:t>200</w:t>
            </w:r>
            <w:r>
              <w:rPr>
                <w:rFonts w:ascii="仿宋_GB2312" w:hAnsi="仿宋_GB2312" w:cs="仿宋_GB2312" w:eastAsia="仿宋_GB2312"/>
                <w:sz w:val="21"/>
              </w:rPr>
              <w:t>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2）需配备总裁判长1人，</w:t>
            </w:r>
            <w:r>
              <w:rPr>
                <w:rFonts w:ascii="仿宋_GB2312" w:hAnsi="仿宋_GB2312" w:cs="仿宋_GB2312" w:eastAsia="仿宋_GB2312"/>
                <w:sz w:val="21"/>
              </w:rPr>
              <w:t>熟练掌握并正确运用本项目竞赛规则与裁判法，且拥有同类赛事执裁经历，具备独立完成现场执裁工作的能力；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3）每个赛点需配备</w:t>
            </w:r>
            <w:r>
              <w:rPr>
                <w:rFonts w:ascii="仿宋_GB2312" w:hAnsi="仿宋_GB2312" w:cs="仿宋_GB2312" w:eastAsia="仿宋_GB2312"/>
                <w:sz w:val="21"/>
              </w:rPr>
              <w:t>现场执裁人员</w:t>
            </w:r>
            <w:r>
              <w:rPr>
                <w:rFonts w:ascii="仿宋_GB2312" w:hAnsi="仿宋_GB2312" w:cs="仿宋_GB2312" w:eastAsia="仿宋_GB2312"/>
                <w:sz w:val="21"/>
              </w:rPr>
              <w:t>5名（1名主裁判，4名边裁），均</w:t>
            </w:r>
            <w:r>
              <w:rPr>
                <w:rFonts w:ascii="仿宋_GB2312" w:hAnsi="仿宋_GB2312" w:cs="仿宋_GB2312" w:eastAsia="仿宋_GB2312"/>
                <w:sz w:val="21"/>
              </w:rPr>
              <w:t>应具备国家二级裁判员资格，熟练掌握并正确运用本项目竞赛规则与裁判法，且拥有同类赛事执裁经历，具备独立完成现场执裁工作的能力；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为比赛获奖组别提供小学男子组、小学女子组、初中男子组、初中女子组、高中男子组、高中女子组</w:t>
            </w:r>
            <w:r>
              <w:rPr>
                <w:rFonts w:ascii="仿宋_GB2312" w:hAnsi="仿宋_GB2312" w:cs="仿宋_GB2312" w:eastAsia="仿宋_GB2312"/>
                <w:sz w:val="21"/>
              </w:rPr>
              <w:t>2-6名代表队提供木质集体奖牌，为队员提供获奖证书；为小学男子组、小学女子组、初中男子组、初中女子组、高中男子组、高中女子组冠军代表队提供冠军奖杯、木质集体奖牌，为各组别第一名队员提供金牌和证书；同时提供六个组别“体育道德风尚奖”、“优秀组织奖”、“优秀裁判员”、“最佳射手奖”、“优秀守门员”奖杯及证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赛后负责全面整理、核对比赛成绩，规范编制成绩册，完成封面与内页设计、排版、校对及印刷装订，不少于</w:t>
            </w:r>
            <w:r>
              <w:rPr>
                <w:rFonts w:ascii="仿宋_GB2312" w:hAnsi="仿宋_GB2312" w:cs="仿宋_GB2312" w:eastAsia="仿宋_GB2312"/>
                <w:sz w:val="21"/>
              </w:rPr>
              <w:t>200册</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6.完成大赛期间的新闻宣传报道及全面推广活动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赛事期间依托我市报纸、网络、电视等开展全方位宣传推广；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对闭幕颁奖仪式及重点赛事进行线上直播，不少于</w:t>
            </w:r>
            <w:r>
              <w:rPr>
                <w:rFonts w:ascii="仿宋_GB2312" w:hAnsi="仿宋_GB2312" w:cs="仿宋_GB2312" w:eastAsia="仿宋_GB2312"/>
                <w:sz w:val="21"/>
              </w:rPr>
              <w:t>24场次。</w:t>
            </w:r>
          </w:p>
          <w:p>
            <w:pPr>
              <w:pStyle w:val="null3"/>
              <w:ind w:firstLine="420"/>
              <w:jc w:val="both"/>
            </w:pPr>
            <w:r>
              <w:rPr>
                <w:rFonts w:ascii="仿宋_GB2312" w:hAnsi="仿宋_GB2312" w:cs="仿宋_GB2312" w:eastAsia="仿宋_GB2312"/>
                <w:sz w:val="21"/>
              </w:rPr>
              <w:t>7.为比赛提供各项方案</w:t>
            </w:r>
          </w:p>
          <w:p>
            <w:pPr>
              <w:pStyle w:val="null3"/>
              <w:ind w:firstLine="420"/>
              <w:jc w:val="both"/>
            </w:pPr>
            <w:r>
              <w:rPr>
                <w:rFonts w:ascii="仿宋_GB2312" w:hAnsi="仿宋_GB2312" w:cs="仿宋_GB2312" w:eastAsia="仿宋_GB2312"/>
                <w:sz w:val="21"/>
              </w:rPr>
              <w:t>编制所需的各项方案，包括：现场执行方案、安全预案等，方案需采购人审核通过后方可实施；</w:t>
            </w:r>
          </w:p>
          <w:p>
            <w:pPr>
              <w:pStyle w:val="null3"/>
              <w:ind w:firstLine="420"/>
              <w:jc w:val="both"/>
            </w:pPr>
            <w:r>
              <w:rPr>
                <w:rFonts w:ascii="仿宋_GB2312" w:hAnsi="仿宋_GB2312" w:cs="仿宋_GB2312" w:eastAsia="仿宋_GB2312"/>
                <w:sz w:val="21"/>
              </w:rPr>
              <w:t>8.为各赛点配备所需的药品、AED急救设备及在岗医务人员等，保障赛事安全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9.项目结束后，为采购人提供全套赛事资料。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配备与本项目需求匹配的专家以及有关工作人员，项目组成人员职责分工明确、数量和结构配备合理。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提供的设备能够满足本项目的需求。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服务结束后由采购人组织验收。验收依据：磋商文件、磋商响应文件、合同文本、国内相应的标准、规范。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预付款，合同签订后，收到中标供应商开具的发票后，达到付款条件起10个工作日内，支付合同总金额的40.0%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其他，合同履行完毕并经验收合格，收到中标供应商开具的发票后，达到付款条件起10个工作日内，支付合同总金额的60.0%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投标人未按合同要求提供服务或服务质量不能满足技术要求，且在规定时间内未使采购人满意的，采购人有权解除合同，同时报请陕西省财政厅政府采购监管部门对其违约行为进行追究。（3）因执行本项目合同所发生的或与本项目合同有关的一切争议,双方应通过友好协商解决。如果协商开始后六十（60）天还不能解决，任何一方均可按中华人民共和国有关法律的规定提交仲裁。仲裁地点为西安仲裁委员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供应商需在项目电子化交易系统中按要求填写《投标函》完成承诺并进行电子签章，同时提供以下各项证明材料： ①供应商具有独立承担民事责任能力的法人或其他组织或自然人，并提供法人或者其他组织合法有效的营业执照等证明文件，事业单位应提供事业单位法人证书，自然人应提供身份证明文件。 ②提供磋商截止日前一年内任意连续三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③提供磋商截止日前一年内任意连续三个月已缴纳的社会保障资金的证明（社会保障资金缴存单据或社保机构开具的社会保险参保缴费情况证明等）；依法不需要缴纳社会保障资金的供应商应提供相关文件证明。 ④具备履行合同所必需的设备和专业技术能力，提供承诺函。 ⑤参加政府采购活动前3年内，在经营活动中没有重大违法记录，以及未被列入失信被执行人、重大税收违法案件当事人名单、政府采购严重违法失信行为记录名单，提供书面声明。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代表参加磋商的，须出具法定代表人授权委托书（附法定代表人身份证复印件及被授权人身份证复印件）；法定代表人直接参加磋商只需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供应商按照磋商文件要求上传磋商响应文件。</w:t>
            </w:r>
          </w:p>
        </w:tc>
        <w:tc>
          <w:tcPr>
            <w:tcW w:type="dxa" w:w="1661"/>
          </w:tcPr>
          <w:p>
            <w:pPr>
              <w:pStyle w:val="null3"/>
            </w:pPr>
            <w:r>
              <w:rPr>
                <w:rFonts w:ascii="仿宋_GB2312" w:hAnsi="仿宋_GB2312" w:cs="仿宋_GB2312" w:eastAsia="仿宋_GB2312"/>
              </w:rPr>
              <w:t>服务条款偏离表.docx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一、评审内容：提供自2023年1月1日起，截至本项目开标之日的类似业绩（以合同签订时间为准），每提供一个得3分，最高得12分。 二、评审标准：业绩证明材料以磋商响应文件中提供的合同复印件及中标通知书为准，提供合同关键页复印件并加盖供应商公章（合同关键页内容须包含合同签订时间、签订双方名称、主要服务内容、双方盖章页等），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赛事整体组织实施方案</w:t>
            </w:r>
          </w:p>
        </w:tc>
        <w:tc>
          <w:tcPr>
            <w:tcW w:type="dxa" w:w="2492"/>
          </w:tcPr>
          <w:p>
            <w:pPr>
              <w:pStyle w:val="null3"/>
            </w:pPr>
            <w:r>
              <w:rPr>
                <w:rFonts w:ascii="仿宋_GB2312" w:hAnsi="仿宋_GB2312" w:cs="仿宋_GB2312" w:eastAsia="仿宋_GB2312"/>
              </w:rPr>
              <w:t>一、评审内容：针对本项目的赛事整体组织实施方案包括①赛事组织与执行；②竞赛规程；③参赛人员、观众及嘉宾服务；④开闭幕式策划与执行；⑤场地搭建与布置等后勤保障。 二、评审标准：以上5项内容完整、描述详尽、符合项目实际需求的，得15分；每缺少1项扣3分；虽提供但所述内容有缺陷扣0.6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一、评审内容：供应商针对本项目编制完善的服务质量保障方案，内容包含但不限于：①项目执行质量控制方案；②组织机构及人员配备方案；③宣传推广与直播运营保障方案；④售后服务保证方案。 二、评审标准：以上4项内容完整、描述详尽、符合项目实际需求的，得10分；每缺少1项扣2.5分；虽提供但所述内容有缺陷扣0.5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安全管理与应急保障及负面信息处置方案</w:t>
            </w:r>
          </w:p>
        </w:tc>
        <w:tc>
          <w:tcPr>
            <w:tcW w:type="dxa" w:w="2492"/>
          </w:tcPr>
          <w:p>
            <w:pPr>
              <w:pStyle w:val="null3"/>
            </w:pPr>
            <w:r>
              <w:rPr>
                <w:rFonts w:ascii="仿宋_GB2312" w:hAnsi="仿宋_GB2312" w:cs="仿宋_GB2312" w:eastAsia="仿宋_GB2312"/>
              </w:rPr>
              <w:t>一、评审内容：针对本项目的安全管理与应急保障方案包括①赛事现场执行方案、专项安全应急预案；②人员安全、伤病急救、恶劣天气等应急场景方案；③负面信息处置方案。 二、评审标准：以上3项内容完整、描述详尽、符合项目实际需求的，得9分；每缺少1项扣3分；虽提供但所述内容有缺陷扣0.6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一、评审内容：针对本项目的实施进度计划方案包括①总体实施计划及安排；②各阶段实施计划（包括赛前准备、赛程安排、赛后总结等）；③内部沟通与相互协调。 二、评审标准：以上3项内容完整、描述详尽、符合项目实际需求的，得6分；每缺少1项扣2分；虽提供但所述内容有缺陷扣0.4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一、项目负责人（满分4分） 拟派本项目的项目负责人具有组织类似体育活动的项目负责人经验，每有一项得2分，累计得4分。（提供合同或业主证明等其他相关证明材料） 二、项目团队（除项目负责人外）（满分17分） （一）拟派本项目执裁人员中： ①配备总裁判长1人，具有国家一级及以上裁判员资格证书的，得0.5分。具有同类赛事执裁经验的得0.5分。（提供加盖公章的证书扫描件及经验证明材料） ②每配备1名具有国家二级及以上裁判员资格证书且具有同类赛事执裁经验的裁判员，得0.5分，最高得10分。（提供加盖公章的证书扫描件及经验证明材料） （二）①拟投入本项目服务团队人数＞30人得6分；②20人＜拟投入本项目服务团队人数≤30人得4分；③15人＜拟投入本项目服务团队人数≤20人得2分；④拟投入本项目服务团队人数≤15人得1分；⑤未提供的不得分。 提供项目组人员配备表及承诺函。</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媒体宣传能力</w:t>
            </w:r>
          </w:p>
        </w:tc>
        <w:tc>
          <w:tcPr>
            <w:tcW w:type="dxa" w:w="2492"/>
          </w:tcPr>
          <w:p>
            <w:pPr>
              <w:pStyle w:val="null3"/>
            </w:pPr>
            <w:r>
              <w:rPr>
                <w:rFonts w:ascii="仿宋_GB2312" w:hAnsi="仿宋_GB2312" w:cs="仿宋_GB2312" w:eastAsia="仿宋_GB2312"/>
              </w:rPr>
              <w:t>供应商具有媒体合作能力（指报纸、电视、网络平台等媒体平台），需提供承诺及相关证明材料（指已签署的合同、授权发布证明、拟投入的渠道证明材料、往期项目投入渠道证明材料）每提供1个平台合作证明的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一、供应商承诺能够提供齐全的且满足需求的设施设备、器材物料的，得2分。 二、供应商承诺本项目配备的核心人员不得随意更换；若因客观因素确需更换的，须征得采购人同意，得2分。 三、供应商承诺若因人员未到位或消极怠工，导致赛事进度及质量受到严重影响，在采购人提出更换相关人员的要求时，能够及时完成更换的，得2分。 四、供应商承诺在项目实施过程中无条件接受采购人监督；若需整改，须在采购人要求的合理时间内及时出具整改方案的，得2分。 五、供应商承诺严格落实档案资料与台账管理的各项规定，确保资料归集齐全、台账记录准确、保管规范安全，且无资料丢失、数据失真等问题的，得2分。 六、供应商承诺严格遵守廉洁从业规定，秉公管理档案台账，不徇私舞弊，自觉接受监督的，得2分。 上述各项须提供承诺函，格式自拟，未提供的不得分。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本项目所属行业为其他未列明行业。 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详见附件：《2026年西安市中小学校园足球联赛市级决赛项目》合同.docx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