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1B0A0D">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注：本合同作为合同的基本格式，采购人有权在签订合同时对合同的相关条款及内容作进一步的细化和修改，但不得改变磋商文件及磋商响应文件、成交通知书规定的实质性内容）</w:t>
      </w:r>
    </w:p>
    <w:p w14:paraId="1960C58B">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采购人（以下称“甲方”）：</w:t>
      </w:r>
      <w:r>
        <w:rPr>
          <w:rFonts w:hint="eastAsia" w:ascii="仿宋" w:hAnsi="仿宋" w:eastAsia="仿宋" w:cs="仿宋"/>
          <w:color w:val="auto"/>
          <w:kern w:val="1"/>
          <w:sz w:val="24"/>
          <w:szCs w:val="24"/>
          <w:highlight w:val="none"/>
          <w:u w:val="single"/>
        </w:rPr>
        <w:t xml:space="preserve"> 西安市教育局 </w:t>
      </w:r>
      <w:r>
        <w:rPr>
          <w:rFonts w:hint="eastAsia" w:ascii="仿宋" w:hAnsi="仿宋" w:eastAsia="仿宋" w:cs="仿宋"/>
          <w:color w:val="auto"/>
          <w:kern w:val="1"/>
          <w:sz w:val="24"/>
          <w:szCs w:val="24"/>
          <w:highlight w:val="none"/>
        </w:rPr>
        <w:t xml:space="preserve">                                         </w:t>
      </w:r>
    </w:p>
    <w:p w14:paraId="7E7A3D39">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地址：</w:t>
      </w:r>
      <w:r>
        <w:rPr>
          <w:rFonts w:hint="eastAsia" w:ascii="仿宋" w:hAnsi="仿宋" w:eastAsia="仿宋" w:cs="仿宋"/>
          <w:color w:val="auto"/>
          <w:kern w:val="1"/>
          <w:sz w:val="24"/>
          <w:szCs w:val="24"/>
          <w:highlight w:val="none"/>
          <w:u w:val="single"/>
        </w:rPr>
        <w:t xml:space="preserve"> 西安市凤城八路109号市政府6号楼 </w:t>
      </w:r>
      <w:r>
        <w:rPr>
          <w:rFonts w:hint="eastAsia" w:ascii="仿宋" w:hAnsi="仿宋" w:eastAsia="仿宋" w:cs="仿宋"/>
          <w:color w:val="auto"/>
          <w:kern w:val="1"/>
          <w:sz w:val="24"/>
          <w:szCs w:val="24"/>
          <w:highlight w:val="none"/>
        </w:rPr>
        <w:t xml:space="preserve">                                                            </w:t>
      </w:r>
    </w:p>
    <w:p w14:paraId="51874959">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联系方式：</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 xml:space="preserve">                                                     </w:t>
      </w:r>
    </w:p>
    <w:p w14:paraId="16CD516A">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供应商（以下称“乙方”）：</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 xml:space="preserve">                                         </w:t>
      </w:r>
    </w:p>
    <w:p w14:paraId="3A269FC1">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地址：</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 xml:space="preserve">                                                          </w:t>
      </w:r>
    </w:p>
    <w:p w14:paraId="31FB7845">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联系方式：</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 xml:space="preserve">                                                  </w:t>
      </w:r>
    </w:p>
    <w:p w14:paraId="53C28B61">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68" w:firstLineChars="195"/>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根据《中华人民共和国政府采购法》及实施条例、《中华人民共和国民法典》和甲方采购项目</w:t>
      </w:r>
      <w:r>
        <w:rPr>
          <w:rFonts w:hint="eastAsia" w:ascii="仿宋" w:hAnsi="仿宋" w:eastAsia="仿宋" w:cs="仿宋"/>
          <w:color w:val="auto"/>
          <w:kern w:val="1"/>
          <w:sz w:val="24"/>
          <w:szCs w:val="24"/>
          <w:highlight w:val="none"/>
          <w:u w:val="single"/>
          <w:lang w:eastAsia="zh-CN"/>
        </w:rPr>
        <w:t>2026年西安市中小学校园足球联赛市级决赛项目</w:t>
      </w:r>
      <w:r>
        <w:rPr>
          <w:rFonts w:hint="eastAsia" w:ascii="仿宋" w:hAnsi="仿宋" w:eastAsia="仿宋" w:cs="仿宋"/>
          <w:color w:val="auto"/>
          <w:kern w:val="1"/>
          <w:sz w:val="24"/>
          <w:szCs w:val="24"/>
          <w:highlight w:val="none"/>
          <w:u w:val="single"/>
        </w:rPr>
        <w:t>（采购项目编号：</w:t>
      </w:r>
      <w:r>
        <w:rPr>
          <w:rFonts w:hint="eastAsia" w:ascii="仿宋" w:hAnsi="仿宋" w:eastAsia="仿宋" w:cs="仿宋"/>
          <w:color w:val="auto"/>
          <w:kern w:val="1"/>
          <w:sz w:val="24"/>
          <w:szCs w:val="24"/>
          <w:highlight w:val="none"/>
          <w:u w:val="single"/>
          <w:lang w:eastAsia="zh-CN"/>
        </w:rPr>
        <w:t>0701-2641SX060015</w:t>
      </w:r>
      <w:r>
        <w:rPr>
          <w:rFonts w:hint="eastAsia" w:ascii="仿宋" w:hAnsi="仿宋" w:eastAsia="仿宋" w:cs="仿宋"/>
          <w:color w:val="auto"/>
          <w:kern w:val="1"/>
          <w:sz w:val="24"/>
          <w:szCs w:val="24"/>
          <w:highlight w:val="none"/>
          <w:u w:val="single"/>
        </w:rPr>
        <w:t>）</w:t>
      </w:r>
      <w:r>
        <w:rPr>
          <w:rFonts w:hint="eastAsia" w:ascii="仿宋" w:hAnsi="仿宋" w:eastAsia="仿宋" w:cs="仿宋"/>
          <w:color w:val="auto"/>
          <w:kern w:val="1"/>
          <w:sz w:val="24"/>
          <w:szCs w:val="24"/>
          <w:highlight w:val="none"/>
        </w:rPr>
        <w:t>的竞争性磋商文件、乙方递交的响应文件等有关规定，为确保甲方采购项目的顺利实施，甲、乙双方在平等自愿原则下签订本合同，并共同遵守如下条款：</w:t>
      </w:r>
    </w:p>
    <w:p w14:paraId="75232BF1">
      <w:pPr>
        <w:keepNext w:val="0"/>
        <w:keepLines w:val="0"/>
        <w:pageBreakBefore w:val="0"/>
        <w:widowControl w:val="0"/>
        <w:numPr>
          <w:ilvl w:val="0"/>
          <w:numId w:val="1"/>
        </w:numPr>
        <w:kinsoku/>
        <w:wordWrap w:val="0"/>
        <w:overflowPunct/>
        <w:topLinePunct/>
        <w:autoSpaceDE/>
        <w:autoSpaceDN/>
        <w:bidi w:val="0"/>
        <w:adjustRightInd/>
        <w:snapToGrid/>
        <w:ind w:firstLine="482" w:firstLineChars="200"/>
        <w:textAlignment w:val="auto"/>
        <w:rPr>
          <w:rFonts w:hint="eastAsia" w:ascii="仿宋" w:hAnsi="仿宋" w:eastAsia="仿宋" w:cs="仿宋"/>
          <w:b/>
          <w:bCs/>
          <w:color w:val="auto"/>
          <w:highlight w:val="none"/>
        </w:rPr>
      </w:pPr>
      <w:bookmarkStart w:id="0" w:name="_Toc5167"/>
      <w:bookmarkStart w:id="1" w:name="_Toc11456"/>
      <w:bookmarkStart w:id="2" w:name="_Toc8233"/>
      <w:r>
        <w:rPr>
          <w:rFonts w:hint="eastAsia" w:ascii="仿宋" w:hAnsi="仿宋" w:eastAsia="仿宋" w:cs="仿宋"/>
          <w:b/>
          <w:bCs/>
          <w:color w:val="auto"/>
          <w:highlight w:val="none"/>
        </w:rPr>
        <w:t>合同采购内容</w:t>
      </w:r>
      <w:bookmarkEnd w:id="0"/>
      <w:bookmarkEnd w:id="1"/>
      <w:bookmarkEnd w:id="2"/>
    </w:p>
    <w:tbl>
      <w:tblPr>
        <w:tblStyle w:val="7"/>
        <w:tblW w:w="9888" w:type="dxa"/>
        <w:tblInd w:w="-154" w:type="dxa"/>
        <w:tblLayout w:type="fixed"/>
        <w:tblCellMar>
          <w:top w:w="0" w:type="dxa"/>
          <w:left w:w="0" w:type="dxa"/>
          <w:bottom w:w="0" w:type="dxa"/>
          <w:right w:w="0" w:type="dxa"/>
        </w:tblCellMar>
      </w:tblPr>
      <w:tblGrid>
        <w:gridCol w:w="887"/>
        <w:gridCol w:w="1320"/>
        <w:gridCol w:w="1920"/>
        <w:gridCol w:w="771"/>
        <w:gridCol w:w="885"/>
        <w:gridCol w:w="1604"/>
        <w:gridCol w:w="1258"/>
        <w:gridCol w:w="1243"/>
      </w:tblGrid>
      <w:tr w14:paraId="41491671">
        <w:tblPrEx>
          <w:tblCellMar>
            <w:top w:w="0" w:type="dxa"/>
            <w:left w:w="0" w:type="dxa"/>
            <w:bottom w:w="0" w:type="dxa"/>
            <w:right w:w="0" w:type="dxa"/>
          </w:tblCellMar>
        </w:tblPrEx>
        <w:trPr>
          <w:trHeight w:val="728" w:hRule="atLeast"/>
          <w:tblHeader/>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52947370">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品目</w:t>
            </w:r>
          </w:p>
          <w:p w14:paraId="3F2D79BA">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编码</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644FD4F">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品目</w:t>
            </w:r>
          </w:p>
          <w:p w14:paraId="1061FCBC">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名称</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FE71707">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采购</w:t>
            </w:r>
          </w:p>
          <w:p w14:paraId="2AB217DD">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标的</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054C0A4">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采购数量</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E5E0E0E">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计量</w:t>
            </w:r>
          </w:p>
          <w:p w14:paraId="58340EEB">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单位</w:t>
            </w:r>
          </w:p>
        </w:tc>
        <w:tc>
          <w:tcPr>
            <w:tcW w:w="1604"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000A4A5">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服务范围</w:t>
            </w:r>
          </w:p>
        </w:tc>
        <w:tc>
          <w:tcPr>
            <w:tcW w:w="125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20F73E8B">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单价</w:t>
            </w:r>
          </w:p>
          <w:p w14:paraId="6ECF5699">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rPr>
            </w:pPr>
            <w:r>
              <w:rPr>
                <w:rFonts w:hint="eastAsia" w:ascii="仿宋" w:hAnsi="仿宋" w:eastAsia="仿宋" w:cs="仿宋"/>
                <w:b/>
                <w:bCs/>
                <w:snapToGrid w:val="0"/>
                <w:color w:val="auto"/>
                <w:kern w:val="0"/>
                <w:sz w:val="24"/>
                <w:szCs w:val="24"/>
                <w:highlight w:val="none"/>
                <w:lang w:bidi="ar"/>
              </w:rPr>
              <w:t>(元)</w:t>
            </w: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03AA8CA8">
            <w:pPr>
              <w:widowControl/>
              <w:shd w:val="clear"/>
              <w:wordWrap w:val="0"/>
              <w:spacing w:line="360" w:lineRule="auto"/>
              <w:jc w:val="center"/>
              <w:textAlignment w:val="center"/>
              <w:rPr>
                <w:rFonts w:hint="eastAsia" w:ascii="仿宋" w:hAnsi="仿宋" w:eastAsia="仿宋" w:cs="仿宋"/>
                <w:b/>
                <w:bCs/>
                <w:snapToGrid w:val="0"/>
                <w:color w:val="auto"/>
                <w:kern w:val="0"/>
                <w:sz w:val="24"/>
                <w:szCs w:val="24"/>
                <w:highlight w:val="none"/>
                <w:lang w:bidi="ar"/>
              </w:rPr>
            </w:pPr>
            <w:r>
              <w:rPr>
                <w:rFonts w:hint="eastAsia" w:ascii="仿宋" w:hAnsi="仿宋" w:eastAsia="仿宋" w:cs="仿宋"/>
                <w:b/>
                <w:bCs/>
                <w:snapToGrid w:val="0"/>
                <w:color w:val="auto"/>
                <w:kern w:val="0"/>
                <w:sz w:val="24"/>
                <w:szCs w:val="24"/>
                <w:highlight w:val="none"/>
                <w:lang w:bidi="ar"/>
              </w:rPr>
              <w:t>总金额（元）</w:t>
            </w:r>
          </w:p>
        </w:tc>
      </w:tr>
      <w:tr w14:paraId="3220A4CA">
        <w:tblPrEx>
          <w:tblCellMar>
            <w:top w:w="0" w:type="dxa"/>
            <w:left w:w="0" w:type="dxa"/>
            <w:bottom w:w="0" w:type="dxa"/>
            <w:right w:w="0" w:type="dxa"/>
          </w:tblCellMar>
        </w:tblPrEx>
        <w:trPr>
          <w:trHeight w:val="847" w:hRule="atLeast"/>
        </w:trPr>
        <w:tc>
          <w:tcPr>
            <w:tcW w:w="887"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7C512FD7">
            <w:pPr>
              <w:widowControl/>
              <w:shd w:val="clear"/>
              <w:wordWrap w:val="0"/>
              <w:spacing w:line="360" w:lineRule="auto"/>
              <w:jc w:val="center"/>
              <w:textAlignment w:val="center"/>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C02100000</w:t>
            </w:r>
          </w:p>
        </w:tc>
        <w:tc>
          <w:tcPr>
            <w:tcW w:w="13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FD0F551">
            <w:pPr>
              <w:widowControl/>
              <w:shd w:val="clear"/>
              <w:wordWrap w:val="0"/>
              <w:jc w:val="center"/>
              <w:textAlignment w:val="center"/>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学生活动组织实施服务</w:t>
            </w:r>
          </w:p>
        </w:tc>
        <w:tc>
          <w:tcPr>
            <w:tcW w:w="1920"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7198A7D">
            <w:pPr>
              <w:widowControl/>
              <w:shd w:val="clear"/>
              <w:wordWrap w:val="0"/>
              <w:jc w:val="center"/>
              <w:textAlignment w:val="center"/>
              <w:rPr>
                <w:rFonts w:hint="eastAsia" w:ascii="仿宋" w:hAnsi="仿宋" w:eastAsia="仿宋" w:cs="仿宋"/>
                <w:snapToGrid w:val="0"/>
                <w:color w:val="auto"/>
                <w:kern w:val="0"/>
                <w:sz w:val="24"/>
                <w:szCs w:val="24"/>
                <w:highlight w:val="none"/>
                <w:lang w:eastAsia="zh-CN"/>
              </w:rPr>
            </w:pPr>
            <w:r>
              <w:rPr>
                <w:rFonts w:hint="eastAsia" w:ascii="仿宋" w:hAnsi="仿宋" w:eastAsia="仿宋" w:cs="仿宋"/>
                <w:snapToGrid w:val="0"/>
                <w:color w:val="auto"/>
                <w:kern w:val="0"/>
                <w:sz w:val="24"/>
                <w:szCs w:val="24"/>
                <w:highlight w:val="none"/>
                <w:lang w:eastAsia="zh-CN"/>
              </w:rPr>
              <w:t>2026年西安市中小学校园足球联赛市级决赛项目</w:t>
            </w:r>
          </w:p>
        </w:tc>
        <w:tc>
          <w:tcPr>
            <w:tcW w:w="771"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4EF2E915">
            <w:pPr>
              <w:widowControl/>
              <w:shd w:val="clear"/>
              <w:wordWrap w:val="0"/>
              <w:spacing w:line="360" w:lineRule="auto"/>
              <w:jc w:val="center"/>
              <w:textAlignment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1</w:t>
            </w:r>
          </w:p>
        </w:tc>
        <w:tc>
          <w:tcPr>
            <w:tcW w:w="885"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344FDEBB">
            <w:pPr>
              <w:widowControl/>
              <w:shd w:val="clear"/>
              <w:wordWrap w:val="0"/>
              <w:spacing w:line="360" w:lineRule="auto"/>
              <w:jc w:val="center"/>
              <w:textAlignment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项</w:t>
            </w:r>
          </w:p>
        </w:tc>
        <w:tc>
          <w:tcPr>
            <w:tcW w:w="1604"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6C46F5C5">
            <w:pPr>
              <w:widowControl/>
              <w:shd w:val="clear"/>
              <w:wordWrap w:val="0"/>
              <w:spacing w:line="360" w:lineRule="auto"/>
              <w:jc w:val="center"/>
              <w:textAlignment w:val="center"/>
              <w:rPr>
                <w:rFonts w:hint="eastAsia" w:ascii="仿宋" w:hAnsi="仿宋" w:eastAsia="仿宋" w:cs="仿宋"/>
                <w:snapToGrid w:val="0"/>
                <w:color w:val="auto"/>
                <w:kern w:val="0"/>
                <w:sz w:val="24"/>
                <w:szCs w:val="24"/>
                <w:highlight w:val="none"/>
                <w:lang w:val="en-US" w:eastAsia="zh-CN"/>
              </w:rPr>
            </w:pPr>
            <w:r>
              <w:rPr>
                <w:rFonts w:hint="eastAsia" w:ascii="仿宋" w:hAnsi="仿宋" w:eastAsia="仿宋" w:cs="仿宋"/>
                <w:snapToGrid w:val="0"/>
                <w:color w:val="auto"/>
                <w:kern w:val="0"/>
                <w:sz w:val="24"/>
                <w:szCs w:val="24"/>
                <w:highlight w:val="none"/>
                <w:lang w:val="en-US" w:eastAsia="zh-CN"/>
              </w:rPr>
              <w:t>详见招标文件</w:t>
            </w:r>
          </w:p>
        </w:tc>
        <w:tc>
          <w:tcPr>
            <w:tcW w:w="1258"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EBE7E0D">
            <w:pPr>
              <w:widowControl/>
              <w:shd w:val="clear"/>
              <w:spacing w:line="360" w:lineRule="auto"/>
              <w:jc w:val="right"/>
              <w:textAlignment w:val="center"/>
              <w:rPr>
                <w:rFonts w:hint="eastAsia" w:ascii="仿宋" w:hAnsi="仿宋" w:eastAsia="仿宋" w:cs="仿宋"/>
                <w:snapToGrid w:val="0"/>
                <w:color w:val="auto"/>
                <w:kern w:val="0"/>
                <w:sz w:val="24"/>
                <w:szCs w:val="24"/>
                <w:highlight w:val="none"/>
              </w:rPr>
            </w:pPr>
          </w:p>
        </w:tc>
        <w:tc>
          <w:tcPr>
            <w:tcW w:w="1243" w:type="dxa"/>
            <w:tcBorders>
              <w:top w:val="single" w:color="333333" w:sz="4" w:space="0"/>
              <w:left w:val="single" w:color="333333" w:sz="4" w:space="0"/>
              <w:bottom w:val="single" w:color="333333" w:sz="4" w:space="0"/>
              <w:right w:val="single" w:color="333333" w:sz="4" w:space="0"/>
            </w:tcBorders>
            <w:shd w:val="clear" w:color="auto" w:fill="auto"/>
            <w:tcMar>
              <w:top w:w="50" w:type="dxa"/>
              <w:left w:w="80" w:type="dxa"/>
              <w:bottom w:w="50" w:type="dxa"/>
              <w:right w:w="80" w:type="dxa"/>
            </w:tcMar>
            <w:vAlign w:val="center"/>
          </w:tcPr>
          <w:p w14:paraId="1DEE9305">
            <w:pPr>
              <w:widowControl/>
              <w:shd w:val="clear"/>
              <w:spacing w:line="360" w:lineRule="auto"/>
              <w:jc w:val="right"/>
              <w:textAlignment w:val="center"/>
              <w:rPr>
                <w:rFonts w:hint="eastAsia" w:ascii="仿宋" w:hAnsi="仿宋" w:eastAsia="仿宋" w:cs="仿宋"/>
                <w:snapToGrid w:val="0"/>
                <w:color w:val="auto"/>
                <w:kern w:val="0"/>
                <w:sz w:val="24"/>
                <w:szCs w:val="24"/>
                <w:highlight w:val="none"/>
                <w:shd w:val="clear" w:color="auto" w:fill="FFFFFF"/>
              </w:rPr>
            </w:pPr>
          </w:p>
        </w:tc>
      </w:tr>
    </w:tbl>
    <w:p w14:paraId="0BF34920">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lang w:bidi="zh-CN"/>
        </w:rPr>
      </w:pPr>
      <w:r>
        <w:rPr>
          <w:rFonts w:hint="eastAsia" w:ascii="仿宋" w:hAnsi="仿宋" w:eastAsia="仿宋" w:cs="仿宋"/>
          <w:snapToGrid w:val="0"/>
          <w:color w:val="auto"/>
          <w:kern w:val="0"/>
          <w:sz w:val="24"/>
          <w:szCs w:val="24"/>
          <w:highlight w:val="none"/>
          <w:lang w:bidi="zh-CN"/>
        </w:rPr>
        <w:t>合计金额人民币（大写）：</w:t>
      </w:r>
      <w:r>
        <w:rPr>
          <w:rFonts w:hint="eastAsia" w:ascii="仿宋" w:hAnsi="仿宋" w:eastAsia="仿宋" w:cs="仿宋"/>
          <w:snapToGrid w:val="0"/>
          <w:color w:val="auto"/>
          <w:kern w:val="0"/>
          <w:sz w:val="24"/>
          <w:szCs w:val="24"/>
          <w:highlight w:val="none"/>
          <w:u w:val="single"/>
          <w:lang w:bidi="zh-CN"/>
        </w:rPr>
        <w:t xml:space="preserve">               </w:t>
      </w:r>
      <w:r>
        <w:rPr>
          <w:rFonts w:hint="eastAsia" w:ascii="仿宋" w:hAnsi="仿宋" w:eastAsia="仿宋" w:cs="仿宋"/>
          <w:snapToGrid w:val="0"/>
          <w:color w:val="auto"/>
          <w:kern w:val="0"/>
          <w:sz w:val="24"/>
          <w:szCs w:val="24"/>
          <w:highlight w:val="none"/>
          <w:lang w:bidi="zh-CN"/>
        </w:rPr>
        <w:t xml:space="preserve"> </w:t>
      </w:r>
    </w:p>
    <w:p w14:paraId="00D318B6">
      <w:pPr>
        <w:keepNext w:val="0"/>
        <w:keepLines w:val="0"/>
        <w:pageBreakBefore w:val="0"/>
        <w:widowControl w:val="0"/>
        <w:numPr>
          <w:ilvl w:val="0"/>
          <w:numId w:val="1"/>
        </w:numPr>
        <w:kinsoku/>
        <w:wordWrap w:val="0"/>
        <w:overflowPunct/>
        <w:topLinePunct/>
        <w:autoSpaceDE/>
        <w:autoSpaceDN/>
        <w:bidi w:val="0"/>
        <w:adjustRightInd/>
        <w:snapToGrid/>
        <w:ind w:firstLine="482" w:firstLineChars="200"/>
        <w:textAlignment w:val="auto"/>
        <w:rPr>
          <w:rFonts w:hint="eastAsia" w:ascii="仿宋" w:hAnsi="仿宋" w:eastAsia="仿宋" w:cs="仿宋"/>
          <w:b/>
          <w:bCs/>
          <w:color w:val="auto"/>
          <w:highlight w:val="none"/>
        </w:rPr>
      </w:pPr>
      <w:bookmarkStart w:id="3" w:name="_Toc30510"/>
      <w:bookmarkStart w:id="4" w:name="_Toc22213"/>
      <w:bookmarkStart w:id="5" w:name="_Toc1852"/>
      <w:r>
        <w:rPr>
          <w:rFonts w:hint="eastAsia" w:ascii="仿宋" w:hAnsi="仿宋" w:eastAsia="仿宋" w:cs="仿宋"/>
          <w:b/>
          <w:bCs/>
          <w:color w:val="auto"/>
          <w:highlight w:val="none"/>
        </w:rPr>
        <w:t>合同价款</w:t>
      </w:r>
      <w:bookmarkEnd w:id="3"/>
      <w:bookmarkEnd w:id="4"/>
      <w:bookmarkEnd w:id="5"/>
    </w:p>
    <w:p w14:paraId="22F827BB">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1.合同总价款为人民币</w:t>
      </w:r>
      <w:r>
        <w:rPr>
          <w:rFonts w:hint="eastAsia" w:ascii="仿宋" w:hAnsi="仿宋" w:eastAsia="仿宋" w:cs="仿宋"/>
          <w:color w:val="auto"/>
          <w:kern w:val="1"/>
          <w:sz w:val="24"/>
          <w:szCs w:val="24"/>
          <w:highlight w:val="none"/>
          <w:u w:val="single"/>
        </w:rPr>
        <w:t>（大写）：               ，</w:t>
      </w:r>
      <w:r>
        <w:rPr>
          <w:rFonts w:hint="eastAsia" w:ascii="仿宋" w:hAnsi="仿宋" w:eastAsia="仿宋" w:cs="仿宋"/>
          <w:color w:val="auto"/>
          <w:kern w:val="1"/>
          <w:sz w:val="24"/>
          <w:szCs w:val="24"/>
          <w:highlight w:val="none"/>
          <w:u w:val="single"/>
          <w:lang w:val="en-US" w:eastAsia="zh-CN"/>
        </w:rPr>
        <w:t>¥</w:t>
      </w:r>
      <w:r>
        <w:rPr>
          <w:rFonts w:hint="eastAsia" w:ascii="仿宋" w:hAnsi="仿宋" w:eastAsia="仿宋" w:cs="仿宋"/>
          <w:color w:val="auto"/>
          <w:kern w:val="1"/>
          <w:sz w:val="24"/>
          <w:szCs w:val="24"/>
          <w:highlight w:val="none"/>
          <w:u w:val="single"/>
        </w:rPr>
        <w:t xml:space="preserve">              </w:t>
      </w:r>
    </w:p>
    <w:p w14:paraId="4787EE36">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u w:val="single"/>
        </w:rPr>
      </w:pPr>
      <w:r>
        <w:rPr>
          <w:rFonts w:hint="eastAsia" w:ascii="仿宋" w:hAnsi="仿宋" w:eastAsia="仿宋" w:cs="仿宋"/>
          <w:color w:val="auto"/>
          <w:kern w:val="1"/>
          <w:sz w:val="24"/>
          <w:szCs w:val="24"/>
          <w:highlight w:val="none"/>
        </w:rPr>
        <w:t>2.本项目合同总价款由以下组成：</w:t>
      </w:r>
      <w:r>
        <w:rPr>
          <w:rFonts w:hint="eastAsia" w:ascii="仿宋" w:hAnsi="仿宋" w:eastAsia="仿宋" w:cs="仿宋"/>
          <w:color w:val="auto"/>
          <w:kern w:val="1"/>
          <w:sz w:val="24"/>
          <w:szCs w:val="24"/>
          <w:highlight w:val="none"/>
          <w:u w:val="single"/>
        </w:rPr>
        <w:t xml:space="preserve">                    </w:t>
      </w:r>
    </w:p>
    <w:p w14:paraId="1C527184">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3.甲方无须另向乙方支付本合同规定之外的其他任何费用</w:t>
      </w:r>
    </w:p>
    <w:p w14:paraId="20AD034B">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4.履约保证金：不涉及</w:t>
      </w:r>
    </w:p>
    <w:p w14:paraId="76ADC696">
      <w:pPr>
        <w:keepNext w:val="0"/>
        <w:keepLines w:val="0"/>
        <w:pageBreakBefore w:val="0"/>
        <w:widowControl w:val="0"/>
        <w:numPr>
          <w:ilvl w:val="0"/>
          <w:numId w:val="1"/>
        </w:numPr>
        <w:kinsoku/>
        <w:wordWrap w:val="0"/>
        <w:overflowPunct/>
        <w:topLinePunct/>
        <w:autoSpaceDE/>
        <w:autoSpaceDN/>
        <w:bidi w:val="0"/>
        <w:adjustRightInd/>
        <w:snapToGrid/>
        <w:ind w:firstLine="482" w:firstLineChars="200"/>
        <w:textAlignment w:val="auto"/>
        <w:rPr>
          <w:rFonts w:hint="eastAsia" w:ascii="仿宋" w:hAnsi="仿宋" w:eastAsia="仿宋" w:cs="仿宋"/>
          <w:b/>
          <w:snapToGrid w:val="0"/>
          <w:color w:val="auto"/>
          <w:kern w:val="0"/>
          <w:sz w:val="24"/>
          <w:szCs w:val="24"/>
          <w:highlight w:val="none"/>
        </w:rPr>
      </w:pPr>
      <w:bookmarkStart w:id="6" w:name="_Toc24914"/>
      <w:bookmarkStart w:id="7" w:name="_Toc4425"/>
      <w:bookmarkStart w:id="8" w:name="_Toc7270"/>
      <w:r>
        <w:rPr>
          <w:rFonts w:hint="eastAsia" w:ascii="仿宋" w:hAnsi="仿宋" w:eastAsia="仿宋" w:cs="仿宋"/>
          <w:b/>
          <w:snapToGrid w:val="0"/>
          <w:color w:val="auto"/>
          <w:kern w:val="0"/>
          <w:sz w:val="24"/>
          <w:szCs w:val="24"/>
          <w:highlight w:val="none"/>
        </w:rPr>
        <w:t>付款方式、时间及条件</w:t>
      </w:r>
      <w:bookmarkEnd w:id="6"/>
      <w:bookmarkEnd w:id="7"/>
      <w:bookmarkEnd w:id="8"/>
    </w:p>
    <w:p w14:paraId="2A7278A4">
      <w:pPr>
        <w:shd w:val="clear"/>
        <w:bidi w:val="0"/>
        <w:rPr>
          <w:rFonts w:hint="eastAsia" w:ascii="仿宋" w:hAnsi="仿宋" w:eastAsia="仿宋" w:cs="仿宋"/>
          <w:color w:val="auto"/>
          <w:highlight w:val="none"/>
        </w:rPr>
      </w:pPr>
      <w:bookmarkStart w:id="9" w:name="_Toc20131"/>
      <w:bookmarkStart w:id="10" w:name="_Toc32672"/>
      <w:r>
        <w:rPr>
          <w:rFonts w:hint="eastAsia" w:ascii="仿宋" w:hAnsi="仿宋" w:eastAsia="仿宋" w:cs="仿宋"/>
          <w:color w:val="auto"/>
          <w:highlight w:val="none"/>
        </w:rPr>
        <w:t xml:space="preserve">    </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u w:val="single"/>
          <w:lang w:val="en-US" w:eastAsia="zh-CN"/>
        </w:rPr>
        <w:t xml:space="preserve">                                          </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highlight w:val="none"/>
        </w:rPr>
        <w:t xml:space="preserve">       </w:t>
      </w:r>
      <w:bookmarkEnd w:id="9"/>
    </w:p>
    <w:p w14:paraId="090ED068">
      <w:pPr>
        <w:keepNext w:val="0"/>
        <w:keepLines w:val="0"/>
        <w:pageBreakBefore w:val="0"/>
        <w:widowControl w:val="0"/>
        <w:numPr>
          <w:ilvl w:val="0"/>
          <w:numId w:val="1"/>
        </w:numPr>
        <w:kinsoku/>
        <w:wordWrap w:val="0"/>
        <w:overflowPunct/>
        <w:topLinePunct/>
        <w:autoSpaceDE/>
        <w:autoSpaceDN/>
        <w:bidi w:val="0"/>
        <w:adjustRightInd/>
        <w:snapToGrid/>
        <w:ind w:firstLine="482" w:firstLineChars="200"/>
        <w:textAlignment w:val="auto"/>
        <w:rPr>
          <w:rFonts w:hint="eastAsia" w:ascii="仿宋" w:hAnsi="仿宋" w:eastAsia="仿宋" w:cs="仿宋"/>
          <w:b/>
          <w:snapToGrid w:val="0"/>
          <w:color w:val="auto"/>
          <w:kern w:val="0"/>
          <w:sz w:val="24"/>
          <w:szCs w:val="24"/>
          <w:highlight w:val="none"/>
        </w:rPr>
      </w:pPr>
      <w:bookmarkStart w:id="11" w:name="_Toc25381"/>
      <w:bookmarkStart w:id="12" w:name="_Toc12363"/>
      <w:r>
        <w:rPr>
          <w:rFonts w:hint="eastAsia" w:ascii="仿宋" w:hAnsi="仿宋" w:eastAsia="仿宋" w:cs="仿宋"/>
          <w:b/>
          <w:snapToGrid w:val="0"/>
          <w:color w:val="auto"/>
          <w:kern w:val="0"/>
          <w:sz w:val="24"/>
          <w:szCs w:val="24"/>
          <w:highlight w:val="none"/>
        </w:rPr>
        <w:t>交付时间、地点、方式</w:t>
      </w:r>
      <w:bookmarkEnd w:id="10"/>
      <w:bookmarkEnd w:id="11"/>
      <w:bookmarkEnd w:id="12"/>
    </w:p>
    <w:p w14:paraId="3F51B7DF">
      <w:pPr>
        <w:shd w:val="clear"/>
        <w:tabs>
          <w:tab w:val="left" w:pos="1379"/>
        </w:tabs>
        <w:autoSpaceDE w:val="0"/>
        <w:autoSpaceDN w:val="0"/>
        <w:spacing w:line="360" w:lineRule="auto"/>
        <w:ind w:firstLine="480" w:firstLineChars="200"/>
        <w:jc w:val="left"/>
        <w:rPr>
          <w:rFonts w:hint="eastAsia" w:ascii="仿宋" w:hAnsi="仿宋" w:eastAsia="仿宋" w:cs="仿宋"/>
          <w:snapToGrid w:val="0"/>
          <w:color w:val="auto"/>
          <w:kern w:val="0"/>
          <w:sz w:val="24"/>
          <w:szCs w:val="24"/>
          <w:highlight w:val="none"/>
          <w:u w:val="single"/>
        </w:rPr>
      </w:pPr>
      <w:bookmarkStart w:id="13" w:name="_Toc225670751"/>
      <w:bookmarkStart w:id="14" w:name="_Toc239568418"/>
      <w:bookmarkStart w:id="15" w:name="_Toc225244852"/>
      <w:bookmarkStart w:id="16" w:name="_Toc286993786"/>
      <w:bookmarkStart w:id="17" w:name="_Toc239233914"/>
      <w:bookmarkStart w:id="18" w:name="_Toc237145406"/>
      <w:bookmarkStart w:id="19" w:name="_Toc212019594"/>
      <w:bookmarkStart w:id="20" w:name="_Toc211854449"/>
      <w:bookmarkStart w:id="21" w:name="_Toc232492928"/>
      <w:bookmarkStart w:id="22" w:name="_Toc211911348"/>
      <w:bookmarkStart w:id="23" w:name="_Toc282696226"/>
      <w:bookmarkStart w:id="24" w:name="_Toc247334841"/>
      <w:bookmarkStart w:id="25" w:name="_Toc251768862"/>
      <w:bookmarkStart w:id="26" w:name="_Toc225654644"/>
      <w:bookmarkStart w:id="27" w:name="_Toc238984975"/>
      <w:bookmarkStart w:id="28" w:name="_Toc283019214"/>
      <w:bookmarkStart w:id="29" w:name="_Toc241833903"/>
      <w:bookmarkStart w:id="30" w:name="_Toc185395249"/>
      <w:r>
        <w:rPr>
          <w:rFonts w:hint="eastAsia" w:ascii="仿宋" w:hAnsi="仿宋" w:eastAsia="仿宋" w:cs="仿宋"/>
          <w:snapToGrid w:val="0"/>
          <w:color w:val="auto"/>
          <w:kern w:val="0"/>
          <w:sz w:val="24"/>
          <w:szCs w:val="24"/>
          <w:highlight w:val="none"/>
        </w:rPr>
        <w:t>1.交付时间：</w:t>
      </w:r>
      <w:r>
        <w:rPr>
          <w:rFonts w:hint="eastAsia" w:ascii="仿宋" w:hAnsi="仿宋" w:eastAsia="仿宋" w:cs="仿宋"/>
          <w:snapToGrid w:val="0"/>
          <w:color w:val="auto"/>
          <w:kern w:val="0"/>
          <w:sz w:val="24"/>
          <w:szCs w:val="24"/>
          <w:highlight w:val="none"/>
          <w:u w:val="single"/>
        </w:rPr>
        <w:t xml:space="preserve">                                       </w:t>
      </w:r>
    </w:p>
    <w:p w14:paraId="5E5F52B2">
      <w:pPr>
        <w:shd w:val="clear"/>
        <w:tabs>
          <w:tab w:val="left" w:pos="1379"/>
        </w:tabs>
        <w:autoSpaceDE w:val="0"/>
        <w:autoSpaceDN w:val="0"/>
        <w:spacing w:line="360" w:lineRule="auto"/>
        <w:ind w:firstLine="480" w:firstLineChars="200"/>
        <w:jc w:val="left"/>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2.交付地点：</w:t>
      </w:r>
      <w:r>
        <w:rPr>
          <w:rFonts w:hint="eastAsia" w:ascii="仿宋" w:hAnsi="仿宋" w:eastAsia="仿宋" w:cs="仿宋"/>
          <w:snapToGrid w:val="0"/>
          <w:color w:val="auto"/>
          <w:kern w:val="0"/>
          <w:sz w:val="24"/>
          <w:szCs w:val="24"/>
          <w:highlight w:val="none"/>
          <w:u w:val="single"/>
        </w:rPr>
        <w:t xml:space="preserve">                                       </w:t>
      </w:r>
    </w:p>
    <w:p w14:paraId="0C7974A6">
      <w:pPr>
        <w:shd w:val="clear"/>
        <w:autoSpaceDE w:val="0"/>
        <w:autoSpaceDN w:val="0"/>
        <w:spacing w:line="360" w:lineRule="auto"/>
        <w:ind w:firstLine="480" w:firstLineChars="200"/>
        <w:jc w:val="left"/>
        <w:rPr>
          <w:rFonts w:hint="eastAsia" w:ascii="仿宋" w:hAnsi="仿宋" w:eastAsia="仿宋" w:cs="仿宋"/>
          <w:snapToGrid w:val="0"/>
          <w:color w:val="auto"/>
          <w:kern w:val="0"/>
          <w:sz w:val="24"/>
          <w:szCs w:val="24"/>
          <w:highlight w:val="none"/>
          <w:u w:val="single"/>
          <w:lang w:bidi="zh-CN"/>
        </w:rPr>
      </w:pPr>
      <w:r>
        <w:rPr>
          <w:rFonts w:hint="eastAsia" w:ascii="仿宋" w:hAnsi="仿宋" w:eastAsia="仿宋" w:cs="仿宋"/>
          <w:snapToGrid w:val="0"/>
          <w:color w:val="auto"/>
          <w:kern w:val="0"/>
          <w:sz w:val="24"/>
          <w:szCs w:val="24"/>
          <w:highlight w:val="none"/>
          <w:lang w:bidi="zh-CN"/>
        </w:rPr>
        <w:t>3.交付条件：</w:t>
      </w:r>
      <w:r>
        <w:rPr>
          <w:rFonts w:hint="eastAsia" w:ascii="仿宋" w:hAnsi="仿宋" w:eastAsia="仿宋" w:cs="仿宋"/>
          <w:snapToGrid w:val="0"/>
          <w:color w:val="auto"/>
          <w:kern w:val="0"/>
          <w:sz w:val="24"/>
          <w:szCs w:val="24"/>
          <w:highlight w:val="none"/>
          <w:u w:val="single"/>
          <w:lang w:val="zh-CN" w:bidi="zh-CN"/>
        </w:rPr>
        <w:t xml:space="preserve">                    </w:t>
      </w:r>
      <w:r>
        <w:rPr>
          <w:rFonts w:hint="eastAsia" w:ascii="仿宋" w:hAnsi="仿宋" w:eastAsia="仿宋" w:cs="仿宋"/>
          <w:snapToGrid w:val="0"/>
          <w:color w:val="auto"/>
          <w:kern w:val="0"/>
          <w:sz w:val="24"/>
          <w:szCs w:val="24"/>
          <w:highlight w:val="none"/>
          <w:u w:val="single"/>
          <w:lang w:bidi="zh-CN"/>
        </w:rPr>
        <w:t xml:space="preserve">                   </w:t>
      </w:r>
    </w:p>
    <w:p w14:paraId="1EF57BC2">
      <w:pPr>
        <w:shd w:val="clear"/>
        <w:autoSpaceDE w:val="0"/>
        <w:autoSpaceDN w:val="0"/>
        <w:spacing w:line="360" w:lineRule="auto"/>
        <w:ind w:firstLine="480" w:firstLineChars="200"/>
        <w:jc w:val="left"/>
        <w:rPr>
          <w:rFonts w:hint="eastAsia" w:ascii="仿宋" w:hAnsi="仿宋" w:eastAsia="仿宋" w:cs="仿宋"/>
          <w:snapToGrid w:val="0"/>
          <w:color w:val="auto"/>
          <w:kern w:val="0"/>
          <w:sz w:val="24"/>
          <w:szCs w:val="24"/>
          <w:highlight w:val="none"/>
          <w:u w:val="single"/>
          <w:lang w:bidi="zh-CN"/>
        </w:rPr>
      </w:pPr>
      <w:r>
        <w:rPr>
          <w:rFonts w:hint="eastAsia" w:ascii="仿宋" w:hAnsi="仿宋" w:eastAsia="仿宋" w:cs="仿宋"/>
          <w:snapToGrid w:val="0"/>
          <w:color w:val="auto"/>
          <w:kern w:val="0"/>
          <w:sz w:val="24"/>
          <w:szCs w:val="24"/>
          <w:highlight w:val="none"/>
          <w:lang w:bidi="zh-CN"/>
        </w:rPr>
        <w:t>甲方联系人：</w:t>
      </w:r>
      <w:r>
        <w:rPr>
          <w:rFonts w:hint="eastAsia" w:ascii="仿宋" w:hAnsi="仿宋" w:eastAsia="仿宋" w:cs="仿宋"/>
          <w:snapToGrid w:val="0"/>
          <w:color w:val="auto"/>
          <w:kern w:val="0"/>
          <w:sz w:val="24"/>
          <w:szCs w:val="24"/>
          <w:highlight w:val="none"/>
          <w:u w:val="single"/>
          <w:lang w:bidi="zh-CN"/>
        </w:rPr>
        <w:t xml:space="preserve">      （姓名，联系方式）               </w:t>
      </w:r>
      <w:r>
        <w:rPr>
          <w:rFonts w:hint="eastAsia" w:ascii="仿宋" w:hAnsi="仿宋" w:eastAsia="仿宋" w:cs="仿宋"/>
          <w:snapToGrid w:val="0"/>
          <w:color w:val="auto"/>
          <w:kern w:val="0"/>
          <w:sz w:val="24"/>
          <w:szCs w:val="24"/>
          <w:highlight w:val="none"/>
          <w:lang w:bidi="zh-CN"/>
        </w:rPr>
        <w:t xml:space="preserve"> </w:t>
      </w:r>
    </w:p>
    <w:p w14:paraId="58DC8B11">
      <w:pPr>
        <w:shd w:val="clear"/>
        <w:autoSpaceDE w:val="0"/>
        <w:autoSpaceDN w:val="0"/>
        <w:spacing w:line="360" w:lineRule="auto"/>
        <w:ind w:firstLine="480" w:firstLineChars="200"/>
        <w:jc w:val="left"/>
        <w:rPr>
          <w:rFonts w:hint="eastAsia" w:ascii="仿宋" w:hAnsi="仿宋" w:eastAsia="仿宋" w:cs="仿宋"/>
          <w:b/>
          <w:snapToGrid w:val="0"/>
          <w:color w:val="auto"/>
          <w:kern w:val="0"/>
          <w:sz w:val="24"/>
          <w:szCs w:val="24"/>
          <w:highlight w:val="none"/>
          <w:lang w:val="zh-CN" w:bidi="zh-CN"/>
        </w:rPr>
      </w:pPr>
      <w:r>
        <w:rPr>
          <w:rFonts w:hint="eastAsia" w:ascii="仿宋" w:hAnsi="仿宋" w:eastAsia="仿宋" w:cs="仿宋"/>
          <w:snapToGrid w:val="0"/>
          <w:color w:val="auto"/>
          <w:kern w:val="0"/>
          <w:sz w:val="24"/>
          <w:szCs w:val="24"/>
          <w:highlight w:val="none"/>
          <w:lang w:bidi="zh-CN"/>
        </w:rPr>
        <w:t>乙方联系人：</w:t>
      </w:r>
      <w:r>
        <w:rPr>
          <w:rFonts w:hint="eastAsia" w:ascii="仿宋" w:hAnsi="仿宋" w:eastAsia="仿宋" w:cs="仿宋"/>
          <w:snapToGrid w:val="0"/>
          <w:color w:val="auto"/>
          <w:kern w:val="0"/>
          <w:sz w:val="24"/>
          <w:szCs w:val="24"/>
          <w:highlight w:val="none"/>
          <w:u w:val="single"/>
          <w:lang w:bidi="zh-CN"/>
        </w:rPr>
        <w:t xml:space="preserve">      （姓名，联系方式）               </w:t>
      </w:r>
      <w:r>
        <w:rPr>
          <w:rFonts w:hint="eastAsia" w:ascii="仿宋" w:hAnsi="仿宋" w:eastAsia="仿宋" w:cs="仿宋"/>
          <w:snapToGrid w:val="0"/>
          <w:color w:val="auto"/>
          <w:kern w:val="0"/>
          <w:sz w:val="24"/>
          <w:szCs w:val="24"/>
          <w:highlight w:val="none"/>
          <w:lang w:bidi="zh-CN"/>
        </w:rPr>
        <w:t xml:space="preserve"> </w:t>
      </w:r>
    </w:p>
    <w:p w14:paraId="72949D08">
      <w:pPr>
        <w:keepNext w:val="0"/>
        <w:keepLines w:val="0"/>
        <w:pageBreakBefore w:val="0"/>
        <w:widowControl w:val="0"/>
        <w:numPr>
          <w:ilvl w:val="0"/>
          <w:numId w:val="1"/>
        </w:numPr>
        <w:kinsoku/>
        <w:wordWrap w:val="0"/>
        <w:overflowPunct/>
        <w:topLinePunct/>
        <w:autoSpaceDE/>
        <w:autoSpaceDN/>
        <w:bidi w:val="0"/>
        <w:adjustRightInd/>
        <w:snapToGrid/>
        <w:ind w:firstLine="482" w:firstLineChars="200"/>
        <w:textAlignment w:val="auto"/>
        <w:rPr>
          <w:rFonts w:hint="eastAsia" w:ascii="仿宋" w:hAnsi="仿宋" w:eastAsia="仿宋" w:cs="仿宋"/>
          <w:b/>
          <w:snapToGrid w:val="0"/>
          <w:color w:val="auto"/>
          <w:kern w:val="0"/>
          <w:sz w:val="24"/>
          <w:szCs w:val="24"/>
          <w:highlight w:val="none"/>
        </w:rPr>
      </w:pPr>
      <w:bookmarkStart w:id="31" w:name="_Toc7708"/>
      <w:bookmarkStart w:id="32" w:name="_Toc7716"/>
      <w:bookmarkStart w:id="33" w:name="_Toc28705"/>
      <w:r>
        <w:rPr>
          <w:rFonts w:hint="eastAsia" w:ascii="仿宋" w:hAnsi="仿宋" w:eastAsia="仿宋" w:cs="仿宋"/>
          <w:b/>
          <w:snapToGrid w:val="0"/>
          <w:color w:val="auto"/>
          <w:kern w:val="0"/>
          <w:sz w:val="24"/>
          <w:szCs w:val="24"/>
          <w:highlight w:val="none"/>
        </w:rPr>
        <w:t>质量保证及售后服务</w:t>
      </w:r>
      <w:bookmarkEnd w:id="31"/>
      <w:bookmarkEnd w:id="32"/>
      <w:bookmarkEnd w:id="33"/>
    </w:p>
    <w:p w14:paraId="733CF728">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firstLineChars="20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质量保证：乙方应保证所提供的服务，符合甲方的要求。如不符时，乙方应负全责并尽快处理解决，由此造成的损失和相关费用由乙方负责，甲方保留终止合同及索赔的权利。</w:t>
      </w:r>
    </w:p>
    <w:p w14:paraId="1F2E22AA">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firstLineChars="20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售后服务：</w:t>
      </w:r>
      <w:r>
        <w:rPr>
          <w:rFonts w:hint="eastAsia" w:ascii="仿宋" w:hAnsi="仿宋" w:eastAsia="仿宋" w:cs="仿宋"/>
          <w:color w:val="auto"/>
          <w:kern w:val="1"/>
          <w:sz w:val="24"/>
          <w:szCs w:val="24"/>
          <w:highlight w:val="none"/>
          <w:u w:val="single"/>
        </w:rPr>
        <w:t xml:space="preserve">                                </w:t>
      </w:r>
      <w:r>
        <w:rPr>
          <w:rFonts w:hint="eastAsia" w:ascii="仿宋" w:hAnsi="仿宋" w:eastAsia="仿宋" w:cs="仿宋"/>
          <w:color w:val="auto"/>
          <w:kern w:val="1"/>
          <w:sz w:val="24"/>
          <w:szCs w:val="24"/>
          <w:highlight w:val="none"/>
        </w:rPr>
        <w:t>。</w:t>
      </w:r>
    </w:p>
    <w:p w14:paraId="0D746F12">
      <w:pPr>
        <w:keepNext w:val="0"/>
        <w:keepLines w:val="0"/>
        <w:pageBreakBefore w:val="0"/>
        <w:widowControl w:val="0"/>
        <w:numPr>
          <w:ilvl w:val="0"/>
          <w:numId w:val="1"/>
        </w:numPr>
        <w:kinsoku/>
        <w:wordWrap w:val="0"/>
        <w:overflowPunct/>
        <w:topLinePunct/>
        <w:autoSpaceDE/>
        <w:autoSpaceDN/>
        <w:bidi w:val="0"/>
        <w:adjustRightInd/>
        <w:snapToGrid/>
        <w:ind w:firstLine="482" w:firstLineChars="200"/>
        <w:textAlignment w:val="auto"/>
        <w:rPr>
          <w:rFonts w:hint="eastAsia" w:ascii="仿宋" w:hAnsi="仿宋" w:eastAsia="仿宋" w:cs="仿宋"/>
          <w:b/>
          <w:snapToGrid w:val="0"/>
          <w:color w:val="auto"/>
          <w:kern w:val="0"/>
          <w:sz w:val="24"/>
          <w:szCs w:val="24"/>
          <w:highlight w:val="none"/>
        </w:rPr>
      </w:pPr>
      <w:bookmarkStart w:id="34" w:name="_Toc27776"/>
      <w:bookmarkStart w:id="35" w:name="_Toc31612"/>
      <w:bookmarkStart w:id="36" w:name="_Toc22318"/>
      <w:r>
        <w:rPr>
          <w:rFonts w:hint="eastAsia" w:ascii="仿宋" w:hAnsi="仿宋" w:eastAsia="仿宋" w:cs="仿宋"/>
          <w:b/>
          <w:snapToGrid w:val="0"/>
          <w:color w:val="auto"/>
          <w:kern w:val="0"/>
          <w:sz w:val="24"/>
          <w:szCs w:val="24"/>
          <w:highlight w:val="none"/>
        </w:rPr>
        <w:t>验收</w:t>
      </w:r>
      <w:bookmarkEnd w:id="34"/>
      <w:bookmarkEnd w:id="35"/>
      <w:bookmarkEnd w:id="36"/>
    </w:p>
    <w:p w14:paraId="06EB6009">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firstLineChars="200"/>
        <w:rPr>
          <w:rFonts w:hint="eastAsia" w:ascii="仿宋" w:hAnsi="仿宋" w:eastAsia="仿宋" w:cs="仿宋"/>
          <w:bCs/>
          <w:color w:val="auto"/>
          <w:kern w:val="1"/>
          <w:sz w:val="24"/>
          <w:szCs w:val="24"/>
          <w:highlight w:val="none"/>
          <w:u w:val="single"/>
        </w:rPr>
      </w:pPr>
      <w:r>
        <w:rPr>
          <w:rFonts w:hint="eastAsia" w:ascii="仿宋" w:hAnsi="仿宋" w:eastAsia="仿宋" w:cs="仿宋"/>
          <w:bCs/>
          <w:color w:val="auto"/>
          <w:kern w:val="1"/>
          <w:sz w:val="24"/>
          <w:szCs w:val="24"/>
          <w:highlight w:val="none"/>
          <w:u w:val="single"/>
        </w:rPr>
        <w:t>乙方完成服务后应及时通知甲方进行验收。验收合格的，甲方在验收合格单上签字；验收不合格的，乙方应当在7日内进行返工或调整，并重新提交甲方验收。同一交付成果连续【两次】验收仍不合格，甲方有权单方解除合同，并要求乙方承担本合同第十条约定的违约责任。</w:t>
      </w:r>
    </w:p>
    <w:p w14:paraId="04FA0373">
      <w:pPr>
        <w:keepNext w:val="0"/>
        <w:keepLines w:val="0"/>
        <w:pageBreakBefore w:val="0"/>
        <w:widowControl w:val="0"/>
        <w:numPr>
          <w:ilvl w:val="0"/>
          <w:numId w:val="1"/>
        </w:numPr>
        <w:kinsoku/>
        <w:wordWrap w:val="0"/>
        <w:overflowPunct/>
        <w:topLinePunct/>
        <w:autoSpaceDE/>
        <w:autoSpaceDN/>
        <w:bidi w:val="0"/>
        <w:adjustRightInd/>
        <w:snapToGrid/>
        <w:ind w:firstLine="482" w:firstLineChars="200"/>
        <w:textAlignment w:val="auto"/>
        <w:rPr>
          <w:rFonts w:hint="eastAsia" w:ascii="仿宋" w:hAnsi="仿宋" w:eastAsia="仿宋" w:cs="仿宋"/>
          <w:b/>
          <w:snapToGrid w:val="0"/>
          <w:color w:val="auto"/>
          <w:kern w:val="0"/>
          <w:sz w:val="24"/>
          <w:szCs w:val="24"/>
          <w:highlight w:val="none"/>
        </w:rPr>
      </w:pPr>
      <w:bookmarkStart w:id="37" w:name="_Toc19571"/>
      <w:bookmarkStart w:id="38" w:name="_Toc13257"/>
      <w:bookmarkStart w:id="39" w:name="_Toc2361"/>
      <w:r>
        <w:rPr>
          <w:rFonts w:hint="eastAsia" w:ascii="仿宋" w:hAnsi="仿宋" w:eastAsia="仿宋" w:cs="仿宋"/>
          <w:b/>
          <w:snapToGrid w:val="0"/>
          <w:color w:val="auto"/>
          <w:kern w:val="0"/>
          <w:sz w:val="24"/>
          <w:szCs w:val="24"/>
          <w:highlight w:val="none"/>
        </w:rPr>
        <w:t>无产权瑕疵条款</w:t>
      </w:r>
      <w:bookmarkEnd w:id="37"/>
      <w:bookmarkEnd w:id="38"/>
      <w:bookmarkEnd w:id="39"/>
    </w:p>
    <w:p w14:paraId="164ABB71">
      <w:pPr>
        <w:widowControl/>
        <w:shd w:val="clear"/>
        <w:tabs>
          <w:tab w:val="left" w:pos="1440"/>
        </w:tabs>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乙方保证所提供的服务的所有权完全属于乙方且无任何抵押、查封等产权瑕疵。如有产权瑕疵的，视为乙方违约。乙方应负担由此而产生的一切损失。</w:t>
      </w:r>
    </w:p>
    <w:p w14:paraId="1D126355">
      <w:pPr>
        <w:keepNext w:val="0"/>
        <w:keepLines w:val="0"/>
        <w:pageBreakBefore w:val="0"/>
        <w:widowControl w:val="0"/>
        <w:numPr>
          <w:ilvl w:val="0"/>
          <w:numId w:val="1"/>
        </w:numPr>
        <w:kinsoku/>
        <w:wordWrap w:val="0"/>
        <w:overflowPunct/>
        <w:topLinePunct/>
        <w:autoSpaceDE/>
        <w:autoSpaceDN/>
        <w:bidi w:val="0"/>
        <w:adjustRightInd/>
        <w:snapToGrid/>
        <w:ind w:firstLine="482" w:firstLineChars="200"/>
        <w:textAlignment w:val="auto"/>
        <w:rPr>
          <w:rFonts w:hint="eastAsia" w:ascii="仿宋" w:hAnsi="仿宋" w:eastAsia="仿宋" w:cs="仿宋"/>
          <w:b/>
          <w:snapToGrid w:val="0"/>
          <w:color w:val="auto"/>
          <w:kern w:val="0"/>
          <w:sz w:val="24"/>
          <w:szCs w:val="24"/>
          <w:highlight w:val="none"/>
        </w:rPr>
      </w:pPr>
      <w:bookmarkStart w:id="40" w:name="_Toc30074"/>
      <w:bookmarkStart w:id="41" w:name="_Toc12634"/>
      <w:bookmarkStart w:id="42" w:name="_Toc24422"/>
      <w:r>
        <w:rPr>
          <w:rFonts w:hint="eastAsia" w:ascii="仿宋" w:hAnsi="仿宋" w:eastAsia="仿宋" w:cs="仿宋"/>
          <w:b/>
          <w:snapToGrid w:val="0"/>
          <w:color w:val="auto"/>
          <w:kern w:val="0"/>
          <w:sz w:val="24"/>
          <w:szCs w:val="24"/>
          <w:highlight w:val="none"/>
        </w:rPr>
        <w:t>甲方的权利和义务</w:t>
      </w:r>
      <w:bookmarkEnd w:id="40"/>
      <w:bookmarkEnd w:id="41"/>
      <w:bookmarkEnd w:id="42"/>
    </w:p>
    <w:p w14:paraId="13226F4F">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181EA47B">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2.甲方有权依据双方签订的考评办法对乙方提供的服务进行定期考评。当考评结果未达到标准时，有权依据考评办法约定的数额扣除履约保证金。</w:t>
      </w:r>
    </w:p>
    <w:p w14:paraId="450D3393">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3.负责检查监督乙方管理工作的实施及制度的执行情况。</w:t>
      </w:r>
    </w:p>
    <w:p w14:paraId="63226D94">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4.根据本合同规定，按时向乙方支付应付服务费用。</w:t>
      </w:r>
    </w:p>
    <w:p w14:paraId="2EF7633D">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5.国家法律、法规所规定由甲方承担的其它责任。</w:t>
      </w:r>
    </w:p>
    <w:p w14:paraId="1C2F83E7">
      <w:pPr>
        <w:keepNext w:val="0"/>
        <w:keepLines w:val="0"/>
        <w:pageBreakBefore w:val="0"/>
        <w:widowControl w:val="0"/>
        <w:numPr>
          <w:ilvl w:val="0"/>
          <w:numId w:val="1"/>
        </w:numPr>
        <w:kinsoku/>
        <w:wordWrap w:val="0"/>
        <w:overflowPunct/>
        <w:topLinePunct/>
        <w:autoSpaceDE/>
        <w:autoSpaceDN/>
        <w:bidi w:val="0"/>
        <w:adjustRightInd/>
        <w:snapToGrid/>
        <w:ind w:firstLine="482" w:firstLineChars="200"/>
        <w:textAlignment w:val="auto"/>
        <w:rPr>
          <w:rFonts w:hint="eastAsia" w:ascii="仿宋" w:hAnsi="仿宋" w:eastAsia="仿宋" w:cs="仿宋"/>
          <w:b/>
          <w:snapToGrid w:val="0"/>
          <w:color w:val="auto"/>
          <w:kern w:val="0"/>
          <w:sz w:val="24"/>
          <w:szCs w:val="24"/>
          <w:highlight w:val="none"/>
        </w:rPr>
      </w:pPr>
      <w:bookmarkStart w:id="43" w:name="_Toc19623"/>
      <w:bookmarkStart w:id="44" w:name="_Toc7436"/>
      <w:r>
        <w:rPr>
          <w:rFonts w:hint="eastAsia" w:ascii="仿宋" w:hAnsi="仿宋" w:eastAsia="仿宋" w:cs="仿宋"/>
          <w:b/>
          <w:snapToGrid w:val="0"/>
          <w:color w:val="auto"/>
          <w:kern w:val="0"/>
          <w:sz w:val="24"/>
          <w:szCs w:val="24"/>
          <w:highlight w:val="none"/>
        </w:rPr>
        <w:t>乙方的权利和义务</w:t>
      </w:r>
      <w:bookmarkEnd w:id="43"/>
      <w:bookmarkEnd w:id="44"/>
    </w:p>
    <w:p w14:paraId="7C46E914">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1.对本合同规定的委托服务范围内的项目享有管理权及服务义务。</w:t>
      </w:r>
    </w:p>
    <w:p w14:paraId="6B1D4695">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2.根据本合同的规定向甲方收取相关服务费用，并有权在本项目管理范围内管理及合理使用。</w:t>
      </w:r>
    </w:p>
    <w:p w14:paraId="4AB7A3E6">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3.及时向甲方通告本项目服务范围内有关服务的重大事项，及时配合处理投诉。</w:t>
      </w:r>
    </w:p>
    <w:p w14:paraId="5F4998DE">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4.</w:t>
      </w:r>
      <w:r>
        <w:rPr>
          <w:rFonts w:hint="eastAsia" w:ascii="仿宋" w:hAnsi="仿宋" w:eastAsia="仿宋" w:cs="仿宋"/>
          <w:bCs/>
          <w:snapToGrid w:val="0"/>
          <w:color w:val="auto"/>
          <w:kern w:val="0"/>
          <w:sz w:val="24"/>
          <w:szCs w:val="24"/>
          <w:highlight w:val="none"/>
        </w:rPr>
        <w:t>接受项目行业管理部门及政府有关部门的指导，接受甲方的监督。</w:t>
      </w:r>
    </w:p>
    <w:p w14:paraId="086369F5">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5.国家法律、法规所规定由乙方承担的其它责任。</w:t>
      </w:r>
    </w:p>
    <w:p w14:paraId="7AE1367E">
      <w:pPr>
        <w:keepNext w:val="0"/>
        <w:keepLines w:val="0"/>
        <w:pageBreakBefore w:val="0"/>
        <w:widowControl w:val="0"/>
        <w:numPr>
          <w:ilvl w:val="0"/>
          <w:numId w:val="1"/>
        </w:numPr>
        <w:kinsoku/>
        <w:wordWrap w:val="0"/>
        <w:overflowPunct/>
        <w:topLinePunct/>
        <w:autoSpaceDE/>
        <w:autoSpaceDN/>
        <w:bidi w:val="0"/>
        <w:adjustRightInd/>
        <w:snapToGrid/>
        <w:ind w:firstLine="482" w:firstLineChars="200"/>
        <w:textAlignment w:val="auto"/>
        <w:rPr>
          <w:rFonts w:hint="eastAsia" w:ascii="仿宋" w:hAnsi="仿宋" w:eastAsia="仿宋" w:cs="仿宋"/>
          <w:b/>
          <w:snapToGrid w:val="0"/>
          <w:color w:val="auto"/>
          <w:kern w:val="0"/>
          <w:sz w:val="24"/>
          <w:szCs w:val="24"/>
          <w:highlight w:val="none"/>
        </w:rPr>
      </w:pPr>
      <w:bookmarkStart w:id="45" w:name="_Toc29819"/>
      <w:bookmarkStart w:id="46" w:name="_Toc18131"/>
      <w:bookmarkStart w:id="47" w:name="_Toc11196"/>
      <w:r>
        <w:rPr>
          <w:rFonts w:hint="eastAsia" w:ascii="仿宋" w:hAnsi="仿宋" w:eastAsia="仿宋" w:cs="仿宋"/>
          <w:b/>
          <w:snapToGrid w:val="0"/>
          <w:color w:val="auto"/>
          <w:kern w:val="0"/>
          <w:sz w:val="24"/>
          <w:szCs w:val="24"/>
          <w:highlight w:val="none"/>
        </w:rPr>
        <w:t>违约责任</w:t>
      </w:r>
      <w:bookmarkEnd w:id="45"/>
      <w:bookmarkEnd w:id="46"/>
      <w:bookmarkEnd w:id="47"/>
    </w:p>
    <w:p w14:paraId="6E5820F6">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1.甲乙双方必须遵守本合同并执行合同中的各项规定，保证本合同的正常履行。</w:t>
      </w:r>
    </w:p>
    <w:p w14:paraId="03EA78A0">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rPr>
      </w:pPr>
      <w:r>
        <w:rPr>
          <w:rFonts w:hint="eastAsia" w:ascii="仿宋" w:hAnsi="仿宋" w:eastAsia="仿宋" w:cs="仿宋"/>
          <w:bCs/>
          <w:snapToGrid w:val="0"/>
          <w:color w:val="auto"/>
          <w:kern w:val="0"/>
          <w:sz w:val="24"/>
          <w:szCs w:val="24"/>
          <w:highlight w:val="none"/>
        </w:rPr>
        <w:t>2.依据《中华人民共和国民法典》《中华人民共和国政府采购法》的相关条款规定和本合同约定，乙方未全面履行合同义务或者发生违约，甲方有权终止合同，依法向乙方进行经济索赔，并报请政府采购监督管理机关依法进行相应的行政处罚。</w:t>
      </w:r>
    </w:p>
    <w:p w14:paraId="3FF63E02">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3. 若乙方未能按合同约定的时间交付任何交付成果或完成服务，每逾期一日，应向甲方支付合同总价款【千分之三】的违约金，逾期超过【15】日的，甲方有权单方解除合同。</w:t>
      </w:r>
    </w:p>
    <w:p w14:paraId="621C8EBD">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4.若乙方交付的服务或成果存在质量缺陷，经甲方指出后未能按第六条规定按时整改合格的，甲方有权根据问题严重程度，扣减相应部分合同价款，并要求乙方支付合同总价款【10%】的违约金。</w:t>
      </w:r>
    </w:p>
    <w:p w14:paraId="2FFAF112">
      <w:pPr>
        <w:widowControl/>
        <w:shd w:val="clear"/>
        <w:autoSpaceDE w:val="0"/>
        <w:autoSpaceDN w:val="0"/>
        <w:spacing w:line="360" w:lineRule="auto"/>
        <w:ind w:firstLine="480" w:firstLineChars="200"/>
        <w:jc w:val="left"/>
        <w:textAlignment w:val="baseline"/>
        <w:rPr>
          <w:rFonts w:hint="eastAsia" w:ascii="仿宋" w:hAnsi="仿宋" w:eastAsia="仿宋" w:cs="仿宋"/>
          <w:bCs/>
          <w:snapToGrid w:val="0"/>
          <w:color w:val="auto"/>
          <w:kern w:val="0"/>
          <w:sz w:val="24"/>
          <w:szCs w:val="24"/>
          <w:highlight w:val="none"/>
          <w:lang w:val="en-US" w:eastAsia="zh-CN"/>
        </w:rPr>
      </w:pPr>
      <w:r>
        <w:rPr>
          <w:rFonts w:hint="eastAsia" w:ascii="仿宋" w:hAnsi="仿宋" w:eastAsia="仿宋" w:cs="仿宋"/>
          <w:bCs/>
          <w:snapToGrid w:val="0"/>
          <w:color w:val="auto"/>
          <w:kern w:val="0"/>
          <w:sz w:val="24"/>
          <w:szCs w:val="24"/>
          <w:highlight w:val="none"/>
          <w:lang w:val="en-US" w:eastAsia="zh-CN"/>
        </w:rPr>
        <w:t>5. 甲方根据本合同约定或法律规定选择解除合同的，自解除合同的书面通知送达乙方之日起合同解除。甲方有权要求乙方退还已支付的全部款项，支付本合同约定的全部违约金，并赔偿甲方因此遭受的全部损失（包括但不限于另寻第三方产生的额外费用、维权支出的律师费、诉讼费等）。</w:t>
      </w:r>
    </w:p>
    <w:p w14:paraId="72B5B248">
      <w:pPr>
        <w:keepNext w:val="0"/>
        <w:keepLines w:val="0"/>
        <w:pageBreakBefore w:val="0"/>
        <w:widowControl w:val="0"/>
        <w:numPr>
          <w:ilvl w:val="0"/>
          <w:numId w:val="1"/>
        </w:numPr>
        <w:kinsoku/>
        <w:wordWrap w:val="0"/>
        <w:overflowPunct/>
        <w:topLinePunct/>
        <w:autoSpaceDE/>
        <w:autoSpaceDN/>
        <w:bidi w:val="0"/>
        <w:adjustRightInd/>
        <w:snapToGrid/>
        <w:ind w:firstLine="482" w:firstLineChars="200"/>
        <w:textAlignment w:val="auto"/>
        <w:rPr>
          <w:rFonts w:hint="eastAsia" w:ascii="仿宋" w:hAnsi="仿宋" w:eastAsia="仿宋" w:cs="仿宋"/>
          <w:b/>
          <w:snapToGrid w:val="0"/>
          <w:color w:val="auto"/>
          <w:kern w:val="0"/>
          <w:sz w:val="24"/>
          <w:szCs w:val="24"/>
          <w:highlight w:val="none"/>
        </w:rPr>
      </w:pPr>
      <w:bookmarkStart w:id="48" w:name="_Toc20912"/>
      <w:bookmarkStart w:id="49" w:name="_Toc30563"/>
      <w:bookmarkStart w:id="50" w:name="_Toc29882"/>
      <w:r>
        <w:rPr>
          <w:rFonts w:hint="eastAsia" w:ascii="仿宋" w:hAnsi="仿宋" w:eastAsia="仿宋" w:cs="仿宋"/>
          <w:b/>
          <w:snapToGrid w:val="0"/>
          <w:color w:val="auto"/>
          <w:kern w:val="0"/>
          <w:sz w:val="24"/>
          <w:szCs w:val="24"/>
          <w:highlight w:val="none"/>
        </w:rPr>
        <w:t>知识产权</w:t>
      </w:r>
    </w:p>
    <w:p w14:paraId="79FD04A8">
      <w:pPr>
        <w:widowControl/>
        <w:shd w:val="clear"/>
        <w:autoSpaceDE w:val="0"/>
        <w:autoSpaceDN w:val="0"/>
        <w:spacing w:line="360" w:lineRule="auto"/>
        <w:ind w:firstLine="480" w:firstLineChars="200"/>
        <w:jc w:val="left"/>
        <w:textAlignment w:val="baseline"/>
        <w:outlineLvl w:val="9"/>
        <w:rPr>
          <w:rFonts w:hint="eastAsia" w:ascii="仿宋" w:hAnsi="仿宋" w:eastAsia="仿宋" w:cs="仿宋"/>
          <w:b w:val="0"/>
          <w:bCs/>
          <w:snapToGrid w:val="0"/>
          <w:color w:val="auto"/>
          <w:kern w:val="0"/>
          <w:sz w:val="24"/>
          <w:szCs w:val="24"/>
          <w:highlight w:val="none"/>
        </w:rPr>
      </w:pPr>
      <w:r>
        <w:rPr>
          <w:rFonts w:hint="eastAsia" w:ascii="仿宋" w:hAnsi="仿宋" w:eastAsia="仿宋" w:cs="仿宋"/>
          <w:b w:val="0"/>
          <w:bCs/>
          <w:snapToGrid w:val="0"/>
          <w:color w:val="auto"/>
          <w:kern w:val="0"/>
          <w:sz w:val="24"/>
          <w:szCs w:val="24"/>
          <w:highlight w:val="none"/>
        </w:rPr>
        <w:t>1</w:t>
      </w:r>
      <w:r>
        <w:rPr>
          <w:rFonts w:hint="eastAsia" w:ascii="仿宋" w:hAnsi="仿宋" w:eastAsia="仿宋" w:cs="仿宋"/>
          <w:b w:val="0"/>
          <w:bCs/>
          <w:snapToGrid w:val="0"/>
          <w:color w:val="auto"/>
          <w:kern w:val="0"/>
          <w:sz w:val="24"/>
          <w:szCs w:val="24"/>
          <w:highlight w:val="none"/>
          <w:lang w:eastAsia="zh-CN"/>
        </w:rPr>
        <w:t>.</w:t>
      </w:r>
      <w:r>
        <w:rPr>
          <w:rFonts w:hint="eastAsia" w:ascii="仿宋" w:hAnsi="仿宋" w:eastAsia="仿宋" w:cs="仿宋"/>
          <w:b w:val="0"/>
          <w:bCs/>
          <w:snapToGrid w:val="0"/>
          <w:color w:val="auto"/>
          <w:kern w:val="0"/>
          <w:sz w:val="24"/>
          <w:szCs w:val="24"/>
          <w:highlight w:val="none"/>
          <w:lang w:val="en-US" w:eastAsia="zh-CN"/>
        </w:rPr>
        <w:t xml:space="preserve"> </w:t>
      </w:r>
      <w:r>
        <w:rPr>
          <w:rFonts w:hint="eastAsia" w:ascii="仿宋" w:hAnsi="仿宋" w:eastAsia="仿宋" w:cs="仿宋"/>
          <w:b w:val="0"/>
          <w:bCs/>
          <w:snapToGrid w:val="0"/>
          <w:color w:val="auto"/>
          <w:kern w:val="0"/>
          <w:sz w:val="24"/>
          <w:szCs w:val="24"/>
          <w:highlight w:val="none"/>
        </w:rPr>
        <w:t>乙方为履行本合同所产生的所有工作成果，包括但不限于评价标准、技术文件、数据分析、评价报告、培训材料等（以下简称“工作成果”），其全部知识产权（包括著作权、专利申请权、技术秘密等）自该工作成果产生之日起，即独家且永久地归属于甲方所有。</w:t>
      </w:r>
    </w:p>
    <w:p w14:paraId="66908F7F">
      <w:pPr>
        <w:widowControl/>
        <w:shd w:val="clear"/>
        <w:autoSpaceDE w:val="0"/>
        <w:autoSpaceDN w:val="0"/>
        <w:spacing w:line="360" w:lineRule="auto"/>
        <w:ind w:firstLine="480" w:firstLineChars="200"/>
        <w:jc w:val="left"/>
        <w:textAlignment w:val="baseline"/>
        <w:outlineLvl w:val="9"/>
        <w:rPr>
          <w:rFonts w:hint="eastAsia" w:ascii="仿宋" w:hAnsi="仿宋" w:eastAsia="仿宋" w:cs="仿宋"/>
          <w:b w:val="0"/>
          <w:bCs/>
          <w:snapToGrid w:val="0"/>
          <w:color w:val="auto"/>
          <w:kern w:val="0"/>
          <w:sz w:val="24"/>
          <w:szCs w:val="24"/>
          <w:highlight w:val="none"/>
        </w:rPr>
      </w:pPr>
      <w:r>
        <w:rPr>
          <w:rFonts w:hint="eastAsia" w:ascii="仿宋" w:hAnsi="仿宋" w:eastAsia="仿宋" w:cs="仿宋"/>
          <w:b w:val="0"/>
          <w:bCs/>
          <w:snapToGrid w:val="0"/>
          <w:color w:val="auto"/>
          <w:kern w:val="0"/>
          <w:sz w:val="24"/>
          <w:szCs w:val="24"/>
          <w:highlight w:val="none"/>
          <w:lang w:val="en-US" w:eastAsia="zh-CN"/>
        </w:rPr>
        <w:t>2.</w:t>
      </w:r>
      <w:r>
        <w:rPr>
          <w:rFonts w:hint="eastAsia" w:ascii="仿宋" w:hAnsi="仿宋" w:eastAsia="仿宋" w:cs="仿宋"/>
          <w:b w:val="0"/>
          <w:bCs/>
          <w:snapToGrid w:val="0"/>
          <w:color w:val="auto"/>
          <w:kern w:val="0"/>
          <w:sz w:val="24"/>
          <w:szCs w:val="24"/>
          <w:highlight w:val="none"/>
        </w:rPr>
        <w:t xml:space="preserve"> 乙方有义务协助甲方办理相关知识产权的登记、申请等手续。乙方仅可在为本项目履行之目的范围内使用上述工作成果，未经甲方书面许可，不得向任何第三方披露、许可或转让。</w:t>
      </w:r>
    </w:p>
    <w:p w14:paraId="68C7CC41">
      <w:pPr>
        <w:keepNext w:val="0"/>
        <w:keepLines w:val="0"/>
        <w:pageBreakBefore w:val="0"/>
        <w:widowControl w:val="0"/>
        <w:numPr>
          <w:ilvl w:val="0"/>
          <w:numId w:val="1"/>
        </w:numPr>
        <w:kinsoku/>
        <w:wordWrap w:val="0"/>
        <w:overflowPunct/>
        <w:topLinePunct/>
        <w:autoSpaceDE/>
        <w:autoSpaceDN/>
        <w:bidi w:val="0"/>
        <w:adjustRightInd/>
        <w:snapToGrid/>
        <w:ind w:firstLine="482" w:firstLineChars="200"/>
        <w:textAlignment w:val="auto"/>
        <w:rPr>
          <w:rFonts w:hint="eastAsia" w:ascii="仿宋" w:hAnsi="仿宋" w:eastAsia="仿宋" w:cs="仿宋"/>
          <w:b/>
          <w:snapToGrid w:val="0"/>
          <w:color w:val="auto"/>
          <w:kern w:val="0"/>
          <w:sz w:val="24"/>
          <w:szCs w:val="24"/>
          <w:highlight w:val="none"/>
        </w:rPr>
      </w:pPr>
      <w:r>
        <w:rPr>
          <w:rFonts w:hint="eastAsia" w:ascii="仿宋" w:hAnsi="仿宋" w:eastAsia="仿宋" w:cs="仿宋"/>
          <w:b/>
          <w:snapToGrid w:val="0"/>
          <w:color w:val="auto"/>
          <w:kern w:val="0"/>
          <w:sz w:val="24"/>
          <w:szCs w:val="24"/>
          <w:highlight w:val="none"/>
        </w:rPr>
        <w:t>不可抗力事件处理</w:t>
      </w:r>
      <w:bookmarkEnd w:id="48"/>
      <w:bookmarkEnd w:id="49"/>
      <w:bookmarkEnd w:id="50"/>
    </w:p>
    <w:p w14:paraId="085F1325">
      <w:pPr>
        <w:widowControl/>
        <w:shd w:val="clear"/>
        <w:tabs>
          <w:tab w:val="left" w:pos="0"/>
        </w:tabs>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1.在合同有效期内，任何一方因不可抗力事件导致不能履行合同，则合同履行期可延长，其延长期与不可抗力影响期相同。</w:t>
      </w:r>
    </w:p>
    <w:p w14:paraId="030046E1">
      <w:pPr>
        <w:widowControl/>
        <w:shd w:val="clear"/>
        <w:tabs>
          <w:tab w:val="left" w:pos="0"/>
        </w:tabs>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2.不可抗力事件发生后，应立即通知对方，并寄送有关权威机构出具的证明。</w:t>
      </w:r>
    </w:p>
    <w:p w14:paraId="5D195A43">
      <w:pPr>
        <w:widowControl/>
        <w:shd w:val="clear"/>
        <w:tabs>
          <w:tab w:val="left" w:pos="0"/>
        </w:tabs>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3.不可抗力事件延续30天以上，双方应通过友好协商，确定是否继续履行合同。</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348E0B56">
      <w:pPr>
        <w:keepNext w:val="0"/>
        <w:keepLines w:val="0"/>
        <w:pageBreakBefore w:val="0"/>
        <w:widowControl w:val="0"/>
        <w:numPr>
          <w:ilvl w:val="0"/>
          <w:numId w:val="1"/>
        </w:numPr>
        <w:kinsoku/>
        <w:wordWrap w:val="0"/>
        <w:overflowPunct/>
        <w:topLinePunct/>
        <w:autoSpaceDE/>
        <w:autoSpaceDN/>
        <w:bidi w:val="0"/>
        <w:adjustRightInd/>
        <w:snapToGrid/>
        <w:ind w:firstLine="482" w:firstLineChars="200"/>
        <w:textAlignment w:val="auto"/>
        <w:rPr>
          <w:rFonts w:hint="eastAsia" w:ascii="仿宋" w:hAnsi="仿宋" w:eastAsia="仿宋" w:cs="仿宋"/>
          <w:b/>
          <w:snapToGrid w:val="0"/>
          <w:color w:val="auto"/>
          <w:kern w:val="0"/>
          <w:sz w:val="24"/>
          <w:szCs w:val="24"/>
          <w:highlight w:val="none"/>
        </w:rPr>
      </w:pPr>
      <w:bookmarkStart w:id="51" w:name="_Toc362"/>
      <w:bookmarkStart w:id="52" w:name="_Toc830"/>
      <w:bookmarkStart w:id="53" w:name="_Toc13911"/>
      <w:bookmarkStart w:id="54" w:name="_Toc212019599"/>
      <w:bookmarkStart w:id="55" w:name="_Toc225654649"/>
      <w:bookmarkStart w:id="56" w:name="_Toc238984980"/>
      <w:bookmarkStart w:id="57" w:name="_Toc225670756"/>
      <w:bookmarkStart w:id="58" w:name="_Toc225244857"/>
      <w:bookmarkStart w:id="59" w:name="_Toc241833908"/>
      <w:bookmarkStart w:id="60" w:name="_Toc232492933"/>
      <w:bookmarkStart w:id="61" w:name="_Toc286993792"/>
      <w:bookmarkStart w:id="62" w:name="_Toc239233919"/>
      <w:bookmarkStart w:id="63" w:name="_Toc251768867"/>
      <w:bookmarkStart w:id="64" w:name="_Toc237145411"/>
      <w:bookmarkStart w:id="65" w:name="_Toc239568423"/>
      <w:bookmarkStart w:id="66" w:name="_Toc211911353"/>
      <w:bookmarkStart w:id="67" w:name="_Toc247334846"/>
      <w:bookmarkStart w:id="68" w:name="_Toc211854454"/>
      <w:bookmarkStart w:id="69" w:name="_Toc185395254"/>
      <w:r>
        <w:rPr>
          <w:rFonts w:hint="eastAsia" w:ascii="仿宋" w:hAnsi="仿宋" w:eastAsia="仿宋" w:cs="仿宋"/>
          <w:b/>
          <w:snapToGrid w:val="0"/>
          <w:color w:val="auto"/>
          <w:kern w:val="0"/>
          <w:sz w:val="24"/>
          <w:szCs w:val="24"/>
          <w:highlight w:val="none"/>
        </w:rPr>
        <w:t>合同的变更和终止</w:t>
      </w:r>
      <w:bookmarkEnd w:id="51"/>
      <w:bookmarkEnd w:id="52"/>
      <w:bookmarkEnd w:id="53"/>
    </w:p>
    <w:p w14:paraId="3D80E732">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除《中华人民共和国政府采购法》第49条、第50条第二款规定的情形外，本合同一经签订，甲乙双方不得擅自变更、中止或终止合同。</w:t>
      </w:r>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0A29EA88">
      <w:pPr>
        <w:keepNext w:val="0"/>
        <w:keepLines w:val="0"/>
        <w:pageBreakBefore w:val="0"/>
        <w:widowControl w:val="0"/>
        <w:numPr>
          <w:ilvl w:val="0"/>
          <w:numId w:val="1"/>
        </w:numPr>
        <w:kinsoku/>
        <w:wordWrap w:val="0"/>
        <w:overflowPunct/>
        <w:topLinePunct/>
        <w:autoSpaceDE/>
        <w:autoSpaceDN/>
        <w:bidi w:val="0"/>
        <w:adjustRightInd/>
        <w:snapToGrid/>
        <w:ind w:firstLine="482" w:firstLineChars="200"/>
        <w:textAlignment w:val="auto"/>
        <w:rPr>
          <w:rFonts w:hint="eastAsia" w:ascii="仿宋" w:hAnsi="仿宋" w:eastAsia="仿宋" w:cs="仿宋"/>
          <w:b/>
          <w:snapToGrid w:val="0"/>
          <w:color w:val="auto"/>
          <w:kern w:val="0"/>
          <w:sz w:val="24"/>
          <w:szCs w:val="24"/>
          <w:highlight w:val="none"/>
        </w:rPr>
      </w:pPr>
      <w:bookmarkStart w:id="70" w:name="_Toc25935"/>
      <w:bookmarkStart w:id="71" w:name="_Toc317"/>
      <w:bookmarkStart w:id="72" w:name="_Toc5821"/>
      <w:r>
        <w:rPr>
          <w:rFonts w:hint="eastAsia" w:ascii="仿宋" w:hAnsi="仿宋" w:eastAsia="仿宋" w:cs="仿宋"/>
          <w:b/>
          <w:snapToGrid w:val="0"/>
          <w:color w:val="auto"/>
          <w:kern w:val="0"/>
          <w:sz w:val="24"/>
          <w:szCs w:val="24"/>
          <w:highlight w:val="none"/>
        </w:rPr>
        <w:t>争议解决条款</w:t>
      </w:r>
      <w:bookmarkEnd w:id="70"/>
      <w:bookmarkEnd w:id="71"/>
      <w:bookmarkEnd w:id="72"/>
    </w:p>
    <w:p w14:paraId="32859EE6">
      <w:pPr>
        <w:pBdr>
          <w:top w:val="none" w:color="000000" w:sz="0" w:space="3"/>
          <w:left w:val="none" w:color="000000" w:sz="0" w:space="3"/>
          <w:bottom w:val="none" w:color="000000" w:sz="0" w:space="3"/>
          <w:right w:val="none" w:color="000000" w:sz="0" w:space="3"/>
          <w:between w:val="none" w:color="000000" w:sz="0" w:space="0"/>
        </w:pBdr>
        <w:shd w:val="clear"/>
        <w:spacing w:line="360" w:lineRule="auto"/>
        <w:ind w:firstLine="480"/>
        <w:rPr>
          <w:rFonts w:hint="eastAsia" w:ascii="仿宋" w:hAnsi="仿宋" w:eastAsia="仿宋" w:cs="仿宋"/>
          <w:color w:val="auto"/>
          <w:kern w:val="1"/>
          <w:sz w:val="24"/>
          <w:szCs w:val="24"/>
          <w:highlight w:val="none"/>
        </w:rPr>
      </w:pPr>
      <w:r>
        <w:rPr>
          <w:rFonts w:hint="eastAsia" w:ascii="仿宋" w:hAnsi="仿宋" w:eastAsia="仿宋" w:cs="仿宋"/>
          <w:color w:val="auto"/>
          <w:kern w:val="1"/>
          <w:sz w:val="24"/>
          <w:szCs w:val="24"/>
          <w:highlight w:val="none"/>
        </w:rPr>
        <w:t>在执行本合同中发生的或与本合同有关的争端，双方应通过友好协商解决，经协商在7天内不能达成协议时，则采取：向甲方所在地有管辖权的人民法院提起诉讼；</w:t>
      </w:r>
    </w:p>
    <w:p w14:paraId="069991F4">
      <w:pPr>
        <w:keepNext w:val="0"/>
        <w:keepLines w:val="0"/>
        <w:pageBreakBefore w:val="0"/>
        <w:widowControl w:val="0"/>
        <w:numPr>
          <w:ilvl w:val="0"/>
          <w:numId w:val="1"/>
        </w:numPr>
        <w:kinsoku/>
        <w:wordWrap w:val="0"/>
        <w:overflowPunct/>
        <w:topLinePunct/>
        <w:autoSpaceDE/>
        <w:autoSpaceDN/>
        <w:bidi w:val="0"/>
        <w:adjustRightInd/>
        <w:snapToGrid/>
        <w:ind w:firstLine="482" w:firstLineChars="200"/>
        <w:textAlignment w:val="auto"/>
        <w:rPr>
          <w:rFonts w:hint="eastAsia" w:ascii="仿宋" w:hAnsi="仿宋" w:eastAsia="仿宋" w:cs="仿宋"/>
          <w:b/>
          <w:snapToGrid w:val="0"/>
          <w:color w:val="auto"/>
          <w:kern w:val="0"/>
          <w:sz w:val="24"/>
          <w:szCs w:val="24"/>
          <w:highlight w:val="none"/>
        </w:rPr>
      </w:pPr>
      <w:bookmarkStart w:id="73" w:name="_Toc241833909"/>
      <w:bookmarkStart w:id="74" w:name="_Toc225244858"/>
      <w:bookmarkStart w:id="75" w:name="_Toc212019600"/>
      <w:bookmarkStart w:id="76" w:name="_Toc185395255"/>
      <w:bookmarkStart w:id="77" w:name="_Toc211911354"/>
      <w:bookmarkStart w:id="78" w:name="_Toc283019219"/>
      <w:bookmarkStart w:id="79" w:name="_Toc225670757"/>
      <w:bookmarkStart w:id="80" w:name="_Toc211854455"/>
      <w:bookmarkStart w:id="81" w:name="_Toc239568424"/>
      <w:bookmarkStart w:id="82" w:name="_Toc239233920"/>
      <w:bookmarkStart w:id="83" w:name="_Toc238984981"/>
      <w:bookmarkStart w:id="84" w:name="_Toc282696231"/>
      <w:bookmarkStart w:id="85" w:name="_Toc225654650"/>
      <w:bookmarkStart w:id="86" w:name="_Toc237145412"/>
      <w:bookmarkStart w:id="87" w:name="_Toc232492934"/>
      <w:bookmarkStart w:id="88" w:name="_Toc251768868"/>
      <w:bookmarkStart w:id="89" w:name="_Toc247334847"/>
      <w:bookmarkStart w:id="90" w:name="_Toc286993793"/>
      <w:bookmarkStart w:id="91" w:name="_Toc29710"/>
      <w:bookmarkStart w:id="92" w:name="_Toc233"/>
      <w:bookmarkStart w:id="93" w:name="_Toc6377"/>
      <w:r>
        <w:rPr>
          <w:rFonts w:hint="eastAsia" w:ascii="仿宋" w:hAnsi="仿宋" w:eastAsia="仿宋" w:cs="仿宋"/>
          <w:b/>
          <w:snapToGrid w:val="0"/>
          <w:color w:val="auto"/>
          <w:kern w:val="0"/>
          <w:sz w:val="24"/>
          <w:szCs w:val="24"/>
          <w:highlight w:val="none"/>
        </w:rPr>
        <w:t>合同</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Pr>
          <w:rFonts w:hint="eastAsia" w:ascii="仿宋" w:hAnsi="仿宋" w:eastAsia="仿宋" w:cs="仿宋"/>
          <w:b/>
          <w:snapToGrid w:val="0"/>
          <w:color w:val="auto"/>
          <w:kern w:val="0"/>
          <w:sz w:val="24"/>
          <w:szCs w:val="24"/>
          <w:highlight w:val="none"/>
        </w:rPr>
        <w:t>生效及其他</w:t>
      </w:r>
      <w:bookmarkEnd w:id="91"/>
      <w:bookmarkEnd w:id="92"/>
      <w:bookmarkEnd w:id="93"/>
    </w:p>
    <w:p w14:paraId="631E35C5">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1.合同经双方法定代表人或授权委托代理人签字并加盖单位公章后生效。</w:t>
      </w:r>
    </w:p>
    <w:p w14:paraId="522E01E9">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38E41964">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3.本合同一式</w:t>
      </w:r>
      <w:r>
        <w:rPr>
          <w:rFonts w:hint="eastAsia" w:ascii="仿宋" w:hAnsi="仿宋" w:eastAsia="仿宋" w:cs="仿宋"/>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rPr>
        <w:t>份，自双方签章之日起起效。甲方</w:t>
      </w:r>
      <w:r>
        <w:rPr>
          <w:rFonts w:hint="eastAsia" w:ascii="仿宋" w:hAnsi="仿宋" w:eastAsia="仿宋" w:cs="仿宋"/>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rPr>
        <w:t>份，乙方</w:t>
      </w:r>
      <w:r>
        <w:rPr>
          <w:rFonts w:hint="eastAsia" w:ascii="仿宋" w:hAnsi="仿宋" w:eastAsia="仿宋" w:cs="仿宋"/>
          <w:i/>
          <w:iCs/>
          <w:snapToGrid w:val="0"/>
          <w:color w:val="auto"/>
          <w:kern w:val="0"/>
          <w:sz w:val="24"/>
          <w:szCs w:val="24"/>
          <w:highlight w:val="none"/>
          <w:u w:val="single"/>
        </w:rPr>
        <w:t xml:space="preserve">     </w:t>
      </w:r>
      <w:r>
        <w:rPr>
          <w:rFonts w:hint="eastAsia" w:ascii="仿宋" w:hAnsi="仿宋" w:eastAsia="仿宋" w:cs="仿宋"/>
          <w:snapToGrid w:val="0"/>
          <w:color w:val="auto"/>
          <w:kern w:val="0"/>
          <w:sz w:val="24"/>
          <w:szCs w:val="24"/>
          <w:highlight w:val="none"/>
        </w:rPr>
        <w:t>份，具有同等法律效力。</w:t>
      </w:r>
    </w:p>
    <w:p w14:paraId="2F681F05">
      <w:pPr>
        <w:keepNext w:val="0"/>
        <w:keepLines w:val="0"/>
        <w:pageBreakBefore w:val="0"/>
        <w:widowControl w:val="0"/>
        <w:numPr>
          <w:ilvl w:val="0"/>
          <w:numId w:val="1"/>
        </w:numPr>
        <w:kinsoku/>
        <w:wordWrap w:val="0"/>
        <w:overflowPunct/>
        <w:topLinePunct/>
        <w:autoSpaceDE/>
        <w:autoSpaceDN/>
        <w:bidi w:val="0"/>
        <w:adjustRightInd/>
        <w:snapToGrid/>
        <w:ind w:firstLine="482" w:firstLineChars="200"/>
        <w:textAlignment w:val="auto"/>
        <w:rPr>
          <w:rFonts w:hint="eastAsia" w:ascii="仿宋" w:hAnsi="仿宋" w:eastAsia="仿宋" w:cs="仿宋"/>
          <w:b/>
          <w:snapToGrid w:val="0"/>
          <w:color w:val="auto"/>
          <w:kern w:val="0"/>
          <w:sz w:val="24"/>
          <w:szCs w:val="24"/>
          <w:highlight w:val="none"/>
        </w:rPr>
      </w:pPr>
      <w:bookmarkStart w:id="94" w:name="_Toc22754"/>
      <w:bookmarkStart w:id="95" w:name="_Toc15608"/>
      <w:bookmarkStart w:id="96" w:name="_Toc28847"/>
      <w:r>
        <w:rPr>
          <w:rFonts w:hint="eastAsia" w:ascii="仿宋" w:hAnsi="仿宋" w:eastAsia="仿宋" w:cs="仿宋"/>
          <w:b/>
          <w:snapToGrid w:val="0"/>
          <w:color w:val="auto"/>
          <w:kern w:val="0"/>
          <w:sz w:val="24"/>
          <w:szCs w:val="24"/>
          <w:highlight w:val="none"/>
        </w:rPr>
        <w:t>附件</w:t>
      </w:r>
      <w:bookmarkEnd w:id="94"/>
      <w:bookmarkEnd w:id="95"/>
      <w:bookmarkEnd w:id="96"/>
    </w:p>
    <w:p w14:paraId="7310B93F">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1.项目竞争性磋商文件</w:t>
      </w:r>
    </w:p>
    <w:p w14:paraId="1F9DE8BA">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2.项目修改澄清文件（若有）</w:t>
      </w:r>
    </w:p>
    <w:p w14:paraId="16C81FF6">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3.项目响应文件</w:t>
      </w:r>
    </w:p>
    <w:p w14:paraId="533785C3">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4.成交通知书</w:t>
      </w:r>
    </w:p>
    <w:p w14:paraId="52F15076">
      <w:pPr>
        <w:widowControl/>
        <w:shd w:val="clear"/>
        <w:autoSpaceDE w:val="0"/>
        <w:autoSpaceDN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5.其他</w:t>
      </w:r>
    </w:p>
    <w:p w14:paraId="2CEF4D16">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p>
    <w:p w14:paraId="119AF32F">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p>
    <w:p w14:paraId="25D355F0">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p>
    <w:p w14:paraId="5D07ECF1">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 xml:space="preserve">甲     方：（公章）   </w:t>
      </w:r>
      <w:r>
        <w:rPr>
          <w:rFonts w:hint="eastAsia" w:ascii="仿宋" w:hAnsi="仿宋" w:eastAsia="仿宋" w:cs="仿宋"/>
          <w:snapToGrid w:val="0"/>
          <w:color w:val="auto"/>
          <w:kern w:val="0"/>
          <w:sz w:val="24"/>
          <w:szCs w:val="24"/>
          <w:highlight w:val="none"/>
        </w:rPr>
        <w:tab/>
      </w:r>
      <w:r>
        <w:rPr>
          <w:rFonts w:hint="eastAsia" w:ascii="仿宋" w:hAnsi="仿宋" w:eastAsia="仿宋" w:cs="仿宋"/>
          <w:snapToGrid w:val="0"/>
          <w:color w:val="auto"/>
          <w:kern w:val="0"/>
          <w:sz w:val="24"/>
          <w:szCs w:val="24"/>
          <w:highlight w:val="none"/>
        </w:rPr>
        <w:tab/>
      </w:r>
      <w:r>
        <w:rPr>
          <w:rFonts w:hint="eastAsia" w:ascii="仿宋" w:hAnsi="仿宋" w:eastAsia="仿宋" w:cs="仿宋"/>
          <w:snapToGrid w:val="0"/>
          <w:color w:val="auto"/>
          <w:kern w:val="0"/>
          <w:sz w:val="24"/>
          <w:szCs w:val="24"/>
          <w:highlight w:val="none"/>
        </w:rPr>
        <w:tab/>
      </w:r>
      <w:r>
        <w:rPr>
          <w:rFonts w:hint="eastAsia" w:ascii="仿宋" w:hAnsi="仿宋" w:eastAsia="仿宋" w:cs="仿宋"/>
          <w:snapToGrid w:val="0"/>
          <w:color w:val="auto"/>
          <w:kern w:val="0"/>
          <w:sz w:val="24"/>
          <w:szCs w:val="24"/>
          <w:highlight w:val="none"/>
        </w:rPr>
        <w:t xml:space="preserve">     乙    方：   （公章）</w:t>
      </w:r>
    </w:p>
    <w:p w14:paraId="43FB9B02">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法定代表人（委托代理人）：          法定代表人（委托代理人）：</w:t>
      </w:r>
    </w:p>
    <w:p w14:paraId="31D20945">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地    址：                          地    址：</w:t>
      </w:r>
    </w:p>
    <w:p w14:paraId="2402D7B6">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开户银行：                          开户银行：</w:t>
      </w:r>
    </w:p>
    <w:p w14:paraId="324ED0BF">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账号名称：                          账号名称：</w:t>
      </w:r>
    </w:p>
    <w:p w14:paraId="34FC34F1">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账    号：                          账    号：</w:t>
      </w:r>
    </w:p>
    <w:p w14:paraId="7348EBB9">
      <w:pPr>
        <w:widowControl/>
        <w:shd w:val="clear"/>
        <w:kinsoku w:val="0"/>
        <w:autoSpaceDE w:val="0"/>
        <w:autoSpaceDN w:val="0"/>
        <w:adjustRightInd w:val="0"/>
        <w:snapToGrid w:val="0"/>
        <w:spacing w:line="360" w:lineRule="auto"/>
        <w:ind w:firstLine="480" w:firstLineChars="2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纳税人识别号：                      纳税人识别号：</w:t>
      </w:r>
    </w:p>
    <w:p w14:paraId="1DF7DEA5">
      <w:pPr>
        <w:widowControl/>
        <w:shd w:val="clear"/>
        <w:kinsoku w:val="0"/>
        <w:autoSpaceDE w:val="0"/>
        <w:autoSpaceDN w:val="0"/>
        <w:adjustRightInd w:val="0"/>
        <w:snapToGrid w:val="0"/>
        <w:spacing w:line="360" w:lineRule="auto"/>
        <w:ind w:firstLine="240" w:firstLineChars="100"/>
        <w:jc w:val="left"/>
        <w:textAlignment w:val="baseline"/>
        <w:rPr>
          <w:rFonts w:hint="eastAsia" w:ascii="仿宋" w:hAnsi="仿宋" w:eastAsia="仿宋" w:cs="仿宋"/>
          <w:snapToGrid w:val="0"/>
          <w:color w:val="auto"/>
          <w:kern w:val="0"/>
          <w:sz w:val="24"/>
          <w:szCs w:val="24"/>
          <w:highlight w:val="none"/>
        </w:rPr>
      </w:pPr>
      <w:r>
        <w:rPr>
          <w:rFonts w:hint="eastAsia" w:ascii="仿宋" w:hAnsi="仿宋" w:eastAsia="仿宋" w:cs="仿宋"/>
          <w:snapToGrid w:val="0"/>
          <w:color w:val="auto"/>
          <w:kern w:val="0"/>
          <w:sz w:val="24"/>
          <w:szCs w:val="24"/>
          <w:highlight w:val="none"/>
        </w:rPr>
        <w:t xml:space="preserve">  电    话：                          电    话：</w:t>
      </w:r>
    </w:p>
    <w:p w14:paraId="5CE85AE0">
      <w:pPr>
        <w:widowControl/>
        <w:shd w:val="clear"/>
        <w:kinsoku w:val="0"/>
        <w:autoSpaceDE w:val="0"/>
        <w:autoSpaceDN w:val="0"/>
        <w:adjustRightInd w:val="0"/>
        <w:snapToGrid w:val="0"/>
        <w:spacing w:after="120" w:line="360" w:lineRule="auto"/>
        <w:ind w:firstLine="480" w:firstLineChars="200"/>
        <w:jc w:val="left"/>
        <w:textAlignment w:val="baseline"/>
        <w:rPr>
          <w:rFonts w:hint="eastAsia" w:ascii="仿宋" w:hAnsi="仿宋" w:eastAsia="仿宋" w:cs="仿宋"/>
          <w:snapToGrid w:val="0"/>
          <w:color w:val="auto"/>
          <w:sz w:val="24"/>
          <w:szCs w:val="24"/>
          <w:highlight w:val="none"/>
        </w:rPr>
      </w:pPr>
      <w:r>
        <w:rPr>
          <w:rFonts w:hint="eastAsia" w:ascii="仿宋" w:hAnsi="仿宋" w:eastAsia="仿宋" w:cs="仿宋"/>
          <w:snapToGrid w:val="0"/>
          <w:color w:val="auto"/>
          <w:sz w:val="24"/>
          <w:szCs w:val="24"/>
          <w:highlight w:val="none"/>
        </w:rPr>
        <w:t xml:space="preserve">日    期：    年  月  日 </w:t>
      </w:r>
      <w:r>
        <w:rPr>
          <w:rFonts w:hint="eastAsia" w:ascii="仿宋" w:hAnsi="仿宋" w:eastAsia="仿宋" w:cs="仿宋"/>
          <w:snapToGrid w:val="0"/>
          <w:color w:val="auto"/>
          <w:sz w:val="24"/>
          <w:szCs w:val="24"/>
          <w:highlight w:val="none"/>
        </w:rPr>
        <w:tab/>
      </w:r>
      <w:r>
        <w:rPr>
          <w:rFonts w:hint="eastAsia" w:ascii="仿宋" w:hAnsi="仿宋" w:eastAsia="仿宋" w:cs="仿宋"/>
          <w:snapToGrid w:val="0"/>
          <w:color w:val="auto"/>
          <w:sz w:val="24"/>
          <w:szCs w:val="24"/>
          <w:highlight w:val="none"/>
        </w:rPr>
        <w:t xml:space="preserve">        日    期：  年  月  日</w:t>
      </w:r>
    </w:p>
    <w:p w14:paraId="12494A04">
      <w:pPr>
        <w:widowControl/>
        <w:shd w:val="clear"/>
        <w:spacing w:line="360" w:lineRule="auto"/>
        <w:ind w:firstLine="480" w:firstLineChars="200"/>
        <w:jc w:val="left"/>
        <w:rPr>
          <w:rFonts w:hint="eastAsia" w:ascii="仿宋" w:hAnsi="仿宋" w:eastAsia="仿宋" w:cs="仿宋"/>
          <w:color w:val="auto"/>
          <w:kern w:val="0"/>
          <w:sz w:val="24"/>
          <w:szCs w:val="24"/>
          <w:highlight w:val="none"/>
          <w:lang w:eastAsia="zh-Hans"/>
        </w:rPr>
      </w:pPr>
    </w:p>
    <w:p w14:paraId="7EA6D5AB">
      <w:pPr>
        <w:shd w:val="clear"/>
        <w:rPr>
          <w:rFonts w:hint="eastAsia" w:ascii="仿宋" w:hAnsi="仿宋" w:eastAsia="仿宋" w:cs="仿宋"/>
          <w:color w:val="auto"/>
          <w:highlight w:val="none"/>
          <w:lang w:val="en-US" w:eastAsia="zh-Hans"/>
        </w:rPr>
      </w:pPr>
    </w:p>
    <w:p w14:paraId="5955A77A">
      <w:bookmarkStart w:id="97" w:name="_GoBack"/>
      <w:bookmarkEnd w:id="97"/>
    </w:p>
    <w:sectPr>
      <w:pgSz w:w="11906" w:h="16838"/>
      <w:pgMar w:top="1440" w:right="1440" w:bottom="1440" w:left="144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F6E171"/>
    <w:multiLevelType w:val="singleLevel"/>
    <w:tmpl w:val="95F6E17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BC44E5"/>
    <w:rsid w:val="006140F3"/>
    <w:rsid w:val="0DD060F5"/>
    <w:rsid w:val="13190AC2"/>
    <w:rsid w:val="13FF151E"/>
    <w:rsid w:val="23192B3F"/>
    <w:rsid w:val="34DC1CDF"/>
    <w:rsid w:val="39DD3AE3"/>
    <w:rsid w:val="411462D3"/>
    <w:rsid w:val="62F35BD2"/>
    <w:rsid w:val="6BBC44E5"/>
    <w:rsid w:val="7B1649F5"/>
    <w:rsid w:val="7B663F22"/>
    <w:rsid w:val="7FBD7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topLinePunct/>
      <w:spacing w:line="360" w:lineRule="auto"/>
      <w:jc w:val="both"/>
    </w:pPr>
    <w:rPr>
      <w:rFonts w:eastAsia="宋体" w:asciiTheme="minorHAnsi" w:hAnsiTheme="minorHAnsi" w:cstheme="minorBidi"/>
      <w:kern w:val="2"/>
      <w:sz w:val="24"/>
      <w:szCs w:val="24"/>
      <w:lang w:val="en-US" w:eastAsia="zh-CN" w:bidi="ar-SA"/>
    </w:rPr>
  </w:style>
  <w:style w:type="paragraph" w:styleId="2">
    <w:name w:val="heading 1"/>
    <w:basedOn w:val="1"/>
    <w:next w:val="1"/>
    <w:qFormat/>
    <w:uiPriority w:val="0"/>
    <w:pPr>
      <w:keepNext/>
      <w:keepLines/>
      <w:spacing w:beforeLines="0" w:beforeAutospacing="0" w:afterLines="0" w:afterAutospacing="0" w:line="360" w:lineRule="auto"/>
      <w:jc w:val="left"/>
      <w:outlineLvl w:val="0"/>
    </w:pPr>
    <w:rPr>
      <w:rFonts w:asciiTheme="minorAscii" w:hAnsiTheme="minorAscii"/>
      <w:b/>
      <w:kern w:val="44"/>
      <w:sz w:val="24"/>
    </w:rPr>
  </w:style>
  <w:style w:type="paragraph" w:styleId="3">
    <w:name w:val="heading 2"/>
    <w:basedOn w:val="1"/>
    <w:next w:val="1"/>
    <w:semiHidden/>
    <w:unhideWhenUsed/>
    <w:qFormat/>
    <w:uiPriority w:val="0"/>
    <w:pPr>
      <w:keepNext/>
      <w:keepLines/>
      <w:spacing w:beforeLines="0" w:beforeAutospacing="0" w:afterLines="0" w:afterAutospacing="0" w:line="360" w:lineRule="auto"/>
      <w:ind w:firstLine="420" w:firstLineChars="200"/>
      <w:jc w:val="left"/>
      <w:outlineLvl w:val="1"/>
    </w:pPr>
    <w:rPr>
      <w:rFonts w:ascii="Arial" w:hAnsi="Arial" w:eastAsia="宋体"/>
      <w:sz w:val="24"/>
    </w:rPr>
  </w:style>
  <w:style w:type="paragraph" w:styleId="4">
    <w:name w:val="heading 3"/>
    <w:basedOn w:val="1"/>
    <w:next w:val="1"/>
    <w:semiHidden/>
    <w:unhideWhenUsed/>
    <w:qFormat/>
    <w:uiPriority w:val="0"/>
    <w:pPr>
      <w:keepNext/>
      <w:keepLines/>
      <w:spacing w:beforeLines="0" w:beforeAutospacing="0" w:afterLines="0" w:afterAutospacing="0" w:line="360" w:lineRule="auto"/>
      <w:ind w:firstLine="630" w:firstLineChars="300"/>
      <w:outlineLvl w:val="2"/>
    </w:pPr>
    <w:rPr>
      <w:rFonts w:eastAsia="宋体" w:asciiTheme="minorAscii" w:hAnsiTheme="minorAscii"/>
      <w:sz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6">
    <w:name w:val="Body Text"/>
    <w:basedOn w:val="1"/>
    <w:next w:val="1"/>
    <w:qFormat/>
    <w:uiPriority w:val="0"/>
    <w:pPr>
      <w:spacing w:before="0" w:after="140" w:line="276" w:lineRule="auto"/>
    </w:pPr>
  </w:style>
  <w:style w:type="paragraph" w:customStyle="1" w:styleId="9">
    <w:name w:val="标书正文1"/>
    <w:basedOn w:val="1"/>
    <w:next w:val="6"/>
    <w:qFormat/>
    <w:uiPriority w:val="0"/>
    <w:pPr>
      <w:spacing w:line="520" w:lineRule="exact"/>
      <w:ind w:firstLine="64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2442</Words>
  <Characters>2509</Characters>
  <Lines>0</Lines>
  <Paragraphs>0</Paragraphs>
  <TotalTime>0</TotalTime>
  <ScaleCrop>false</ScaleCrop>
  <LinksUpToDate>false</LinksUpToDate>
  <CharactersWithSpaces>3527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2025-11-26T07:24:00Z</dcterms:created>
  <dc:creator>CL</dc:creator>
  <cp:lastModifiedBy>CL</cp:lastModifiedBy>
  <dcterms:modified xsi:type="dcterms:W3CDTF">2026-07-27T01:11:36Z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DABF1CCF01D044A08205CB06EE6C1CD3_11</vt:lpwstr>
  </property>
  <property fmtid="{D5CDD505-2E9C-101B-9397-08002B2CF9AE}" pid="4" name="KSOTemplateDocerSaveRecord">
    <vt:lpwstr>eyJoZGlkIjoiNmRmMTljNGYxMGI1MWU1YzE0NmZmODE3MjAwNjliZTgiLCJ1c2VySWQiOiI5OTA3NTIwNzAifQ==</vt:lpwstr>
  </property>
</Properties>
</file>