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28CA68">
      <w:pPr>
        <w:pageBreakBefore w:val="0"/>
        <w:topLinePunct w:val="0"/>
        <w:bidi w:val="0"/>
        <w:spacing w:line="500" w:lineRule="exact"/>
        <w:ind w:right="0" w:rightChars="0"/>
        <w:rPr>
          <w:rFonts w:hint="eastAsia" w:ascii="宋体" w:hAnsi="宋体" w:cs="宋体"/>
          <w:b/>
          <w:color w:val="auto"/>
          <w:sz w:val="28"/>
          <w:szCs w:val="28"/>
          <w:highlight w:val="none"/>
        </w:rPr>
      </w:pPr>
      <w:r>
        <w:drawing>
          <wp:anchor distT="0" distB="0" distL="114300" distR="114300" simplePos="0" relativeHeight="251677696" behindDoc="1" locked="0" layoutInCell="1" allowOverlap="1">
            <wp:simplePos x="0" y="0"/>
            <wp:positionH relativeFrom="column">
              <wp:posOffset>-8255</wp:posOffset>
            </wp:positionH>
            <wp:positionV relativeFrom="paragraph">
              <wp:posOffset>129540</wp:posOffset>
            </wp:positionV>
            <wp:extent cx="1897380" cy="635000"/>
            <wp:effectExtent l="0" t="0" r="7620" b="12700"/>
            <wp:wrapTight wrapText="bothSides">
              <wp:wrapPolygon>
                <wp:start x="0" y="0"/>
                <wp:lineTo x="0" y="20736"/>
                <wp:lineTo x="21470" y="20736"/>
                <wp:lineTo x="21470" y="0"/>
                <wp:lineTo x="0" y="0"/>
              </wp:wrapPolygon>
            </wp:wrapTight>
            <wp:docPr id="1" name="图片 2" descr="C:\Users\Administrator\Documents\Tencent Files\1193728654\Image\Group\5T`CZLKBO3$S%NBWC)E]YY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Administrator\Documents\Tencent Files\1193728654\Image\Group\5T`CZLKBO3$S%NBWC)E]YY0.png"/>
                    <pic:cNvPicPr>
                      <a:picLocks noChangeAspect="1"/>
                    </pic:cNvPicPr>
                  </pic:nvPicPr>
                  <pic:blipFill>
                    <a:blip r:embed="rId22"/>
                    <a:stretch>
                      <a:fillRect/>
                    </a:stretch>
                  </pic:blipFill>
                  <pic:spPr>
                    <a:xfrm>
                      <a:off x="0" y="0"/>
                      <a:ext cx="1897380" cy="635000"/>
                    </a:xfrm>
                    <a:prstGeom prst="rect">
                      <a:avLst/>
                    </a:prstGeom>
                    <a:noFill/>
                    <a:ln>
                      <a:noFill/>
                    </a:ln>
                  </pic:spPr>
                </pic:pic>
              </a:graphicData>
            </a:graphic>
          </wp:anchor>
        </w:drawing>
      </w:r>
    </w:p>
    <w:p w14:paraId="5EB70BE8">
      <w:pPr>
        <w:pageBreakBefore w:val="0"/>
        <w:topLinePunct w:val="0"/>
        <w:bidi w:val="0"/>
        <w:spacing w:line="500" w:lineRule="exact"/>
        <w:ind w:right="0" w:rightChars="0"/>
        <w:rPr>
          <w:rFonts w:hint="eastAsia" w:ascii="宋体" w:hAnsi="宋体" w:cs="宋体"/>
          <w:b/>
          <w:color w:val="auto"/>
          <w:sz w:val="28"/>
          <w:szCs w:val="28"/>
          <w:highlight w:val="none"/>
        </w:rPr>
      </w:pPr>
    </w:p>
    <w:p w14:paraId="6DD539DC">
      <w:pPr>
        <w:pageBreakBefore w:val="0"/>
        <w:topLinePunct w:val="0"/>
        <w:bidi w:val="0"/>
        <w:spacing w:line="500" w:lineRule="exact"/>
        <w:ind w:right="0" w:rightChars="0"/>
        <w:rPr>
          <w:rFonts w:hint="eastAsia" w:ascii="宋体" w:hAnsi="宋体" w:cs="宋体"/>
          <w:b/>
          <w:color w:val="auto"/>
          <w:sz w:val="28"/>
          <w:szCs w:val="28"/>
          <w:highlight w:val="none"/>
        </w:rPr>
      </w:pPr>
    </w:p>
    <w:p w14:paraId="6DE451B2">
      <w:pPr>
        <w:pageBreakBefore w:val="0"/>
        <w:topLinePunct w:val="0"/>
        <w:bidi w:val="0"/>
        <w:spacing w:line="500" w:lineRule="exact"/>
        <w:ind w:right="0" w:rightChars="0"/>
        <w:rPr>
          <w:rFonts w:hint="eastAsia" w:ascii="宋体" w:hAnsi="宋体" w:cs="宋体"/>
          <w:b/>
          <w:color w:val="auto"/>
          <w:sz w:val="28"/>
          <w:szCs w:val="28"/>
          <w:highlight w:val="none"/>
        </w:rPr>
      </w:pPr>
    </w:p>
    <w:p w14:paraId="2B0F2073">
      <w:pPr>
        <w:pageBreakBefore w:val="0"/>
        <w:topLinePunct w:val="0"/>
        <w:bidi w:val="0"/>
        <w:spacing w:line="500" w:lineRule="exact"/>
        <w:ind w:right="0" w:rightChars="0"/>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rPr>
        <w:t>项目编号：</w:t>
      </w:r>
      <w:r>
        <w:rPr>
          <w:rFonts w:hint="eastAsia" w:cs="宋体"/>
          <w:b/>
          <w:color w:val="auto"/>
          <w:sz w:val="28"/>
          <w:szCs w:val="28"/>
          <w:highlight w:val="none"/>
          <w:lang w:eastAsia="zh-CN"/>
        </w:rPr>
        <w:t>ZKJWCG-20260702</w:t>
      </w:r>
    </w:p>
    <w:p w14:paraId="42505B08">
      <w:pPr>
        <w:pageBreakBefore w:val="0"/>
        <w:topLinePunct w:val="0"/>
        <w:bidi w:val="0"/>
        <w:spacing w:line="500" w:lineRule="exact"/>
        <w:ind w:left="0" w:leftChars="0" w:right="0" w:rightChars="0" w:firstLine="964" w:firstLineChars="200"/>
        <w:jc w:val="both"/>
        <w:rPr>
          <w:rFonts w:hint="eastAsia" w:ascii="宋体" w:hAnsi="宋体" w:cs="宋体"/>
          <w:b/>
          <w:bCs/>
          <w:color w:val="auto"/>
          <w:sz w:val="48"/>
          <w:szCs w:val="48"/>
          <w:highlight w:val="none"/>
        </w:rPr>
      </w:pPr>
    </w:p>
    <w:p w14:paraId="2F9EE574">
      <w:pPr>
        <w:pStyle w:val="12"/>
        <w:rPr>
          <w:rFonts w:hint="eastAsia" w:ascii="宋体" w:hAnsi="宋体" w:cs="宋体"/>
          <w:b/>
          <w:bCs/>
          <w:color w:val="auto"/>
          <w:sz w:val="48"/>
          <w:szCs w:val="48"/>
          <w:highlight w:val="none"/>
        </w:rPr>
      </w:pPr>
    </w:p>
    <w:p w14:paraId="5B330792">
      <w:pPr>
        <w:rPr>
          <w:rFonts w:hint="eastAsia"/>
        </w:rPr>
      </w:pPr>
    </w:p>
    <w:p w14:paraId="4AA02BB5">
      <w:pPr>
        <w:rPr>
          <w:rFonts w:hint="eastAsia"/>
        </w:rPr>
      </w:pPr>
    </w:p>
    <w:p w14:paraId="15ADB7FA">
      <w:pPr>
        <w:pStyle w:val="5"/>
        <w:keepNext/>
        <w:keepLines/>
        <w:pageBreakBefore w:val="0"/>
        <w:widowControl w:val="0"/>
        <w:kinsoku/>
        <w:wordWrap/>
        <w:overflowPunct/>
        <w:topLinePunct w:val="0"/>
        <w:autoSpaceDE/>
        <w:autoSpaceDN/>
        <w:bidi w:val="0"/>
        <w:adjustRightInd/>
        <w:snapToGrid/>
        <w:spacing w:line="500" w:lineRule="exact"/>
        <w:ind w:right="0" w:rightChars="0"/>
        <w:jc w:val="center"/>
        <w:textAlignment w:val="auto"/>
        <w:rPr>
          <w:rFonts w:hint="eastAsia" w:cs="宋体"/>
          <w:b/>
          <w:bCs/>
          <w:color w:val="auto"/>
          <w:sz w:val="44"/>
          <w:szCs w:val="44"/>
          <w:highlight w:val="none"/>
          <w:lang w:val="en-US" w:eastAsia="zh-CN"/>
        </w:rPr>
      </w:pPr>
      <w:r>
        <w:rPr>
          <w:rFonts w:hint="eastAsia" w:cs="宋体"/>
          <w:b/>
          <w:bCs/>
          <w:color w:val="auto"/>
          <w:sz w:val="44"/>
          <w:szCs w:val="44"/>
          <w:highlight w:val="none"/>
          <w:lang w:val="en-US" w:eastAsia="zh-CN"/>
        </w:rPr>
        <w:t>汉滨区2026－2027学年度中小学幼儿园</w:t>
      </w:r>
    </w:p>
    <w:p w14:paraId="05FFFCD5">
      <w:pPr>
        <w:pStyle w:val="5"/>
        <w:keepNext/>
        <w:keepLines/>
        <w:pageBreakBefore w:val="0"/>
        <w:widowControl w:val="0"/>
        <w:kinsoku/>
        <w:wordWrap/>
        <w:overflowPunct/>
        <w:topLinePunct w:val="0"/>
        <w:autoSpaceDE/>
        <w:autoSpaceDN/>
        <w:bidi w:val="0"/>
        <w:adjustRightInd/>
        <w:snapToGrid/>
        <w:spacing w:line="500" w:lineRule="exact"/>
        <w:ind w:right="0" w:rightChars="0"/>
        <w:jc w:val="center"/>
        <w:textAlignment w:val="auto"/>
        <w:rPr>
          <w:rFonts w:hint="eastAsia" w:ascii="宋体" w:hAnsi="宋体" w:cs="宋体"/>
          <w:b/>
          <w:bCs/>
          <w:color w:val="auto"/>
          <w:sz w:val="48"/>
          <w:szCs w:val="48"/>
          <w:highlight w:val="none"/>
          <w:lang w:eastAsia="zh-CN"/>
        </w:rPr>
      </w:pPr>
      <w:r>
        <w:rPr>
          <w:rFonts w:hint="eastAsia" w:cs="宋体"/>
          <w:b/>
          <w:bCs/>
          <w:color w:val="auto"/>
          <w:sz w:val="44"/>
          <w:szCs w:val="44"/>
          <w:highlight w:val="none"/>
          <w:lang w:val="en-US" w:eastAsia="zh-CN"/>
        </w:rPr>
        <w:t>大宗食材及原辅材料配送项目招标采购</w:t>
      </w:r>
      <w:r>
        <w:rPr>
          <w:rFonts w:hint="eastAsia" w:cs="宋体"/>
          <w:b/>
          <w:bCs/>
          <w:color w:val="auto"/>
          <w:sz w:val="48"/>
          <w:szCs w:val="48"/>
          <w:highlight w:val="none"/>
          <w:lang w:eastAsia="zh-CN"/>
        </w:rPr>
        <w:t xml:space="preserve"> </w:t>
      </w:r>
    </w:p>
    <w:p w14:paraId="42C32D74">
      <w:pPr>
        <w:pStyle w:val="12"/>
        <w:pageBreakBefore w:val="0"/>
        <w:topLinePunct w:val="0"/>
        <w:bidi w:val="0"/>
        <w:spacing w:line="500" w:lineRule="exact"/>
        <w:ind w:left="0" w:leftChars="0" w:right="0" w:rightChars="0" w:firstLine="480" w:firstLineChars="200"/>
        <w:rPr>
          <w:rFonts w:hint="eastAsia"/>
          <w:color w:val="auto"/>
          <w:highlight w:val="none"/>
          <w:lang w:eastAsia="zh-CN"/>
        </w:rPr>
      </w:pPr>
    </w:p>
    <w:p w14:paraId="703BD79E">
      <w:pPr>
        <w:pageBreakBefore w:val="0"/>
        <w:topLinePunct w:val="0"/>
        <w:bidi w:val="0"/>
        <w:spacing w:line="500" w:lineRule="exact"/>
        <w:ind w:left="0" w:leftChars="0" w:right="0" w:rightChars="0" w:firstLine="440" w:firstLineChars="200"/>
        <w:rPr>
          <w:rFonts w:hint="eastAsia"/>
          <w:highlight w:val="none"/>
          <w:lang w:eastAsia="zh-CN"/>
        </w:rPr>
      </w:pPr>
    </w:p>
    <w:p w14:paraId="3DB86C3B">
      <w:pPr>
        <w:pStyle w:val="16"/>
        <w:pageBreakBefore w:val="0"/>
        <w:topLinePunct w:val="0"/>
        <w:bidi w:val="0"/>
        <w:spacing w:line="500" w:lineRule="exact"/>
        <w:ind w:left="0" w:leftChars="0" w:right="0" w:rightChars="0" w:firstLine="360" w:firstLineChars="200"/>
        <w:rPr>
          <w:rFonts w:hint="eastAsia"/>
          <w:lang w:eastAsia="zh-CN"/>
        </w:rPr>
      </w:pPr>
    </w:p>
    <w:p w14:paraId="128F2F5F">
      <w:pPr>
        <w:rPr>
          <w:rFonts w:hint="eastAsia"/>
          <w:sz w:val="56"/>
          <w:szCs w:val="56"/>
        </w:rPr>
      </w:pPr>
    </w:p>
    <w:p w14:paraId="0A10C43D">
      <w:pPr>
        <w:rPr>
          <w:rFonts w:hint="eastAsia"/>
          <w:sz w:val="56"/>
          <w:szCs w:val="56"/>
        </w:rPr>
      </w:pPr>
    </w:p>
    <w:p w14:paraId="2A090C79">
      <w:pPr>
        <w:pStyle w:val="5"/>
        <w:bidi w:val="0"/>
        <w:rPr>
          <w:rFonts w:hint="eastAsia"/>
          <w:sz w:val="56"/>
          <w:szCs w:val="56"/>
          <w:lang w:val="en-US" w:eastAsia="zh-CN"/>
        </w:rPr>
      </w:pPr>
      <w:r>
        <w:rPr>
          <w:rFonts w:hint="eastAsia"/>
          <w:sz w:val="56"/>
          <w:szCs w:val="56"/>
          <w:lang w:val="en-US" w:eastAsia="zh-CN"/>
        </w:rPr>
        <w:t>招标文件</w:t>
      </w:r>
    </w:p>
    <w:p w14:paraId="097AC2E8">
      <w:pPr>
        <w:pageBreakBefore w:val="0"/>
        <w:overflowPunct w:val="0"/>
        <w:topLinePunct w:val="0"/>
        <w:bidi w:val="0"/>
        <w:spacing w:line="500" w:lineRule="exact"/>
        <w:ind w:left="0" w:leftChars="0" w:right="0" w:rightChars="0" w:firstLine="960" w:firstLineChars="200"/>
        <w:rPr>
          <w:rFonts w:hint="eastAsia" w:ascii="宋体" w:hAnsi="宋体" w:cs="宋体"/>
          <w:color w:val="auto"/>
          <w:sz w:val="48"/>
          <w:szCs w:val="48"/>
          <w:highlight w:val="none"/>
        </w:rPr>
      </w:pPr>
    </w:p>
    <w:p w14:paraId="28DDE2AA">
      <w:pPr>
        <w:pageBreakBefore w:val="0"/>
        <w:overflowPunct w:val="0"/>
        <w:topLinePunct w:val="0"/>
        <w:bidi w:val="0"/>
        <w:spacing w:line="500" w:lineRule="exact"/>
        <w:ind w:left="0" w:leftChars="0" w:right="0" w:rightChars="0" w:firstLine="440" w:firstLineChars="200"/>
        <w:rPr>
          <w:rFonts w:hint="eastAsia" w:ascii="宋体" w:hAnsi="宋体" w:cs="宋体"/>
          <w:color w:val="auto"/>
          <w:highlight w:val="none"/>
        </w:rPr>
      </w:pPr>
      <w:r>
        <w:rPr>
          <w:rFonts w:hint="eastAsia" w:ascii="宋体" w:hAnsi="宋体" w:cs="宋体"/>
          <w:color w:val="auto"/>
          <w:highlight w:val="none"/>
        </w:rPr>
        <w:t xml:space="preserve"> </w:t>
      </w:r>
    </w:p>
    <w:p w14:paraId="6CFF27CD">
      <w:pPr>
        <w:pageBreakBefore w:val="0"/>
        <w:overflowPunct w:val="0"/>
        <w:topLinePunct w:val="0"/>
        <w:bidi w:val="0"/>
        <w:spacing w:line="500" w:lineRule="exact"/>
        <w:ind w:left="0" w:leftChars="0" w:right="0" w:rightChars="0" w:firstLine="440" w:firstLineChars="200"/>
        <w:rPr>
          <w:rFonts w:hint="eastAsia" w:ascii="宋体" w:hAnsi="宋体" w:cs="宋体"/>
          <w:color w:val="auto"/>
          <w:highlight w:val="none"/>
        </w:rPr>
      </w:pPr>
    </w:p>
    <w:p w14:paraId="2DCC967E">
      <w:pPr>
        <w:pageBreakBefore w:val="0"/>
        <w:topLinePunct w:val="0"/>
        <w:bidi w:val="0"/>
        <w:spacing w:line="500" w:lineRule="exact"/>
        <w:ind w:right="0" w:rightChars="0"/>
        <w:rPr>
          <w:rFonts w:hint="eastAsia"/>
          <w:color w:val="auto"/>
          <w:highlight w:val="none"/>
        </w:rPr>
      </w:pPr>
    </w:p>
    <w:p w14:paraId="74C95671">
      <w:pPr>
        <w:pageBreakBefore w:val="0"/>
        <w:topLinePunct w:val="0"/>
        <w:bidi w:val="0"/>
        <w:spacing w:line="500" w:lineRule="exact"/>
        <w:ind w:right="0" w:rightChars="0"/>
        <w:rPr>
          <w:rFonts w:hint="eastAsia"/>
          <w:color w:val="auto"/>
          <w:highlight w:val="none"/>
        </w:rPr>
      </w:pPr>
    </w:p>
    <w:p w14:paraId="05EA50A6">
      <w:pPr>
        <w:pageBreakBefore w:val="0"/>
        <w:topLinePunct w:val="0"/>
        <w:bidi w:val="0"/>
        <w:spacing w:line="500" w:lineRule="exact"/>
        <w:ind w:right="0" w:rightChars="0"/>
        <w:rPr>
          <w:rFonts w:hint="eastAsia"/>
          <w:highlight w:val="none"/>
        </w:rPr>
      </w:pPr>
    </w:p>
    <w:p w14:paraId="29839558">
      <w:pPr>
        <w:pageBreakBefore w:val="0"/>
        <w:overflowPunct w:val="0"/>
        <w:topLinePunct w:val="0"/>
        <w:bidi w:val="0"/>
        <w:spacing w:line="500" w:lineRule="exact"/>
        <w:ind w:left="0" w:leftChars="0" w:right="0" w:rightChars="0" w:firstLine="643" w:firstLineChars="200"/>
        <w:rPr>
          <w:rFonts w:hint="eastAsia" w:cs="宋体"/>
          <w:b/>
          <w:color w:val="auto"/>
          <w:sz w:val="32"/>
          <w:szCs w:val="32"/>
          <w:highlight w:val="none"/>
          <w:u w:val="none"/>
          <w:lang w:val="en-US" w:eastAsia="zh-CN"/>
        </w:rPr>
      </w:pPr>
      <w:r>
        <w:rPr>
          <w:rFonts w:hint="eastAsia" w:ascii="宋体" w:hAnsi="宋体" w:cs="宋体"/>
          <w:b/>
          <w:color w:val="auto"/>
          <w:sz w:val="32"/>
          <w:szCs w:val="32"/>
          <w:highlight w:val="none"/>
          <w:u w:val="none"/>
          <w:lang w:eastAsia="zh-CN"/>
        </w:rPr>
        <w:t>采</w:t>
      </w:r>
      <w:r>
        <w:rPr>
          <w:rFonts w:hint="eastAsia" w:ascii="宋体" w:hAnsi="宋体" w:cs="宋体"/>
          <w:b/>
          <w:color w:val="auto"/>
          <w:sz w:val="32"/>
          <w:szCs w:val="32"/>
          <w:highlight w:val="none"/>
          <w:u w:val="none"/>
          <w:lang w:val="en-US" w:eastAsia="zh-CN"/>
        </w:rPr>
        <w:t xml:space="preserve"> </w:t>
      </w:r>
      <w:r>
        <w:rPr>
          <w:rFonts w:hint="eastAsia" w:ascii="宋体" w:hAnsi="宋体" w:cs="宋体"/>
          <w:b/>
          <w:color w:val="auto"/>
          <w:sz w:val="32"/>
          <w:szCs w:val="32"/>
          <w:highlight w:val="none"/>
          <w:u w:val="none"/>
          <w:lang w:eastAsia="zh-CN"/>
        </w:rPr>
        <w:t>购</w:t>
      </w:r>
      <w:r>
        <w:rPr>
          <w:rFonts w:hint="eastAsia" w:ascii="宋体" w:hAnsi="宋体" w:cs="宋体"/>
          <w:b/>
          <w:color w:val="auto"/>
          <w:sz w:val="32"/>
          <w:szCs w:val="32"/>
          <w:highlight w:val="none"/>
          <w:u w:val="none"/>
          <w:lang w:val="en-US" w:eastAsia="zh-CN"/>
        </w:rPr>
        <w:t xml:space="preserve"> </w:t>
      </w:r>
      <w:r>
        <w:rPr>
          <w:rFonts w:hint="eastAsia" w:ascii="宋体" w:hAnsi="宋体" w:cs="宋体"/>
          <w:b/>
          <w:color w:val="auto"/>
          <w:sz w:val="32"/>
          <w:szCs w:val="32"/>
          <w:highlight w:val="none"/>
          <w:u w:val="none"/>
          <w:lang w:eastAsia="zh-CN"/>
        </w:rPr>
        <w:t>人</w:t>
      </w:r>
      <w:r>
        <w:rPr>
          <w:rFonts w:hint="eastAsia" w:ascii="宋体" w:hAnsi="宋体" w:cs="宋体"/>
          <w:b/>
          <w:color w:val="auto"/>
          <w:sz w:val="32"/>
          <w:szCs w:val="32"/>
          <w:highlight w:val="none"/>
          <w:u w:val="none"/>
        </w:rPr>
        <w:t>：</w:t>
      </w:r>
      <w:r>
        <w:rPr>
          <w:rFonts w:hint="eastAsia" w:ascii="宋体" w:hAnsi="宋体" w:cs="宋体"/>
          <w:b/>
          <w:color w:val="auto"/>
          <w:sz w:val="32"/>
          <w:szCs w:val="32"/>
          <w:highlight w:val="none"/>
          <w:u w:val="none"/>
          <w:lang w:val="en-US" w:eastAsia="zh-CN"/>
        </w:rPr>
        <w:t>汉滨区教育体育局</w:t>
      </w:r>
      <w:r>
        <w:rPr>
          <w:rFonts w:hint="eastAsia" w:cs="宋体"/>
          <w:b/>
          <w:color w:val="auto"/>
          <w:sz w:val="32"/>
          <w:szCs w:val="32"/>
          <w:highlight w:val="none"/>
          <w:u w:val="none"/>
          <w:lang w:val="en-US" w:eastAsia="zh-CN"/>
        </w:rPr>
        <w:t>（盖章）</w:t>
      </w:r>
    </w:p>
    <w:p w14:paraId="37D322C9">
      <w:pPr>
        <w:pageBreakBefore w:val="0"/>
        <w:overflowPunct w:val="0"/>
        <w:topLinePunct w:val="0"/>
        <w:bidi w:val="0"/>
        <w:spacing w:line="500" w:lineRule="exact"/>
        <w:ind w:left="0" w:leftChars="0" w:right="0" w:rightChars="0" w:firstLine="643" w:firstLineChars="200"/>
        <w:rPr>
          <w:rFonts w:hint="eastAsia" w:cs="宋体"/>
          <w:b/>
          <w:color w:val="auto"/>
          <w:sz w:val="32"/>
          <w:szCs w:val="32"/>
          <w:highlight w:val="none"/>
          <w:u w:val="none"/>
          <w:lang w:eastAsia="zh-CN"/>
        </w:rPr>
      </w:pPr>
      <w:r>
        <w:rPr>
          <w:rFonts w:hint="eastAsia" w:ascii="宋体" w:hAnsi="宋体" w:cs="宋体"/>
          <w:b/>
          <w:color w:val="auto"/>
          <w:sz w:val="32"/>
          <w:szCs w:val="32"/>
          <w:highlight w:val="none"/>
          <w:u w:val="none"/>
        </w:rPr>
        <w:t>代理机构：</w:t>
      </w:r>
      <w:r>
        <w:rPr>
          <w:rFonts w:hint="eastAsia" w:cs="宋体"/>
          <w:b/>
          <w:color w:val="auto"/>
          <w:sz w:val="32"/>
          <w:szCs w:val="32"/>
          <w:highlight w:val="none"/>
          <w:u w:val="none"/>
          <w:lang w:eastAsia="zh-CN"/>
        </w:rPr>
        <w:t>中科经纬工程技术有限公司（盖章）</w:t>
      </w:r>
    </w:p>
    <w:p w14:paraId="740B8453">
      <w:pPr>
        <w:pageBreakBefore w:val="0"/>
        <w:overflowPunct w:val="0"/>
        <w:topLinePunct w:val="0"/>
        <w:bidi w:val="0"/>
        <w:spacing w:line="500" w:lineRule="exact"/>
        <w:ind w:left="0" w:leftChars="0" w:right="0" w:rightChars="0" w:firstLine="643" w:firstLineChars="200"/>
        <w:rPr>
          <w:rFonts w:hint="default" w:ascii="宋体" w:hAnsi="宋体" w:eastAsia="宋体" w:cs="宋体"/>
          <w:b/>
          <w:color w:val="auto"/>
          <w:sz w:val="32"/>
          <w:szCs w:val="32"/>
          <w:highlight w:val="none"/>
          <w:u w:val="none"/>
          <w:lang w:val="en-US" w:eastAsia="zh-CN"/>
        </w:rPr>
        <w:sectPr>
          <w:footerReference r:id="rId5" w:type="first"/>
          <w:headerReference r:id="rId3" w:type="default"/>
          <w:footerReference r:id="rId4" w:type="default"/>
          <w:pgSz w:w="11906" w:h="16838"/>
          <w:pgMar w:top="1327" w:right="1800" w:bottom="1440" w:left="1633" w:header="851" w:footer="992" w:gutter="0"/>
          <w:pgNumType w:fmt="decimal" w:start="1"/>
          <w:cols w:space="720" w:num="1"/>
          <w:docGrid w:type="lines" w:linePitch="312" w:charSpace="0"/>
        </w:sectPr>
      </w:pPr>
      <w:r>
        <w:rPr>
          <w:rFonts w:hint="eastAsia" w:ascii="宋体" w:hAnsi="宋体" w:cs="宋体"/>
          <w:b/>
          <w:color w:val="auto"/>
          <w:sz w:val="32"/>
          <w:szCs w:val="32"/>
          <w:highlight w:val="none"/>
          <w:u w:val="none"/>
        </w:rPr>
        <w:t>时    间：</w:t>
      </w:r>
      <w:r>
        <w:rPr>
          <w:rFonts w:hint="eastAsia" w:ascii="宋体" w:hAnsi="宋体" w:cs="宋体"/>
          <w:b/>
          <w:color w:val="auto"/>
          <w:sz w:val="32"/>
          <w:szCs w:val="32"/>
          <w:highlight w:val="none"/>
          <w:u w:val="none"/>
          <w:lang w:val="en-US" w:eastAsia="zh-CN"/>
        </w:rPr>
        <w:t>二零二</w:t>
      </w:r>
      <w:r>
        <w:rPr>
          <w:rFonts w:hint="eastAsia" w:cs="宋体"/>
          <w:b/>
          <w:color w:val="auto"/>
          <w:sz w:val="32"/>
          <w:szCs w:val="32"/>
          <w:highlight w:val="none"/>
          <w:u w:val="none"/>
          <w:lang w:val="en-US" w:eastAsia="zh-CN"/>
        </w:rPr>
        <w:t>六</w:t>
      </w:r>
      <w:r>
        <w:rPr>
          <w:rFonts w:hint="eastAsia" w:ascii="宋体" w:hAnsi="宋体" w:cs="宋体"/>
          <w:b/>
          <w:color w:val="auto"/>
          <w:sz w:val="32"/>
          <w:szCs w:val="32"/>
          <w:highlight w:val="none"/>
          <w:u w:val="none"/>
          <w:lang w:val="en-US" w:eastAsia="zh-CN"/>
        </w:rPr>
        <w:t>年</w:t>
      </w:r>
      <w:r>
        <w:rPr>
          <w:rFonts w:hint="eastAsia" w:cs="宋体"/>
          <w:b/>
          <w:color w:val="auto"/>
          <w:sz w:val="32"/>
          <w:szCs w:val="32"/>
          <w:highlight w:val="none"/>
          <w:u w:val="none"/>
          <w:lang w:val="en-US" w:eastAsia="zh-CN"/>
        </w:rPr>
        <w:t>七</w:t>
      </w:r>
      <w:r>
        <w:rPr>
          <w:rFonts w:hint="eastAsia" w:ascii="宋体" w:hAnsi="宋体" w:cs="宋体"/>
          <w:b/>
          <w:color w:val="auto"/>
          <w:sz w:val="32"/>
          <w:szCs w:val="32"/>
          <w:highlight w:val="none"/>
          <w:u w:val="none"/>
          <w:lang w:val="en-US" w:eastAsia="zh-CN"/>
        </w:rPr>
        <w:t>月</w:t>
      </w:r>
      <w:r>
        <w:rPr>
          <w:rFonts w:hint="eastAsia" w:cs="宋体"/>
          <w:b/>
          <w:color w:val="auto"/>
          <w:sz w:val="32"/>
          <w:szCs w:val="32"/>
          <w:highlight w:val="none"/>
          <w:u w:val="none"/>
          <w:lang w:val="en-US" w:eastAsia="zh-CN"/>
        </w:rPr>
        <w:t xml:space="preserve"> </w:t>
      </w:r>
      <w:r>
        <w:rPr>
          <w:rFonts w:hint="eastAsia" w:cs="宋体"/>
          <w:b/>
          <w:color w:val="0000FF"/>
          <w:sz w:val="32"/>
          <w:szCs w:val="32"/>
          <w:highlight w:val="none"/>
          <w:u w:val="none"/>
          <w:lang w:val="en-US" w:eastAsia="zh-CN"/>
        </w:rPr>
        <w:t xml:space="preserve">       </w:t>
      </w:r>
    </w:p>
    <w:p w14:paraId="58A78D1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val="en-US" w:eastAsia="zh-CN"/>
        </w:rPr>
        <w:t>特别提醒</w:t>
      </w:r>
      <w:r>
        <w:rPr>
          <w:rFonts w:hint="eastAsia" w:ascii="宋体" w:hAnsi="宋体" w:eastAsia="宋体" w:cs="宋体"/>
          <w:b w:val="0"/>
          <w:bCs w:val="0"/>
          <w:color w:val="auto"/>
          <w:sz w:val="28"/>
          <w:szCs w:val="28"/>
          <w:highlight w:val="none"/>
          <w:lang w:eastAsia="zh-CN"/>
        </w:rPr>
        <w:tab/>
      </w:r>
    </w:p>
    <w:p w14:paraId="4573065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 xml:space="preserve">本项目采用电子化投标的方式投标，供应商须使用数字认证证书（CA 锁）对电子投标文件进行签章、加密、递交及开标时解密等相关招投标事宜。开标时供应商须携带数字认证证书（CA 锁），如因供应商自身原因未携带数字认证证书（CA 锁）造成无法解密投标文件，按无效投标对待。 </w:t>
      </w:r>
    </w:p>
    <w:p w14:paraId="0E33778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2</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 xml:space="preserve">制作电子投标文件 </w:t>
      </w:r>
    </w:p>
    <w:p w14:paraId="088C38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投 标 供 应 商 须 在 “ 全 国 公 共 资 源 交 易 中 心 平 台 （ 陕 西 省 ）（http://www.sxggzyjy.cn</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”的“服务指南”栏目“下载专区”中，免费下载“陕西省公共资源交易平台政府采购电子标书制作工具</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V8.0.0.2</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”，并升级至最新版本，使用该客户端制作电子投标文件，制作扩展名为</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SXSTF”的电子投标文件。</w:t>
      </w:r>
    </w:p>
    <w:p w14:paraId="2956BE2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3</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 xml:space="preserve">递交电子投标文件 </w:t>
      </w:r>
    </w:p>
    <w:p w14:paraId="60CA2CB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登录全国公共资源交易中心平台（陕西省）（http://www.sxggzyjy.cn</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 选择“电子交易平台—陕西政府采购交易系统—企业端”进行登录，登录后选择“交易乙方”身份进入，进入菜单“采购业务—我的项目——项目流程——上传响应文件”，上传加密的电子投标文件。上传成功后，电子化平台将予以记录。</w:t>
      </w:r>
    </w:p>
    <w:p w14:paraId="63150CA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4</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不见面开标系统：打开登录页面网址选择点击右上角“登录”，在左侧选择“投标人”身份，登录地区选择“安康市不见面开标”插入CA锁登录，输入密码后，点击“登录”（http://219.145.206.209/BidOpeningHall/bidopeninghallaction/hall/login）。投标人登录之后可以看到当前投标人今日开标项目；选择要开标的项目，点击进入，页面首先阅读开标流程，点击“我已阅读”进入开标大厅，点击“取消”返回项目列表页面。</w:t>
      </w:r>
    </w:p>
    <w:p w14:paraId="42CEC8F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5</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开标签到投标人等待开标时需要签到，等候开标。请在开标前完成签到，开标时间到了之后就不能签到；点击页面上“签到”按钮进行签到，开标前10分钟可以签到。签到成功之后，按钮灰化，无需再次签到，同时第一个座位图右下角出现绿色√；</w:t>
      </w:r>
    </w:p>
    <w:p w14:paraId="64529F2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6</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注意事项</w:t>
      </w:r>
    </w:p>
    <w:p w14:paraId="2F8B9E7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1）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w:t>
      </w:r>
      <w:r>
        <w:rPr>
          <w:rFonts w:hint="eastAsia" w:cs="宋体"/>
          <w:b w:val="0"/>
          <w:bCs w:val="0"/>
          <w:color w:val="auto"/>
          <w:sz w:val="28"/>
          <w:szCs w:val="28"/>
          <w:highlight w:val="none"/>
          <w:lang w:val="en-US" w:eastAsia="zh-CN"/>
        </w:rPr>
        <w:t>新</w:t>
      </w:r>
      <w:r>
        <w:rPr>
          <w:rFonts w:hint="eastAsia" w:ascii="宋体" w:hAnsi="宋体" w:eastAsia="宋体" w:cs="宋体"/>
          <w:b w:val="0"/>
          <w:bCs w:val="0"/>
          <w:color w:val="auto"/>
          <w:sz w:val="28"/>
          <w:szCs w:val="28"/>
          <w:highlight w:val="none"/>
          <w:lang w:val="en-US" w:eastAsia="zh-CN"/>
        </w:rPr>
        <w:t>播放器，以便观看远程不见面开标直播画面。</w:t>
      </w:r>
    </w:p>
    <w:p w14:paraId="2415A76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（2）建议投标人在开标前半小时登录不见面开标大厅，并及时签到（开标前60分钟即可签到），遇到问题及时联系客服4009280095。</w:t>
      </w:r>
    </w:p>
    <w:p w14:paraId="6F9109B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（3）投标人需注意CA锁一定要提前准备好，并确保CA锁为制作投标文件的CA锁。</w:t>
      </w:r>
    </w:p>
    <w:p w14:paraId="5018DE4B">
      <w:pPr>
        <w:pageBreakBefore w:val="0"/>
        <w:kinsoku/>
        <w:wordWrap/>
        <w:overflowPunct/>
        <w:topLinePunct w:val="0"/>
        <w:bidi w:val="0"/>
        <w:spacing w:line="360" w:lineRule="auto"/>
        <w:ind w:firstLine="560" w:firstLineChars="200"/>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（4）及时关注右侧公告及互动栏目信息。</w:t>
      </w:r>
    </w:p>
    <w:p w14:paraId="0C8FDDE1">
      <w:pPr>
        <w:pageBreakBefore w:val="0"/>
        <w:tabs>
          <w:tab w:val="left" w:pos="719"/>
        </w:tabs>
        <w:topLinePunct w:val="0"/>
        <w:bidi w:val="0"/>
        <w:spacing w:line="500" w:lineRule="exact"/>
        <w:ind w:left="0" w:leftChars="0" w:right="0" w:rightChars="0" w:firstLine="560" w:firstLineChars="200"/>
        <w:jc w:val="center"/>
        <w:rPr>
          <w:b w:val="0"/>
          <w:bCs w:val="0"/>
          <w:sz w:val="28"/>
          <w:szCs w:val="28"/>
        </w:rPr>
      </w:pPr>
    </w:p>
    <w:p w14:paraId="55D8045C">
      <w:pPr>
        <w:pStyle w:val="12"/>
        <w:rPr>
          <w:b/>
          <w:sz w:val="36"/>
        </w:rPr>
      </w:pPr>
    </w:p>
    <w:p w14:paraId="5932F30A">
      <w:pPr>
        <w:rPr>
          <w:b/>
          <w:sz w:val="36"/>
        </w:rPr>
      </w:pPr>
    </w:p>
    <w:p w14:paraId="3453126D">
      <w:pPr>
        <w:pStyle w:val="12"/>
        <w:rPr>
          <w:b/>
          <w:sz w:val="36"/>
        </w:rPr>
      </w:pPr>
    </w:p>
    <w:p w14:paraId="0FC28DE7">
      <w:pPr>
        <w:rPr>
          <w:b/>
          <w:sz w:val="36"/>
        </w:rPr>
      </w:pPr>
    </w:p>
    <w:p w14:paraId="30B0352B">
      <w:pPr>
        <w:pStyle w:val="12"/>
        <w:rPr>
          <w:b/>
          <w:sz w:val="36"/>
        </w:rPr>
      </w:pPr>
    </w:p>
    <w:p w14:paraId="766F79C1">
      <w:pPr>
        <w:rPr>
          <w:b/>
          <w:sz w:val="36"/>
        </w:rPr>
      </w:pPr>
    </w:p>
    <w:p w14:paraId="1F2E2EED">
      <w:pPr>
        <w:pStyle w:val="12"/>
        <w:rPr>
          <w:b/>
          <w:sz w:val="36"/>
        </w:rPr>
      </w:pPr>
    </w:p>
    <w:p w14:paraId="641B5EEC">
      <w:pPr>
        <w:rPr>
          <w:b/>
          <w:sz w:val="36"/>
        </w:rPr>
      </w:pPr>
    </w:p>
    <w:p w14:paraId="0032F444">
      <w:pPr>
        <w:pStyle w:val="12"/>
        <w:rPr>
          <w:b/>
          <w:sz w:val="36"/>
        </w:rPr>
      </w:pPr>
    </w:p>
    <w:p w14:paraId="100453A9">
      <w:pPr>
        <w:rPr>
          <w:b/>
          <w:sz w:val="36"/>
        </w:rPr>
      </w:pPr>
    </w:p>
    <w:p w14:paraId="5FE0D42F">
      <w:pPr>
        <w:pStyle w:val="12"/>
        <w:rPr>
          <w:b/>
          <w:sz w:val="36"/>
        </w:rPr>
      </w:pPr>
    </w:p>
    <w:p w14:paraId="03BDC0A9">
      <w:pPr>
        <w:pageBreakBefore w:val="0"/>
        <w:tabs>
          <w:tab w:val="left" w:pos="719"/>
        </w:tabs>
        <w:topLinePunct w:val="0"/>
        <w:bidi w:val="0"/>
        <w:spacing w:line="500" w:lineRule="exact"/>
        <w:ind w:left="0" w:leftChars="0" w:right="0" w:rightChars="0" w:firstLine="723" w:firstLineChars="200"/>
        <w:jc w:val="center"/>
        <w:rPr>
          <w:b/>
          <w:sz w:val="36"/>
        </w:rPr>
        <w:sectPr>
          <w:headerReference r:id="rId6" w:type="default"/>
          <w:footerReference r:id="rId7" w:type="default"/>
          <w:pgSz w:w="11910" w:h="16840"/>
          <w:pgMar w:top="1440" w:right="1080" w:bottom="1383" w:left="1080" w:header="0" w:footer="0" w:gutter="0"/>
          <w:pgNumType w:fmt="decimal" w:start="1"/>
          <w:cols w:space="720" w:num="1"/>
        </w:sectPr>
      </w:pPr>
    </w:p>
    <w:p w14:paraId="142C9C4E">
      <w:pPr>
        <w:pageBreakBefore w:val="0"/>
        <w:tabs>
          <w:tab w:val="left" w:pos="719"/>
        </w:tabs>
        <w:topLinePunct w:val="0"/>
        <w:bidi w:val="0"/>
        <w:spacing w:line="500" w:lineRule="exact"/>
        <w:ind w:right="0" w:rightChars="0"/>
        <w:jc w:val="both"/>
        <w:rPr>
          <w:b/>
          <w:sz w:val="36"/>
        </w:rPr>
      </w:pPr>
    </w:p>
    <w:p w14:paraId="54B7D2AE">
      <w:pPr>
        <w:pageBreakBefore w:val="0"/>
        <w:tabs>
          <w:tab w:val="left" w:pos="719"/>
        </w:tabs>
        <w:topLinePunct w:val="0"/>
        <w:bidi w:val="0"/>
        <w:spacing w:line="500" w:lineRule="exact"/>
        <w:ind w:left="0" w:leftChars="0" w:right="0" w:rightChars="0" w:firstLine="723" w:firstLineChars="200"/>
        <w:jc w:val="center"/>
        <w:outlineLvl w:val="0"/>
        <w:rPr>
          <w:b/>
          <w:sz w:val="36"/>
        </w:rPr>
      </w:pPr>
      <w:r>
        <w:rPr>
          <w:b/>
          <w:sz w:val="36"/>
        </w:rPr>
        <w:t>目</w:t>
      </w:r>
      <w:r>
        <w:rPr>
          <w:b/>
          <w:sz w:val="36"/>
        </w:rPr>
        <w:tab/>
      </w:r>
      <w:r>
        <w:rPr>
          <w:b/>
          <w:sz w:val="36"/>
        </w:rPr>
        <w:t>录</w:t>
      </w:r>
    </w:p>
    <w:p w14:paraId="79838E41">
      <w:pPr>
        <w:pageBreakBefore w:val="0"/>
        <w:topLinePunct w:val="0"/>
        <w:bidi w:val="0"/>
        <w:spacing w:line="500" w:lineRule="exact"/>
        <w:ind w:left="0" w:leftChars="0" w:right="0" w:rightChars="0" w:firstLine="440" w:firstLineChars="200"/>
      </w:pPr>
      <w:r>
        <w:fldChar w:fldCharType="begin"/>
      </w:r>
      <w:r>
        <w:instrText xml:space="preserve">TOC \o "1-1" \h \z \u </w:instrText>
      </w:r>
      <w:r>
        <w:fldChar w:fldCharType="separate"/>
      </w:r>
    </w:p>
    <w:p w14:paraId="70866572">
      <w:pPr>
        <w:pStyle w:val="18"/>
        <w:pageBreakBefore w:val="0"/>
        <w:tabs>
          <w:tab w:val="right" w:leader="dot" w:pos="8641"/>
        </w:tabs>
        <w:topLinePunct w:val="0"/>
        <w:bidi w:val="0"/>
        <w:spacing w:before="0" w:line="500" w:lineRule="exact"/>
        <w:ind w:left="0" w:leftChars="0" w:right="0" w:rightChars="0" w:firstLine="560" w:firstLineChars="200"/>
      </w:pPr>
      <w:r>
        <w:fldChar w:fldCharType="end"/>
      </w:r>
    </w:p>
    <w:p w14:paraId="35765C6C">
      <w:pPr>
        <w:pStyle w:val="18"/>
        <w:pageBreakBefore w:val="0"/>
        <w:tabs>
          <w:tab w:val="right" w:leader="dot" w:pos="9750"/>
        </w:tabs>
        <w:topLinePunct w:val="0"/>
        <w:bidi w:val="0"/>
        <w:spacing w:before="0" w:line="600" w:lineRule="auto"/>
        <w:ind w:left="0" w:leftChars="0" w:right="0" w:rightChars="0" w:firstLine="562" w:firstLineChars="200"/>
        <w:jc w:val="left"/>
        <w:outlineLvl w:val="1"/>
        <w:rPr>
          <w:rFonts w:hint="default"/>
          <w:b/>
          <w:bCs/>
          <w:color w:val="auto"/>
          <w:lang w:val="en-US" w:eastAsia="zh-CN"/>
        </w:rPr>
      </w:pPr>
      <w:r>
        <w:rPr>
          <w:b/>
          <w:bCs/>
          <w:color w:val="auto"/>
        </w:rPr>
        <w:fldChar w:fldCharType="begin"/>
      </w:r>
      <w:r>
        <w:rPr>
          <w:b/>
          <w:bCs/>
          <w:color w:val="auto"/>
        </w:rPr>
        <w:instrText xml:space="preserve"> HYPERLINK \l "_Toc12699" </w:instrText>
      </w:r>
      <w:r>
        <w:rPr>
          <w:b/>
          <w:bCs/>
          <w:color w:val="auto"/>
        </w:rPr>
        <w:fldChar w:fldCharType="separate"/>
      </w:r>
      <w:r>
        <w:rPr>
          <w:b/>
          <w:bCs/>
          <w:color w:val="auto"/>
        </w:rPr>
        <w:t>第一章 招标公告</w:t>
      </w:r>
      <w:r>
        <w:rPr>
          <w:b/>
          <w:bCs/>
          <w:color w:val="auto"/>
        </w:rPr>
        <w:fldChar w:fldCharType="end"/>
      </w:r>
      <w:r>
        <w:rPr>
          <w:rFonts w:hint="eastAsia"/>
          <w:b/>
          <w:bCs/>
          <w:color w:val="auto"/>
          <w:lang w:val="en-US" w:eastAsia="zh-CN"/>
        </w:rPr>
        <w:t>.......................................-1-</w:t>
      </w:r>
    </w:p>
    <w:p w14:paraId="29EF20FD">
      <w:pPr>
        <w:pStyle w:val="18"/>
        <w:pageBreakBefore w:val="0"/>
        <w:tabs>
          <w:tab w:val="right" w:leader="dot" w:pos="9750"/>
        </w:tabs>
        <w:topLinePunct w:val="0"/>
        <w:bidi w:val="0"/>
        <w:spacing w:before="0" w:line="600" w:lineRule="auto"/>
        <w:ind w:left="0" w:leftChars="0" w:right="0" w:rightChars="0" w:firstLine="562" w:firstLineChars="200"/>
        <w:jc w:val="left"/>
        <w:outlineLvl w:val="1"/>
        <w:rPr>
          <w:rFonts w:hint="default" w:eastAsia="宋体"/>
          <w:b/>
          <w:bCs/>
          <w:color w:val="auto"/>
          <w:lang w:val="en-US" w:eastAsia="zh-CN"/>
        </w:rPr>
      </w:pPr>
      <w:r>
        <w:rPr>
          <w:b/>
          <w:bCs/>
          <w:color w:val="auto"/>
        </w:rPr>
        <w:fldChar w:fldCharType="begin"/>
      </w:r>
      <w:r>
        <w:rPr>
          <w:b/>
          <w:bCs/>
          <w:color w:val="auto"/>
        </w:rPr>
        <w:instrText xml:space="preserve"> HYPERLINK \l "_Toc25930" </w:instrText>
      </w:r>
      <w:r>
        <w:rPr>
          <w:b/>
          <w:bCs/>
          <w:color w:val="auto"/>
        </w:rPr>
        <w:fldChar w:fldCharType="separate"/>
      </w:r>
      <w:r>
        <w:rPr>
          <w:b/>
          <w:bCs/>
          <w:color w:val="auto"/>
        </w:rPr>
        <w:t>第二章 投标须知</w:t>
      </w:r>
      <w:r>
        <w:rPr>
          <w:b/>
          <w:bCs/>
          <w:color w:val="auto"/>
        </w:rPr>
        <w:fldChar w:fldCharType="end"/>
      </w:r>
      <w:r>
        <w:rPr>
          <w:rFonts w:hint="eastAsia"/>
          <w:b/>
          <w:bCs/>
          <w:color w:val="auto"/>
          <w:lang w:val="en-US" w:eastAsia="zh-CN"/>
        </w:rPr>
        <w:t>.......................................-12-</w:t>
      </w:r>
    </w:p>
    <w:p w14:paraId="58FB6378">
      <w:pPr>
        <w:pStyle w:val="18"/>
        <w:pageBreakBefore w:val="0"/>
        <w:tabs>
          <w:tab w:val="right" w:leader="dot" w:pos="9750"/>
        </w:tabs>
        <w:topLinePunct w:val="0"/>
        <w:bidi w:val="0"/>
        <w:spacing w:before="0" w:line="600" w:lineRule="auto"/>
        <w:ind w:left="0" w:leftChars="0" w:right="0" w:rightChars="0" w:firstLine="562" w:firstLineChars="200"/>
        <w:jc w:val="left"/>
        <w:outlineLvl w:val="1"/>
        <w:rPr>
          <w:rFonts w:hint="default" w:eastAsia="宋体"/>
          <w:b/>
          <w:bCs/>
          <w:color w:val="auto"/>
          <w:lang w:val="en-US" w:eastAsia="zh-CN"/>
        </w:rPr>
      </w:pPr>
      <w:r>
        <w:rPr>
          <w:b/>
          <w:bCs/>
          <w:color w:val="auto"/>
        </w:rPr>
        <w:fldChar w:fldCharType="begin"/>
      </w:r>
      <w:r>
        <w:rPr>
          <w:b/>
          <w:bCs/>
          <w:color w:val="auto"/>
        </w:rPr>
        <w:instrText xml:space="preserve"> HYPERLINK \l "_Toc11399" </w:instrText>
      </w:r>
      <w:r>
        <w:rPr>
          <w:b/>
          <w:bCs/>
          <w:color w:val="auto"/>
        </w:rPr>
        <w:fldChar w:fldCharType="separate"/>
      </w:r>
      <w:r>
        <w:rPr>
          <w:b/>
          <w:bCs/>
          <w:color w:val="auto"/>
        </w:rPr>
        <w:t>第三章 招标采购内容及服务要求</w:t>
      </w:r>
      <w:r>
        <w:rPr>
          <w:b/>
          <w:bCs/>
          <w:color w:val="auto"/>
        </w:rPr>
        <w:fldChar w:fldCharType="end"/>
      </w:r>
      <w:r>
        <w:rPr>
          <w:rFonts w:hint="eastAsia"/>
          <w:b/>
          <w:bCs/>
          <w:color w:val="auto"/>
          <w:lang w:val="en-US" w:eastAsia="zh-CN"/>
        </w:rPr>
        <w:t>.........................-66-</w:t>
      </w:r>
    </w:p>
    <w:p w14:paraId="0AD662C3">
      <w:pPr>
        <w:pStyle w:val="18"/>
        <w:pageBreakBefore w:val="0"/>
        <w:tabs>
          <w:tab w:val="right" w:leader="dot" w:pos="9750"/>
        </w:tabs>
        <w:topLinePunct w:val="0"/>
        <w:bidi w:val="0"/>
        <w:spacing w:before="0" w:line="600" w:lineRule="auto"/>
        <w:ind w:left="0" w:leftChars="0" w:right="0" w:rightChars="0" w:firstLine="562" w:firstLineChars="200"/>
        <w:jc w:val="left"/>
        <w:outlineLvl w:val="1"/>
        <w:rPr>
          <w:rFonts w:hint="default" w:eastAsia="宋体"/>
          <w:b/>
          <w:bCs/>
          <w:color w:val="auto"/>
          <w:lang w:val="en-US" w:eastAsia="zh-CN"/>
        </w:rPr>
      </w:pPr>
      <w:r>
        <w:rPr>
          <w:b/>
          <w:bCs/>
          <w:color w:val="auto"/>
        </w:rPr>
        <w:fldChar w:fldCharType="begin"/>
      </w:r>
      <w:r>
        <w:rPr>
          <w:b/>
          <w:bCs/>
          <w:color w:val="auto"/>
        </w:rPr>
        <w:instrText xml:space="preserve"> HYPERLINK \l "_Toc11111" </w:instrText>
      </w:r>
      <w:r>
        <w:rPr>
          <w:b/>
          <w:bCs/>
          <w:color w:val="auto"/>
        </w:rPr>
        <w:fldChar w:fldCharType="separate"/>
      </w:r>
      <w:r>
        <w:rPr>
          <w:rFonts w:hint="eastAsia"/>
          <w:b/>
          <w:bCs/>
          <w:color w:val="auto"/>
        </w:rPr>
        <w:t xml:space="preserve">第四章 </w:t>
      </w:r>
      <w:r>
        <w:rPr>
          <w:b/>
          <w:bCs/>
          <w:color w:val="auto"/>
        </w:rPr>
        <w:t>商务要求</w:t>
      </w:r>
      <w:r>
        <w:rPr>
          <w:b/>
          <w:bCs/>
          <w:color w:val="auto"/>
        </w:rPr>
        <w:fldChar w:fldCharType="end"/>
      </w:r>
      <w:r>
        <w:rPr>
          <w:rFonts w:hint="eastAsia"/>
          <w:b/>
          <w:bCs/>
          <w:color w:val="auto"/>
          <w:lang w:val="en-US" w:eastAsia="zh-CN"/>
        </w:rPr>
        <w:t>.......................................-88-</w:t>
      </w:r>
    </w:p>
    <w:p w14:paraId="3E7EF13C">
      <w:pPr>
        <w:pStyle w:val="18"/>
        <w:pageBreakBefore w:val="0"/>
        <w:tabs>
          <w:tab w:val="right" w:leader="dot" w:pos="9750"/>
        </w:tabs>
        <w:topLinePunct w:val="0"/>
        <w:bidi w:val="0"/>
        <w:spacing w:before="0" w:line="600" w:lineRule="auto"/>
        <w:ind w:left="0" w:leftChars="0" w:right="0" w:rightChars="0" w:firstLine="562" w:firstLineChars="200"/>
        <w:jc w:val="left"/>
        <w:outlineLvl w:val="1"/>
        <w:rPr>
          <w:rFonts w:hint="default" w:eastAsia="宋体"/>
          <w:b/>
          <w:bCs/>
          <w:color w:val="auto"/>
          <w:lang w:val="en-US" w:eastAsia="zh-CN"/>
        </w:rPr>
      </w:pPr>
      <w:r>
        <w:rPr>
          <w:b/>
          <w:bCs/>
          <w:color w:val="auto"/>
        </w:rPr>
        <w:fldChar w:fldCharType="begin"/>
      </w:r>
      <w:r>
        <w:rPr>
          <w:b/>
          <w:bCs/>
          <w:color w:val="auto"/>
        </w:rPr>
        <w:instrText xml:space="preserve"> HYPERLINK \l "_Toc11111" </w:instrText>
      </w:r>
      <w:r>
        <w:rPr>
          <w:b/>
          <w:bCs/>
          <w:color w:val="auto"/>
        </w:rPr>
        <w:fldChar w:fldCharType="separate"/>
      </w:r>
      <w:r>
        <w:rPr>
          <w:rFonts w:hint="eastAsia"/>
          <w:b/>
          <w:bCs/>
          <w:color w:val="auto"/>
        </w:rPr>
        <w:t>第</w:t>
      </w:r>
      <w:r>
        <w:rPr>
          <w:rFonts w:hint="eastAsia"/>
          <w:b/>
          <w:bCs/>
          <w:color w:val="auto"/>
          <w:lang w:val="en-US"/>
        </w:rPr>
        <w:t>五</w:t>
      </w:r>
      <w:r>
        <w:rPr>
          <w:rFonts w:hint="eastAsia"/>
          <w:b/>
          <w:bCs/>
          <w:color w:val="auto"/>
        </w:rPr>
        <w:t xml:space="preserve">章 </w:t>
      </w:r>
      <w:r>
        <w:rPr>
          <w:rFonts w:hint="eastAsia"/>
          <w:b/>
          <w:bCs/>
          <w:color w:val="auto"/>
          <w:lang w:val="en-US"/>
        </w:rPr>
        <w:t>合同主要条款（仅供参考）</w:t>
      </w:r>
      <w:r>
        <w:rPr>
          <w:rFonts w:hint="eastAsia"/>
          <w:b/>
          <w:bCs/>
          <w:color w:val="auto"/>
          <w:lang w:val="en-US"/>
        </w:rPr>
        <w:fldChar w:fldCharType="end"/>
      </w:r>
      <w:r>
        <w:rPr>
          <w:rFonts w:hint="eastAsia"/>
          <w:b/>
          <w:bCs/>
          <w:color w:val="auto"/>
          <w:lang w:val="en-US" w:eastAsia="zh-CN"/>
        </w:rPr>
        <w:t>.......................-92-</w:t>
      </w:r>
    </w:p>
    <w:p w14:paraId="3A704C02">
      <w:pPr>
        <w:pStyle w:val="18"/>
        <w:pageBreakBefore w:val="0"/>
        <w:tabs>
          <w:tab w:val="right" w:leader="dot" w:pos="9750"/>
        </w:tabs>
        <w:topLinePunct w:val="0"/>
        <w:bidi w:val="0"/>
        <w:spacing w:before="0" w:line="600" w:lineRule="auto"/>
        <w:ind w:left="0" w:leftChars="0" w:right="0" w:rightChars="0" w:firstLine="562" w:firstLineChars="200"/>
        <w:jc w:val="left"/>
        <w:outlineLvl w:val="1"/>
        <w:rPr>
          <w:rFonts w:hint="default" w:eastAsia="宋体"/>
          <w:b/>
          <w:bCs/>
          <w:color w:val="auto"/>
          <w:lang w:val="en-US" w:eastAsia="zh-CN"/>
        </w:rPr>
      </w:pPr>
      <w:r>
        <w:rPr>
          <w:b/>
          <w:bCs/>
          <w:color w:val="auto"/>
        </w:rPr>
        <w:fldChar w:fldCharType="begin"/>
      </w:r>
      <w:r>
        <w:rPr>
          <w:b/>
          <w:bCs/>
          <w:color w:val="auto"/>
        </w:rPr>
        <w:instrText xml:space="preserve"> HYPERLINK \l "_Toc32431" </w:instrText>
      </w:r>
      <w:r>
        <w:rPr>
          <w:b/>
          <w:bCs/>
          <w:color w:val="auto"/>
        </w:rPr>
        <w:fldChar w:fldCharType="separate"/>
      </w:r>
      <w:r>
        <w:rPr>
          <w:b/>
          <w:bCs/>
          <w:color w:val="auto"/>
        </w:rPr>
        <w:t>第六章 投标文件格式</w:t>
      </w:r>
      <w:r>
        <w:rPr>
          <w:rFonts w:hint="eastAsia"/>
          <w:b/>
          <w:bCs/>
          <w:color w:val="auto"/>
          <w:lang w:val="en-US"/>
        </w:rPr>
        <w:fldChar w:fldCharType="end"/>
      </w:r>
      <w:r>
        <w:rPr>
          <w:rFonts w:hint="eastAsia"/>
          <w:b/>
          <w:bCs/>
          <w:color w:val="auto"/>
          <w:lang w:val="en-US" w:eastAsia="zh-CN"/>
        </w:rPr>
        <w:t>...................................-98-</w:t>
      </w:r>
    </w:p>
    <w:p w14:paraId="1DA97133">
      <w:pPr>
        <w:pageBreakBefore w:val="0"/>
        <w:topLinePunct w:val="0"/>
        <w:bidi w:val="0"/>
        <w:spacing w:line="500" w:lineRule="exact"/>
        <w:ind w:left="0" w:leftChars="0" w:right="0" w:rightChars="0" w:firstLine="440" w:firstLineChars="200"/>
      </w:pPr>
    </w:p>
    <w:p w14:paraId="3CD96BAD">
      <w:pPr>
        <w:pageBreakBefore w:val="0"/>
        <w:topLinePunct w:val="0"/>
        <w:bidi w:val="0"/>
        <w:spacing w:line="500" w:lineRule="exact"/>
        <w:ind w:left="0" w:leftChars="0" w:right="0" w:rightChars="0" w:firstLine="440" w:firstLineChars="200"/>
      </w:pPr>
    </w:p>
    <w:p w14:paraId="52868EEB">
      <w:pPr>
        <w:pageBreakBefore w:val="0"/>
        <w:topLinePunct w:val="0"/>
        <w:bidi w:val="0"/>
        <w:spacing w:line="500" w:lineRule="exact"/>
        <w:ind w:left="0" w:leftChars="0" w:right="0" w:rightChars="0" w:firstLine="440" w:firstLineChars="200"/>
      </w:pPr>
    </w:p>
    <w:p w14:paraId="1E45C955">
      <w:pPr>
        <w:pageBreakBefore w:val="0"/>
        <w:topLinePunct w:val="0"/>
        <w:bidi w:val="0"/>
        <w:spacing w:line="500" w:lineRule="exact"/>
        <w:ind w:left="0" w:leftChars="0" w:right="0" w:rightChars="0" w:firstLine="440" w:firstLineChars="200"/>
      </w:pPr>
    </w:p>
    <w:p w14:paraId="2C2D5B46">
      <w:pPr>
        <w:pageBreakBefore w:val="0"/>
        <w:topLinePunct w:val="0"/>
        <w:bidi w:val="0"/>
        <w:spacing w:line="500" w:lineRule="exact"/>
        <w:ind w:left="0" w:leftChars="0" w:right="0" w:rightChars="0" w:firstLine="440" w:firstLineChars="200"/>
      </w:pPr>
    </w:p>
    <w:p w14:paraId="3B69F5B6">
      <w:pPr>
        <w:pageBreakBefore w:val="0"/>
        <w:topLinePunct w:val="0"/>
        <w:bidi w:val="0"/>
        <w:spacing w:line="500" w:lineRule="exact"/>
        <w:ind w:left="0" w:leftChars="0" w:right="0" w:rightChars="0" w:firstLine="440" w:firstLineChars="200"/>
      </w:pPr>
    </w:p>
    <w:p w14:paraId="4134EF06">
      <w:pPr>
        <w:pageBreakBefore w:val="0"/>
        <w:topLinePunct w:val="0"/>
        <w:bidi w:val="0"/>
        <w:spacing w:line="500" w:lineRule="exact"/>
        <w:ind w:left="0" w:leftChars="0" w:right="0" w:rightChars="0" w:firstLine="440" w:firstLineChars="200"/>
      </w:pPr>
    </w:p>
    <w:p w14:paraId="579A5A7D">
      <w:pPr>
        <w:pageBreakBefore w:val="0"/>
        <w:topLinePunct w:val="0"/>
        <w:bidi w:val="0"/>
        <w:spacing w:line="500" w:lineRule="exact"/>
        <w:ind w:left="0" w:leftChars="0" w:right="0" w:rightChars="0" w:firstLine="440" w:firstLineChars="200"/>
      </w:pPr>
    </w:p>
    <w:p w14:paraId="4B2FDEE1">
      <w:pPr>
        <w:pageBreakBefore w:val="0"/>
        <w:topLinePunct w:val="0"/>
        <w:bidi w:val="0"/>
        <w:spacing w:line="500" w:lineRule="exact"/>
        <w:ind w:left="0" w:leftChars="0" w:right="0" w:rightChars="0" w:firstLine="440" w:firstLineChars="200"/>
      </w:pPr>
    </w:p>
    <w:p w14:paraId="7281D22C">
      <w:pPr>
        <w:pageBreakBefore w:val="0"/>
        <w:topLinePunct w:val="0"/>
        <w:bidi w:val="0"/>
        <w:spacing w:line="500" w:lineRule="exact"/>
        <w:ind w:left="0" w:leftChars="0" w:right="0" w:rightChars="0" w:firstLine="440" w:firstLineChars="200"/>
      </w:pPr>
    </w:p>
    <w:p w14:paraId="18BF8E50">
      <w:pPr>
        <w:pageBreakBefore w:val="0"/>
        <w:topLinePunct w:val="0"/>
        <w:bidi w:val="0"/>
        <w:spacing w:line="500" w:lineRule="exact"/>
        <w:ind w:left="0" w:leftChars="0" w:right="0" w:rightChars="0" w:firstLine="440" w:firstLineChars="200"/>
      </w:pPr>
    </w:p>
    <w:p w14:paraId="73B702E8">
      <w:pPr>
        <w:pageBreakBefore w:val="0"/>
        <w:topLinePunct w:val="0"/>
        <w:bidi w:val="0"/>
        <w:spacing w:line="500" w:lineRule="exact"/>
        <w:ind w:left="0" w:leftChars="0" w:right="0" w:rightChars="0" w:firstLine="440" w:firstLineChars="200"/>
      </w:pPr>
    </w:p>
    <w:p w14:paraId="526EB2E3">
      <w:pPr>
        <w:pageBreakBefore w:val="0"/>
        <w:topLinePunct w:val="0"/>
        <w:bidi w:val="0"/>
        <w:spacing w:line="500" w:lineRule="exact"/>
        <w:ind w:right="0" w:rightChars="0"/>
        <w:jc w:val="left"/>
        <w:sectPr>
          <w:footerReference r:id="rId8" w:type="default"/>
          <w:pgSz w:w="11910" w:h="16840"/>
          <w:pgMar w:top="1270" w:right="1080" w:bottom="1213" w:left="969" w:header="57" w:footer="0" w:gutter="0"/>
          <w:pgNumType w:fmt="decimal" w:start="1"/>
          <w:cols w:space="720" w:num="1"/>
        </w:sectPr>
      </w:pPr>
      <w:bookmarkStart w:id="0" w:name="第一章_招标公告"/>
      <w:bookmarkEnd w:id="0"/>
      <w:bookmarkStart w:id="1" w:name="_Toc12699"/>
    </w:p>
    <w:p w14:paraId="17561915">
      <w:pPr>
        <w:pStyle w:val="2"/>
        <w:pageBreakBefore w:val="0"/>
        <w:topLinePunct w:val="0"/>
        <w:bidi w:val="0"/>
        <w:spacing w:before="0" w:line="500" w:lineRule="exact"/>
        <w:ind w:left="0" w:leftChars="0" w:right="0" w:rightChars="0" w:firstLine="723" w:firstLineChars="200"/>
      </w:pPr>
      <w:r>
        <w:t>第</w:t>
      </w:r>
      <w:r>
        <w:rPr>
          <w:rFonts w:hint="eastAsia"/>
        </w:rPr>
        <w:t>一</w:t>
      </w:r>
      <w:r>
        <w:t>章 招标公告</w:t>
      </w:r>
      <w:bookmarkEnd w:id="1"/>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3"/>
      </w:tblGrid>
      <w:tr w14:paraId="0AA20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3" w:type="dxa"/>
          </w:tcPr>
          <w:p w14:paraId="5234B6B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150" w:beforeAutospacing="0" w:after="150" w:afterAutospacing="0" w:line="400" w:lineRule="exact"/>
              <w:ind w:left="0" w:right="0"/>
              <w:jc w:val="left"/>
              <w:textAlignment w:val="baseline"/>
              <w:rPr>
                <w:rFonts w:hint="eastAsia" w:ascii="宋体" w:hAnsi="宋体" w:eastAsia="宋体" w:cs="宋体"/>
                <w:b w:val="0"/>
                <w:bCs w:val="0"/>
                <w:sz w:val="24"/>
                <w:szCs w:val="24"/>
              </w:rPr>
            </w:pPr>
            <w:bookmarkStart w:id="2" w:name="第二章_投标须知"/>
            <w:bookmarkEnd w:id="2"/>
            <w:bookmarkStart w:id="3" w:name="_Toc25930"/>
            <w:r>
              <w:rPr>
                <w:rStyle w:val="26"/>
                <w:rFonts w:hint="eastAsia" w:ascii="宋体" w:hAnsi="宋体" w:eastAsia="宋体" w:cs="宋体"/>
                <w:b/>
                <w:bCs/>
                <w:i w:val="0"/>
                <w:iCs w:val="0"/>
                <w:caps w:val="0"/>
                <w:color w:val="333333"/>
                <w:spacing w:val="0"/>
                <w:sz w:val="24"/>
                <w:szCs w:val="24"/>
                <w:shd w:val="clear" w:fill="FFFFFF"/>
                <w:vertAlign w:val="baseline"/>
              </w:rPr>
              <w:t>项目概况</w:t>
            </w:r>
          </w:p>
          <w:p w14:paraId="2D27B5A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150" w:beforeAutospacing="0" w:after="150" w:afterAutospacing="0" w:line="400" w:lineRule="exact"/>
              <w:ind w:left="0" w:right="0" w:firstLine="480"/>
              <w:jc w:val="both"/>
              <w:textAlignment w:val="baseline"/>
              <w:rPr>
                <w:rStyle w:val="26"/>
                <w:rFonts w:hint="eastAsia" w:ascii="宋体" w:hAnsi="宋体" w:eastAsia="宋体" w:cs="宋体"/>
                <w:b/>
                <w:bCs/>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汉滨区2026－2027学年度中小学幼儿园大宗食材及原辅材料配送项目招标采购招标项目的潜在投标人应在全国公共资源交易中心平台（陕西省安康市）获取招标文件，并于2026年08月05日09时00分（北京时间）前递交投标文件。</w:t>
            </w:r>
          </w:p>
        </w:tc>
      </w:tr>
    </w:tbl>
    <w:p w14:paraId="0E839F5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shd w:val="clear" w:fill="FFFFFF"/>
          <w:vertAlign w:val="baseline"/>
        </w:rPr>
        <w:t>一、项目基本情况</w:t>
      </w:r>
    </w:p>
    <w:p w14:paraId="26B0427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项目编号：ZKJWCG-20260702</w:t>
      </w:r>
    </w:p>
    <w:p w14:paraId="5858E5D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项目名称：汉滨区2026－2027学年度中小学幼儿园大宗食材及原辅材料配送项目招标采购</w:t>
      </w:r>
    </w:p>
    <w:p w14:paraId="209641E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采购方式：公开招标</w:t>
      </w:r>
    </w:p>
    <w:p w14:paraId="2C66136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预算金额：29,968,900.00元</w:t>
      </w:r>
    </w:p>
    <w:p w14:paraId="761AEEA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采购需求：</w:t>
      </w:r>
    </w:p>
    <w:p w14:paraId="59256CD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合同包1(A片区米面油、牛奶采购):</w:t>
      </w:r>
    </w:p>
    <w:p w14:paraId="1CC82379">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合同包预算金额：4,325,900.00元</w:t>
      </w:r>
    </w:p>
    <w:p w14:paraId="4241697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合同包最高限价：4,325,900.00元</w:t>
      </w:r>
    </w:p>
    <w:tbl>
      <w:tblPr>
        <w:tblStyle w:val="23"/>
        <w:tblW w:w="97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98"/>
        <w:gridCol w:w="2599"/>
        <w:gridCol w:w="2277"/>
        <w:gridCol w:w="903"/>
        <w:gridCol w:w="1621"/>
        <w:gridCol w:w="1680"/>
      </w:tblGrid>
      <w:tr w14:paraId="30E7A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31" w:hRule="atLeast"/>
          <w:tblHeader/>
        </w:trPr>
        <w:tc>
          <w:tcPr>
            <w:tcW w:w="7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EBBE4D">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25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E01E2F">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5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00C05E">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9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81FA90">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7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631071">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2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712B1C">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1DDE5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9"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C249E2">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BD6136">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谷物细粉</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385BAC">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大米</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806DD3">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E2CAD5">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F062ED">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2,013,300.00</w:t>
            </w:r>
          </w:p>
        </w:tc>
      </w:tr>
      <w:tr w14:paraId="71ECA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9"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C9A1B2">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1-2</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250D82">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碾磨谷物及谷物加工品</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66A3D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面粉及面制品</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D8F0AE">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C722C3">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433057">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760,200.00</w:t>
            </w:r>
          </w:p>
        </w:tc>
      </w:tr>
      <w:tr w14:paraId="216DE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9"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CF7524">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1-3</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0B661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植物油及其制品</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82DAF7">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菜籽油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E4243F">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B854DF">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4AD379">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1,092,400.00</w:t>
            </w:r>
          </w:p>
        </w:tc>
      </w:tr>
      <w:tr w14:paraId="1757B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9"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BDB03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1-4</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E7BA5C">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薯、豆、相关植物加工品</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BD195E">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杂粮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7330BF">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668A4C">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82198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80,000.00</w:t>
            </w:r>
          </w:p>
        </w:tc>
      </w:tr>
      <w:tr w14:paraId="7703C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05"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BDD33C">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1-5</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EA7C5F">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乳制品</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FAB28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纯牛奶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AD86BB">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028FF7">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014749">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380,000.00</w:t>
            </w:r>
          </w:p>
        </w:tc>
      </w:tr>
    </w:tbl>
    <w:p w14:paraId="3BAD7B1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本合同包不接受联合体投标</w:t>
      </w:r>
    </w:p>
    <w:p w14:paraId="341DE8B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合同履行期限：一学年</w:t>
      </w:r>
    </w:p>
    <w:p w14:paraId="520E69E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合同包2(A片区肉蛋禽采购):</w:t>
      </w:r>
    </w:p>
    <w:p w14:paraId="7812B70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合同包预算金额：5,573,400.00元</w:t>
      </w:r>
    </w:p>
    <w:p w14:paraId="70C93B2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合同包最高限价：5,573,400.00元</w:t>
      </w:r>
    </w:p>
    <w:tbl>
      <w:tblPr>
        <w:tblStyle w:val="23"/>
        <w:tblW w:w="97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09"/>
        <w:gridCol w:w="2381"/>
        <w:gridCol w:w="2381"/>
        <w:gridCol w:w="912"/>
        <w:gridCol w:w="1673"/>
        <w:gridCol w:w="1681"/>
      </w:tblGrid>
      <w:tr w14:paraId="79DFA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17" w:hRule="atLeast"/>
          <w:tblHeader/>
        </w:trPr>
        <w:tc>
          <w:tcPr>
            <w:tcW w:w="7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CB1751">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25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D77D21">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5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C0CAFF">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9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77BA72">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BC69F5">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2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1ED256">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4D45E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14"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07429E">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CD90A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畜禽肉</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BBF75D">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肉类食材</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714025">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0956B0">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E5060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4,915,700.00</w:t>
            </w:r>
          </w:p>
        </w:tc>
      </w:tr>
      <w:tr w14:paraId="52C43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32"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33D6D3">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2-2</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7C67C8">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禽蛋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B6E823">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鸡蛋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164BA7">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87937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F25D6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657,700.00</w:t>
            </w:r>
          </w:p>
        </w:tc>
      </w:tr>
    </w:tbl>
    <w:p w14:paraId="4F3126F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本合同包不接受联合体投标</w:t>
      </w:r>
    </w:p>
    <w:p w14:paraId="281E32D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合同履行期限：一学年</w:t>
      </w:r>
    </w:p>
    <w:p w14:paraId="6214809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合同包3(A片区营养午餐蔬菜、水果、干货及调味品采购):</w:t>
      </w:r>
    </w:p>
    <w:p w14:paraId="14A675B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合同包预算金额：5,015,000.00元</w:t>
      </w:r>
    </w:p>
    <w:p w14:paraId="54F85A0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合同包最高限价：5,015,000.00元</w:t>
      </w:r>
    </w:p>
    <w:tbl>
      <w:tblPr>
        <w:tblStyle w:val="23"/>
        <w:tblW w:w="97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87"/>
        <w:gridCol w:w="2196"/>
        <w:gridCol w:w="2719"/>
        <w:gridCol w:w="894"/>
        <w:gridCol w:w="1580"/>
        <w:gridCol w:w="1680"/>
      </w:tblGrid>
      <w:tr w14:paraId="7AB7E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49" w:hRule="atLeast"/>
          <w:tblHeader/>
        </w:trPr>
        <w:tc>
          <w:tcPr>
            <w:tcW w:w="7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706D9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25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E70752">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5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0B8AB4">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9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B3E210">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7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941CD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2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0F6108">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78AFD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17"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8A657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3-1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336D4D">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蔬菜</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98CE32">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蔬菜、水果、干货及调味品</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F802D1">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BADB92">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D4170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5,015,000.00</w:t>
            </w:r>
          </w:p>
        </w:tc>
      </w:tr>
    </w:tbl>
    <w:p w14:paraId="7047E59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本合同包不接受联合体投标</w:t>
      </w:r>
    </w:p>
    <w:p w14:paraId="58D2F7D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合同履行期限：一学年</w:t>
      </w:r>
    </w:p>
    <w:p w14:paraId="18C9693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合同包4(B片区米面油、牛奶采购):</w:t>
      </w:r>
    </w:p>
    <w:p w14:paraId="2E7EA52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合同包预算金额：4,376,300.00元</w:t>
      </w:r>
    </w:p>
    <w:p w14:paraId="69EB3D6E">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合同包最高限价：4,376,300.00元</w:t>
      </w:r>
    </w:p>
    <w:tbl>
      <w:tblPr>
        <w:tblStyle w:val="23"/>
        <w:tblW w:w="97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94"/>
        <w:gridCol w:w="2592"/>
        <w:gridCol w:w="2261"/>
        <w:gridCol w:w="899"/>
        <w:gridCol w:w="1611"/>
        <w:gridCol w:w="1680"/>
      </w:tblGrid>
      <w:tr w14:paraId="21F16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19" w:hRule="atLeast"/>
          <w:tblHeader/>
        </w:trPr>
        <w:tc>
          <w:tcPr>
            <w:tcW w:w="7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FD4123">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25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8DE12C">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5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60EE36">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9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19F6DC">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7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D3DEF2">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2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568DA5">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642A8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15"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FF0074">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4-1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5BE22C">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谷物细粉</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2994C0">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大米</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B78CCF">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9E4617">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1C133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2,025,100.00</w:t>
            </w:r>
          </w:p>
        </w:tc>
      </w:tr>
      <w:tr w14:paraId="7761A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15"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9B4FF3">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4-2</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BF8534">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碾磨谷物及谷物加工品</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4FCA4C">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面粉及面制品</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D39793">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03526A">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4E4CF9">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740,800.00</w:t>
            </w:r>
          </w:p>
        </w:tc>
      </w:tr>
      <w:tr w14:paraId="63817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15"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90CEBD">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4-3</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D0DE86">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植物油及其制品</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6A0B5E">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菜籽油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81C6DA">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62D79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6D26E1">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1,080,400.00</w:t>
            </w:r>
          </w:p>
        </w:tc>
      </w:tr>
      <w:tr w14:paraId="24EF1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15"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982B1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4-4</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4604E4">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薯、豆、相关植物加工品</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DFC3E7">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杂粮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85E2F8">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C9FC87">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8C9039">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80,000.00</w:t>
            </w:r>
          </w:p>
        </w:tc>
      </w:tr>
      <w:tr w14:paraId="71179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34"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89BB53">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4-5</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6BF954">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乳制品</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12EAC5">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纯牛奶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44284E">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2E021A">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75AA9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450,000.00</w:t>
            </w:r>
          </w:p>
        </w:tc>
      </w:tr>
    </w:tbl>
    <w:p w14:paraId="2C7C4C8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本合同包不接受联合体投标</w:t>
      </w:r>
    </w:p>
    <w:p w14:paraId="485788B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合同履行期限：一学年</w:t>
      </w:r>
    </w:p>
    <w:p w14:paraId="3EEECA0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合同包5(B片区肉蛋禽采购):</w:t>
      </w:r>
    </w:p>
    <w:p w14:paraId="35E2609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合同包预算金额：5,537,300.00元</w:t>
      </w:r>
    </w:p>
    <w:p w14:paraId="3FE5DBE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合同包最高限价：5,537,300.00元</w:t>
      </w:r>
    </w:p>
    <w:tbl>
      <w:tblPr>
        <w:tblStyle w:val="23"/>
        <w:tblW w:w="97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09"/>
        <w:gridCol w:w="2381"/>
        <w:gridCol w:w="2381"/>
        <w:gridCol w:w="912"/>
        <w:gridCol w:w="1673"/>
        <w:gridCol w:w="1681"/>
      </w:tblGrid>
      <w:tr w14:paraId="606F4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87" w:hRule="atLeast"/>
          <w:tblHeader/>
        </w:trPr>
        <w:tc>
          <w:tcPr>
            <w:tcW w:w="7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A950CB">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25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8E50FB">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5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C45AE4">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9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B4E3A7">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00CD0B">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2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CA44A4">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3DF4C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93"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93761D">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5-1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3687DE">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畜禽肉</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0AF76B">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肉类食材</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C74E5F">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41BDA8">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EA99C0">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4,887,300.00</w:t>
            </w:r>
          </w:p>
        </w:tc>
      </w:tr>
      <w:tr w14:paraId="22E52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12"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B1CDB2">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5-2</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C5915A">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禽蛋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AD41C1">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鸡蛋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A9BAEB">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5A2174">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3AA3B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650,000.00</w:t>
            </w:r>
          </w:p>
        </w:tc>
      </w:tr>
    </w:tbl>
    <w:p w14:paraId="7D92D83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本合同包不接受联合体投标</w:t>
      </w:r>
    </w:p>
    <w:p w14:paraId="21F9A19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合同履行期限：一学年</w:t>
      </w:r>
    </w:p>
    <w:p w14:paraId="16CF684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合同包6(B片区营养午餐蔬菜、水果、干货及调味品采购):</w:t>
      </w:r>
    </w:p>
    <w:p w14:paraId="13FD75B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合同包预算金额：5,141,000.00元</w:t>
      </w:r>
    </w:p>
    <w:p w14:paraId="1FF4CD4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合同包最高限价：5,141,000.00元</w:t>
      </w:r>
    </w:p>
    <w:tbl>
      <w:tblPr>
        <w:tblStyle w:val="23"/>
        <w:tblW w:w="97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87"/>
        <w:gridCol w:w="2196"/>
        <w:gridCol w:w="2719"/>
        <w:gridCol w:w="894"/>
        <w:gridCol w:w="1580"/>
        <w:gridCol w:w="1680"/>
      </w:tblGrid>
      <w:tr w14:paraId="6C20F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92" w:hRule="atLeast"/>
          <w:tblHeader/>
        </w:trPr>
        <w:tc>
          <w:tcPr>
            <w:tcW w:w="7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2007C5">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25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F7BD53">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5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A3AC11">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9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C9784A">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7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C54A45">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2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C8D464">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681EC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47"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D69E11">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6-1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4BBCD7">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蔬菜</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C50205">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蔬菜、水果、干货及调味品</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471FD7">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8AB97B">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6D777D">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5,141,000.00</w:t>
            </w:r>
          </w:p>
        </w:tc>
      </w:tr>
    </w:tbl>
    <w:p w14:paraId="5BD1D93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本合同包不接受联合体投标</w:t>
      </w:r>
    </w:p>
    <w:p w14:paraId="149352B9">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合同履行期限：一学年</w:t>
      </w:r>
    </w:p>
    <w:p w14:paraId="4D3BA13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shd w:val="clear" w:fill="FFFFFF"/>
          <w:vertAlign w:val="baseline"/>
        </w:rPr>
        <w:t>二、申请人的资格要求：</w:t>
      </w:r>
    </w:p>
    <w:p w14:paraId="2D6A21D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1.满足《中华人民共和国政府采购法》第二十二条规定;</w:t>
      </w:r>
    </w:p>
    <w:p w14:paraId="7623A19E">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2.落实政府采购政策需满足的资格要求：</w:t>
      </w:r>
    </w:p>
    <w:p w14:paraId="0C93BA6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合同包1(A片区米面油、牛奶采购)落实政府采购政策需满足的资格要求如下:</w:t>
      </w:r>
    </w:p>
    <w:p w14:paraId="30F3BF2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非专门面向中小企业采购。</w:t>
      </w:r>
    </w:p>
    <w:p w14:paraId="5E3F9F7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合同包2(A片区肉蛋禽采购)落实政府采购政策需满足的资格要求如下:</w:t>
      </w:r>
    </w:p>
    <w:p w14:paraId="6D37FDD9">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非专门面向中小企业采购。</w:t>
      </w:r>
    </w:p>
    <w:p w14:paraId="144EF10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合同包3(A片区营养午餐蔬菜、水果、干货及调味品采购)落实政府采购政策需满足的资格要求如下:</w:t>
      </w:r>
    </w:p>
    <w:p w14:paraId="35CA56B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非专门面向中小企业采购。</w:t>
      </w:r>
    </w:p>
    <w:p w14:paraId="7970C5C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合同包4(B片区米面油、牛奶采购)落实政府采购政策需满足的资格要求如下:</w:t>
      </w:r>
    </w:p>
    <w:p w14:paraId="08DBC42C">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非专门面向中小企业采购。</w:t>
      </w:r>
    </w:p>
    <w:p w14:paraId="723AA6A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合同包5(B片区肉蛋禽采购)落实政府采购政策需满足的资格要求如下:</w:t>
      </w:r>
    </w:p>
    <w:p w14:paraId="190A886E">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非专门面向中小企业采购。</w:t>
      </w:r>
    </w:p>
    <w:p w14:paraId="7C7A7E6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合同包6(B片区营养午餐蔬菜、水果、干货及调味品采购)落实政府采购政策需满足的资格要求如下:</w:t>
      </w:r>
    </w:p>
    <w:p w14:paraId="00FBA179">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非专门面向中小企业采购。</w:t>
      </w:r>
    </w:p>
    <w:p w14:paraId="38A41FB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3.本项目的特定资格要求：</w:t>
      </w:r>
    </w:p>
    <w:p w14:paraId="17B9CEEB">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合同包1(A片区米面油、牛奶采购)特定资格要求如下:</w:t>
      </w:r>
    </w:p>
    <w:p w14:paraId="43BBC339">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0" w:leftChars="0" w:right="0" w:rightChars="0" w:firstLine="480" w:firstLineChars="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lang w:val="zh-CN" w:eastAsia="zh-CN" w:bidi="zh-CN"/>
        </w:rPr>
        <w:t>（1）</w:t>
      </w:r>
      <w:r>
        <w:rPr>
          <w:rFonts w:hint="eastAsia" w:ascii="宋体" w:hAnsi="宋体" w:eastAsia="宋体" w:cs="宋体"/>
          <w:i w:val="0"/>
          <w:iCs w:val="0"/>
          <w:caps w:val="0"/>
          <w:color w:val="333333"/>
          <w:spacing w:val="0"/>
          <w:sz w:val="24"/>
          <w:szCs w:val="24"/>
          <w:shd w:val="clear" w:fill="FFFFFF"/>
          <w:vertAlign w:val="baseline"/>
        </w:rPr>
        <w:t>具有独立承担民事责任的能力，提供营业执照、税务登记证、组织机构代码证或登载有统一社会信用代码的营业执照（或《事业单位法人证书》或其他合法组织登记证书、自然人只须提供身份证）；</w:t>
      </w:r>
    </w:p>
    <w:p w14:paraId="12AB08AC">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0" w:leftChars="0" w:right="0" w:rightChars="0" w:firstLine="480" w:firstLineChars="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sz w:val="24"/>
          <w:szCs w:val="24"/>
          <w:lang w:val="zh-CN" w:eastAsia="zh-CN" w:bidi="zh-CN"/>
        </w:rPr>
        <w:t>（2）</w:t>
      </w:r>
      <w:r>
        <w:rPr>
          <w:rFonts w:hint="eastAsia" w:ascii="宋体" w:hAnsi="宋体" w:eastAsia="宋体" w:cs="宋体"/>
          <w:i w:val="0"/>
          <w:iCs w:val="0"/>
          <w:caps w:val="0"/>
          <w:color w:val="333333"/>
          <w:spacing w:val="0"/>
          <w:sz w:val="24"/>
          <w:szCs w:val="24"/>
          <w:shd w:val="clear" w:fill="FFFFFF"/>
          <w:vertAlign w:val="baseline"/>
        </w:rPr>
        <w:t>提供法定代表人授权书（附法定代表人身份证复印件）及被授权代理人身份证复印件（法定代表人直接参加时只需提供法定代表人身份证复印件）；</w:t>
      </w:r>
    </w:p>
    <w:p w14:paraId="0E5DF62E">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0" w:leftChars="0" w:right="0" w:rightChars="0" w:firstLine="480" w:firstLineChars="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3）供应商若为生产厂家的须提供《食品生产许可证》；供应商为代理商的须提供《食品经营许可证》或《陕西省仅销售预包装食品经营者备案表》，并提供生产厂家的《食品生产许可证》（复印件加盖生产厂家公章）；</w:t>
      </w:r>
    </w:p>
    <w:p w14:paraId="7F71B59C">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0" w:leftChars="0" w:right="0" w:rightChars="0" w:firstLine="480" w:firstLineChars="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（4）财务状况报告：提供2025年的财务审计报告（成立时间至提交响应文件截止时间不足1年的可提供成立后任意时段的资产负债表）或其基本存款账户开户银行出具的资信证明；</w:t>
      </w:r>
    </w:p>
    <w:p w14:paraId="4C0A6041">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0" w:leftChars="0" w:right="0" w:rightChars="0" w:firstLine="480" w:firstLineChars="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（5）税收缴纳证明：提供2026年1月至今已缴纳的至少一个月的纳税证明或完税证明，依法免税的单位应提供相关证明材料；</w:t>
      </w:r>
    </w:p>
    <w:p w14:paraId="2E61D8B9">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0" w:leftChars="0" w:right="0" w:rightChars="0" w:firstLine="480" w:firstLineChars="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（6）社保缴纳证明：提供2026年1月至今至少一个月的社会保障资金缴纳单据或社保机构开具的社会保险参保缴费情况证明，依法不需要缴纳社会保障资金的应提供相关证明材料；</w:t>
      </w:r>
    </w:p>
    <w:p w14:paraId="17DF7331">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0" w:leftChars="0" w:right="0" w:rightChars="0" w:firstLine="480" w:firstLineChars="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（7）供应商须提供具备履行合同所必需的设备和专业技术能力的证明材料；</w:t>
      </w:r>
    </w:p>
    <w:p w14:paraId="36D67817">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0" w:leftChars="0" w:right="0" w:rightChars="0" w:firstLine="480" w:firstLineChars="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（8）供应商必须提供参加政府采购活动近3年内在经营活动中没有重大违法记录的、未发生食品安全事故的书面声明；</w:t>
      </w:r>
    </w:p>
    <w:p w14:paraId="703B3720">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0" w:leftChars="0" w:right="0" w:rightChars="0" w:firstLine="480" w:firstLineChars="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（9）供应商通过“信用中国”网站（www.creditchina.gov.cn ）和中国政府采购网（www.ccgp.gov.cn）等渠道查询相关主体信用记录，对列入失信被执行人、重大税收违法失信主体、政府采购严重违法失信行为记录名单的供应商，将拒绝其参与政府采购活动；</w:t>
      </w:r>
    </w:p>
    <w:p w14:paraId="16FEFA75">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0" w:leftChars="0" w:right="0" w:rightChars="0" w:firstLine="480" w:firstLineChars="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（10）单位负责人为同一人或者存在直接控股、管理关系的不同投标人，不得参加同一合同包的政府采购活动；</w:t>
      </w:r>
    </w:p>
    <w:p w14:paraId="51B4895F">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0" w:leftChars="0" w:right="0" w:rightChars="0" w:firstLine="480" w:firstLineChars="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（11）本项目不接受联合体投标。</w:t>
      </w:r>
    </w:p>
    <w:p w14:paraId="3CF7E85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合同包2(A片区肉蛋禽采购)特定资格要求如下:</w:t>
      </w:r>
    </w:p>
    <w:p w14:paraId="237573D8">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lang w:val="zh-CN" w:eastAsia="zh-CN" w:bidi="zh-CN"/>
        </w:rPr>
        <w:t>（1）</w:t>
      </w:r>
      <w:r>
        <w:rPr>
          <w:rFonts w:hint="eastAsia" w:ascii="宋体" w:hAnsi="宋体" w:eastAsia="宋体" w:cs="宋体"/>
          <w:i w:val="0"/>
          <w:iCs w:val="0"/>
          <w:caps w:val="0"/>
          <w:color w:val="333333"/>
          <w:spacing w:val="0"/>
          <w:sz w:val="24"/>
          <w:szCs w:val="24"/>
          <w:shd w:val="clear" w:fill="FFFFFF"/>
          <w:vertAlign w:val="baseline"/>
        </w:rPr>
        <w:t>具有独立承担民事责任的能力，提供营业执照、税务登记证、组织机构代码证或登载有统一社会信用代码的营业执照（或《事业单位法人证书》或其他合法组织登记证书、自然人只须提供身份证）；</w:t>
      </w:r>
    </w:p>
    <w:p w14:paraId="009675B7">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sz w:val="24"/>
          <w:szCs w:val="24"/>
          <w:lang w:val="zh-CN" w:eastAsia="zh-CN" w:bidi="zh-CN"/>
        </w:rPr>
        <w:t>（2）</w:t>
      </w:r>
      <w:r>
        <w:rPr>
          <w:rFonts w:hint="eastAsia" w:ascii="宋体" w:hAnsi="宋体" w:eastAsia="宋体" w:cs="宋体"/>
          <w:i w:val="0"/>
          <w:iCs w:val="0"/>
          <w:caps w:val="0"/>
          <w:color w:val="333333"/>
          <w:spacing w:val="0"/>
          <w:sz w:val="24"/>
          <w:szCs w:val="24"/>
          <w:shd w:val="clear" w:fill="FFFFFF"/>
          <w:vertAlign w:val="baseline"/>
        </w:rPr>
        <w:t>提供法定代表人授权书（附法定代表人身份证复印件）及被授权代理人身份证复印件（法定代表人直接参加时只需提供法定代表人身份证复印件）；</w:t>
      </w:r>
    </w:p>
    <w:p w14:paraId="34BED3C5">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3）供应商若为生产厂家的须提供《生猪定点屠宰证》和《动物防疫条件合格证》；厂家注册地实行牛羊定点屠宰的附加《畜禽定点屠宰证书》，厂家属地不核发牛羊定点屠宰证则提供加盖公章的政策承诺函替代；供应商若为代理商的须提供《食品经营许可证》《陕西省生鲜肉经营备案表》并附生产厂家对应资质复印件（厂家盖章），厂家属地不核发牛羊定点屠宰证的，一并附厂家盖章承诺函；</w:t>
      </w:r>
    </w:p>
    <w:p w14:paraId="09F2BCB9">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（4）财务状况报告：提供2025年的财务审计报告（成立时间至提交响应文件截止时间不足1年的可提供成立后任意时段的资产负债表）或其基本存款账户开户银行出具的资信证明；</w:t>
      </w:r>
    </w:p>
    <w:p w14:paraId="791B10F1">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（5）税收缴纳证明：提供2026年1月至今已缴纳的至少一个月的纳税证明或完税证明，依法免税的单位应提供相关证明材料；</w:t>
      </w:r>
    </w:p>
    <w:p w14:paraId="28DA0DB3">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（6）社保缴纳证明：提供2026年1月至今至少一个月的社会保障资金缴纳单据或社保机构开具的社会保险参保缴费情况证明，依法不需要缴纳社会保障资金的应提供相关证明材料；</w:t>
      </w:r>
    </w:p>
    <w:p w14:paraId="419AD820">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（7）供应商须提供具备履行合同所必需的设备和专业技术能力的证明材料；</w:t>
      </w:r>
    </w:p>
    <w:p w14:paraId="16889BA2">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（8）供应商必须提供参加政府采购活动近3年内在经营活动中没有重大违法记录的、未发生食品安全事故的书面声明；</w:t>
      </w:r>
    </w:p>
    <w:p w14:paraId="7A5223F5">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（9）供应商通过“信用中国”网站（www.creditchina.gov.cn ）和中国政府采购网（www.ccgp.gov.cn ）等渠道查询相关主体信用记录，对列入失信被执行人、重大税收违法失信主体、政府采购严重违法失信行为记录名单的供应商，将拒绝其参与政府采购活动；</w:t>
      </w:r>
    </w:p>
    <w:p w14:paraId="17DFEFA2">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（10）单位负责人为同一人或者存在直接控股、管理关系的不同投标人，不得参加同一合同包的政府采购活动；</w:t>
      </w:r>
    </w:p>
    <w:p w14:paraId="4B6510F8">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（11）本项目不接受联合体投标。</w:t>
      </w:r>
    </w:p>
    <w:p w14:paraId="4902F6A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合同包3(A片区营养午餐蔬菜、水果、干货及调味品采购)特定资格要求如下:</w:t>
      </w:r>
    </w:p>
    <w:p w14:paraId="70B3BCB6">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lang w:val="zh-CN" w:eastAsia="zh-CN" w:bidi="zh-CN"/>
        </w:rPr>
        <w:t>（1）</w:t>
      </w:r>
      <w:r>
        <w:rPr>
          <w:rFonts w:hint="eastAsia" w:ascii="宋体" w:hAnsi="宋体" w:eastAsia="宋体" w:cs="宋体"/>
          <w:i w:val="0"/>
          <w:iCs w:val="0"/>
          <w:caps w:val="0"/>
          <w:color w:val="333333"/>
          <w:spacing w:val="0"/>
          <w:sz w:val="24"/>
          <w:szCs w:val="24"/>
          <w:shd w:val="clear" w:fill="FFFFFF"/>
          <w:vertAlign w:val="baseline"/>
        </w:rPr>
        <w:t>具有独立承担民事责任的能力，提供营业执照、税务登记证、组织机构代码证或登载有统一社会信用代码的营业执照（或《事业单位法人证书》或其他合法组织登记证书、自然人只须提供身份证）；</w:t>
      </w:r>
    </w:p>
    <w:p w14:paraId="0284C963">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sz w:val="24"/>
          <w:szCs w:val="24"/>
          <w:lang w:val="zh-CN" w:eastAsia="zh-CN" w:bidi="zh-CN"/>
        </w:rPr>
        <w:t>（2）</w:t>
      </w:r>
      <w:r>
        <w:rPr>
          <w:rFonts w:hint="eastAsia" w:ascii="宋体" w:hAnsi="宋体" w:eastAsia="宋体" w:cs="宋体"/>
          <w:i w:val="0"/>
          <w:iCs w:val="0"/>
          <w:caps w:val="0"/>
          <w:color w:val="333333"/>
          <w:spacing w:val="0"/>
          <w:sz w:val="24"/>
          <w:szCs w:val="24"/>
          <w:shd w:val="clear" w:fill="FFFFFF"/>
          <w:vertAlign w:val="baseline"/>
        </w:rPr>
        <w:t>提供法定代表人授权书（附法定代表人身份证复印件）及被授权代理人身份证复印件（法定代表人直接参加时只需提供法定代表人身份证复印件）；</w:t>
      </w:r>
    </w:p>
    <w:p w14:paraId="4B80CC93">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（3）供应商若为生产厂家的须提供《食品生产许可证》；供应商为代理商的须提供《食品经营许可证》，并提供产品生产厂家的《食品生产许可证》复印件加盖生产厂家公章（蔬菜和水果除外）；</w:t>
      </w:r>
    </w:p>
    <w:p w14:paraId="7B189E2F">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（4）财务状况报告：提供2025年的财务审计报告（成立时间至提交响应文件截止时间不足1年的可提供成立后任意时段的资产负债表）或其基本存款账户开户银行出具的资信证明；</w:t>
      </w:r>
    </w:p>
    <w:p w14:paraId="5B82A31F">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（5）税收缴纳证明：提供2026年1月至今已缴纳的至少一个月的纳税证明或完税证明，依法免税的单位应提供相关证明材料；</w:t>
      </w:r>
    </w:p>
    <w:p w14:paraId="0304FD5A">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（6）社保缴纳证明：提供2026年1月至今至少一个月的社会保障资金缴纳单据或社保机构开具的社会保险参保缴费情况证明，依法不需要缴纳社会保障资金的应提供相关证明材料；</w:t>
      </w:r>
    </w:p>
    <w:p w14:paraId="1466037B">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（7）供应商须提供具备履行合同所必需的设备和专业技术能力的证明材料；</w:t>
      </w:r>
    </w:p>
    <w:p w14:paraId="04799FA7">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（8）供应商必须提供参加政府采购活动近3年内在经营活动中没有重大违法记录的、未发生食品安全事故的书面声明；</w:t>
      </w:r>
    </w:p>
    <w:p w14:paraId="06BDADDF">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（9）供应商通过“信用中国”网站（www.creditchina.gov.cn ）和中国政府采购网（www.ccgp.gov.cn）等渠道查询相关主体信用记录，对列入失信被执行人、重大税收违法失信主体、政府采购严重违法失信行为记录名单的供应商，将拒绝其参与政府采购活动；</w:t>
      </w:r>
    </w:p>
    <w:p w14:paraId="1EFB04FC">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（10）单位负责人为同一人或者存在直接控股、管理关系的不同投标人，不得参加同一合同包的政府采购活动；</w:t>
      </w:r>
    </w:p>
    <w:p w14:paraId="71C0533D">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（11）本项目不接受联合体投标。</w:t>
      </w:r>
    </w:p>
    <w:p w14:paraId="5F45DF3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合同包4(B片区米面油、牛奶采购)特定资格要求如下:</w:t>
      </w:r>
    </w:p>
    <w:p w14:paraId="4E243C7A">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lang w:val="zh-CN" w:eastAsia="zh-CN" w:bidi="zh-CN"/>
        </w:rPr>
        <w:t>（1）</w:t>
      </w:r>
      <w:r>
        <w:rPr>
          <w:rFonts w:hint="eastAsia" w:ascii="宋体" w:hAnsi="宋体" w:eastAsia="宋体" w:cs="宋体"/>
          <w:i w:val="0"/>
          <w:iCs w:val="0"/>
          <w:caps w:val="0"/>
          <w:color w:val="333333"/>
          <w:spacing w:val="0"/>
          <w:sz w:val="24"/>
          <w:szCs w:val="24"/>
          <w:shd w:val="clear" w:fill="FFFFFF"/>
          <w:vertAlign w:val="baseline"/>
        </w:rPr>
        <w:t>具有独立承担民事责任的能力，提供营业执照、税务登记证、组织机构代码证或登载有统一社会信用代码的营业执照（或《事业单位法人证书》或其他合法组织登记证书、自然人只须提供身份证）；</w:t>
      </w:r>
    </w:p>
    <w:p w14:paraId="476D39F1">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sz w:val="24"/>
          <w:szCs w:val="24"/>
        </w:rPr>
      </w:pPr>
      <w:r>
        <w:rPr>
          <w:rFonts w:hint="eastAsia" w:ascii="宋体" w:hAnsi="宋体" w:eastAsia="宋体" w:cs="宋体"/>
          <w:sz w:val="24"/>
          <w:szCs w:val="24"/>
          <w:lang w:val="zh-CN" w:eastAsia="zh-CN" w:bidi="zh-CN"/>
        </w:rPr>
        <w:t>（2）</w:t>
      </w:r>
      <w:r>
        <w:rPr>
          <w:rFonts w:hint="eastAsia" w:ascii="宋体" w:hAnsi="宋体" w:eastAsia="宋体" w:cs="宋体"/>
          <w:i w:val="0"/>
          <w:iCs w:val="0"/>
          <w:caps w:val="0"/>
          <w:color w:val="333333"/>
          <w:spacing w:val="0"/>
          <w:sz w:val="24"/>
          <w:szCs w:val="24"/>
          <w:shd w:val="clear" w:fill="FFFFFF"/>
          <w:vertAlign w:val="baseline"/>
        </w:rPr>
        <w:t>提供法定代表人授权书（附法定代表人身份证复印件）及被授权代理人身份证复印件（法定代表人直接参加时只需提供法定代表人身份证复印件）；</w:t>
      </w:r>
    </w:p>
    <w:p w14:paraId="5EDACAD9">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sz w:val="24"/>
          <w:szCs w:val="24"/>
          <w:lang w:val="zh-CN" w:eastAsia="zh-CN" w:bidi="zh-CN"/>
        </w:rPr>
        <w:t>（3）</w:t>
      </w:r>
      <w:r>
        <w:rPr>
          <w:rFonts w:hint="eastAsia" w:ascii="宋体" w:hAnsi="宋体" w:eastAsia="宋体" w:cs="宋体"/>
          <w:i w:val="0"/>
          <w:iCs w:val="0"/>
          <w:caps w:val="0"/>
          <w:color w:val="333333"/>
          <w:spacing w:val="0"/>
          <w:sz w:val="24"/>
          <w:szCs w:val="24"/>
          <w:shd w:val="clear" w:fill="FFFFFF"/>
          <w:vertAlign w:val="baseline"/>
        </w:rPr>
        <w:t>供应商若为生产厂家的须提供《食品生产许可证》；供应商为代理商的须提供《食品经营许可证》或《陕西省仅销售预包装食品经营者备案表》，并提供生产厂家的《食品生产许可证》（复印件加盖生产厂家公章）；</w:t>
      </w:r>
    </w:p>
    <w:p w14:paraId="7A02B3F0">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（4）财务状况报告：提供2025年的财务审计报告（成立时间至提交响应文件截止时间不足1年的可提供成立后任意时段的资产负债表）或其基本存款账户开户银行出具的资信证明；</w:t>
      </w:r>
    </w:p>
    <w:p w14:paraId="16EC5561">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（5）税收缴纳证明：提供2026年1月至今已缴纳的至少一个月的纳税证明或完税证明，依法免税的单位应提供相关证明材料；</w:t>
      </w:r>
    </w:p>
    <w:p w14:paraId="1C41A8D1">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（6）社保缴纳证明：提供2026年1月至今至少一个月的社会保障资金缴纳单据或社保机构开具的社会保险参保缴费情况证明，依法不需要缴纳社会保障资金的应提供相关证明材料；</w:t>
      </w:r>
    </w:p>
    <w:p w14:paraId="70B353BE">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（7）供应商须提供具备履行合同所必需的设备和专业技术能力的证明材料；</w:t>
      </w:r>
    </w:p>
    <w:p w14:paraId="19834749">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（8）供应商必须提供参加政府采购活动近3年内在经营活动中没有重大违法记录的、未发生食品安全事故的书面声明；</w:t>
      </w:r>
    </w:p>
    <w:p w14:paraId="17C6B2A9">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（9）供应商通过“信用中国”网站（www.creditchina.gov.cn ）和中国政府采购网（www.ccgp.gov.cn）等渠道查询相关主体信用记录，对列入失信被执行人、重大税收违法失信主体、政府采购严重违法失信行为记录名单的供应商，将拒绝其参与政府采购活动；</w:t>
      </w:r>
    </w:p>
    <w:p w14:paraId="10A491A1">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（10）单位负责人为同一人或者存在直接控股、管理关系的不同投标人，不得参加同一合同包的政府采购活动；</w:t>
      </w:r>
    </w:p>
    <w:p w14:paraId="0B1F9090">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（11）本项目不接受联合体投标。</w:t>
      </w:r>
    </w:p>
    <w:p w14:paraId="1C70EFA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合同包5(B片区肉蛋禽采购)特定资格要求如下:</w:t>
      </w:r>
    </w:p>
    <w:p w14:paraId="2765D20E">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lang w:val="zh-CN" w:eastAsia="zh-CN" w:bidi="zh-CN"/>
        </w:rPr>
        <w:t>（1）</w:t>
      </w:r>
      <w:r>
        <w:rPr>
          <w:rFonts w:hint="eastAsia" w:ascii="宋体" w:hAnsi="宋体" w:eastAsia="宋体" w:cs="宋体"/>
          <w:i w:val="0"/>
          <w:iCs w:val="0"/>
          <w:caps w:val="0"/>
          <w:color w:val="333333"/>
          <w:spacing w:val="0"/>
          <w:sz w:val="24"/>
          <w:szCs w:val="24"/>
          <w:shd w:val="clear" w:fill="FFFFFF"/>
          <w:vertAlign w:val="baseline"/>
        </w:rPr>
        <w:t>具有独立承担民事责任的能力，提供营业执照、税务登记证、组织机构代码证或登载有统一社会信用代码的营业执照（或《事业单位法人证书》或其他合法组织登记证书、自然人只须提供身份证）；</w:t>
      </w:r>
    </w:p>
    <w:p w14:paraId="451AF6DF">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sz w:val="24"/>
          <w:szCs w:val="24"/>
          <w:lang w:val="zh-CN" w:eastAsia="zh-CN" w:bidi="zh-CN"/>
        </w:rPr>
        <w:t>（2）</w:t>
      </w:r>
      <w:r>
        <w:rPr>
          <w:rFonts w:hint="eastAsia" w:ascii="宋体" w:hAnsi="宋体" w:eastAsia="宋体" w:cs="宋体"/>
          <w:i w:val="0"/>
          <w:iCs w:val="0"/>
          <w:caps w:val="0"/>
          <w:color w:val="333333"/>
          <w:spacing w:val="0"/>
          <w:sz w:val="24"/>
          <w:szCs w:val="24"/>
          <w:shd w:val="clear" w:fill="FFFFFF"/>
          <w:vertAlign w:val="baseline"/>
        </w:rPr>
        <w:t>提供法定代表人授权书（附法定代表人身份证复印件）及被授权代理人身份证复印件（法定代表人直接参加时只需提供法定代表人身份证复印件）；</w:t>
      </w:r>
    </w:p>
    <w:p w14:paraId="74B467BF">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3）供应商若为生产厂家的须提供《生猪定点屠宰证》和《动物防疫条件合格证》；厂家注册地实行牛羊定点屠宰的附加《畜禽定点屠宰证书》，厂家属地不核发牛羊定点屠宰证则提供加盖公章的政策承诺函替代；供应商若为代理商的须提供《食品经营许可证》《陕西省生鲜肉经营备案表》并附生产厂家对应资质复印件（厂家盖章），厂家属地不核发牛羊定点屠宰证的，一并附厂家盖章承诺函；</w:t>
      </w:r>
    </w:p>
    <w:p w14:paraId="2835BFC3">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（4）财务状况报告：提供2025年的财务审计报告（成立时间至提交响应文件截止时间不足1年的可提供成立后任意时段的资产负债表）或其基本存款账户开户银行出具的资信证明；</w:t>
      </w:r>
    </w:p>
    <w:p w14:paraId="01C43891">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（5）税收缴纳证明：提供2026年1月至今已缴纳的至少一个月的纳税证明或完税证明，依法免税的单位应提供相关证明材料；</w:t>
      </w:r>
    </w:p>
    <w:p w14:paraId="43A0D91A">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（6）社保缴纳证明：提供2026年1月至今至少一个月的社会保障资金缴纳单据或社保机构开具的社会保险参保缴费情况证明，依法不需要缴纳社会保障资金的应提供相关证明材料；</w:t>
      </w:r>
    </w:p>
    <w:p w14:paraId="4B0A7A67">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（7）供应商须提供具备履行合同所必需的设备和专业技术能力的证明材料；</w:t>
      </w:r>
    </w:p>
    <w:p w14:paraId="455F8A81">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（8）供应商必须提供参加政府采购活动近3年内在经营活动中没有重大违法记录的、未发生食品安全事故的书面声明；</w:t>
      </w:r>
    </w:p>
    <w:p w14:paraId="06C11415">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（9）供应商通过“信用中国”网站（www.creditchina.gov.cn ）和中国政府采购网（www.ccgp.gov.cn ）等渠道查询相关主体信用记录，对列入失信被执行人、重大税收违法失信主体、政府采购严重违法失信行为记录名单的供应商，将拒绝其参与政府采购活动；</w:t>
      </w:r>
    </w:p>
    <w:p w14:paraId="6163E4A6">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（10）单位负责人为同一人或者存在直接控股、管理关系的不同投标人，不得参加同一合同包的政府采购活动；</w:t>
      </w:r>
    </w:p>
    <w:p w14:paraId="7DB0FF52">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（11）本项目不接受联合体投标。</w:t>
      </w:r>
    </w:p>
    <w:p w14:paraId="5522BF3D">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合同包6(B片区营养午餐蔬菜、水果、干货及调味品采购)特定资格要求如下:</w:t>
      </w:r>
    </w:p>
    <w:p w14:paraId="47A490ED">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lang w:val="zh-CN" w:eastAsia="zh-CN" w:bidi="zh-CN"/>
        </w:rPr>
        <w:t>（1）</w:t>
      </w:r>
      <w:r>
        <w:rPr>
          <w:rFonts w:hint="eastAsia" w:ascii="宋体" w:hAnsi="宋体" w:eastAsia="宋体" w:cs="宋体"/>
          <w:i w:val="0"/>
          <w:iCs w:val="0"/>
          <w:caps w:val="0"/>
          <w:color w:val="333333"/>
          <w:spacing w:val="0"/>
          <w:sz w:val="24"/>
          <w:szCs w:val="24"/>
          <w:shd w:val="clear" w:fill="FFFFFF"/>
          <w:vertAlign w:val="baseline"/>
        </w:rPr>
        <w:t>具有独立承担民事责任的能力，提供营业执照、税务登记证、组织机构代码证或登载有统一社会信用代码的营业执照（或《事业单位法人证书》或其他合法组织登记证书、自然人只须提供身份证）；</w:t>
      </w:r>
    </w:p>
    <w:p w14:paraId="28B8E5A9">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sz w:val="24"/>
          <w:szCs w:val="24"/>
          <w:lang w:val="zh-CN" w:eastAsia="zh-CN" w:bidi="zh-CN"/>
        </w:rPr>
        <w:t>（2）</w:t>
      </w:r>
      <w:r>
        <w:rPr>
          <w:rFonts w:hint="eastAsia" w:ascii="宋体" w:hAnsi="宋体" w:eastAsia="宋体" w:cs="宋体"/>
          <w:i w:val="0"/>
          <w:iCs w:val="0"/>
          <w:caps w:val="0"/>
          <w:color w:val="333333"/>
          <w:spacing w:val="0"/>
          <w:sz w:val="24"/>
          <w:szCs w:val="24"/>
          <w:shd w:val="clear" w:fill="FFFFFF"/>
          <w:vertAlign w:val="baseline"/>
        </w:rPr>
        <w:t>提供法定代表人授权书（附法定代表人身份证复印件）及被授权代理人身份证复印件（法定代表人直接参加时只需提供法定代表人身份证复印件）；</w:t>
      </w:r>
    </w:p>
    <w:p w14:paraId="65EFA28F">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（3）供应商若为生产厂家的须提供《食品生产许可证》；供应商为代理商的须提供《食品经营许可证》，并提供产品生产厂家的《食品生产许可证》复印件加盖生产厂家公章（蔬菜和水果除外）；</w:t>
      </w:r>
    </w:p>
    <w:p w14:paraId="7F23C2C8">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（4）财务状况报告：提供2025年的财务审计报告（成立时间至提交响应文件截止时间不足1年的可提供成立后任意时段的资产负债表）或其基本存款账户开户银行出具的资信证明；</w:t>
      </w:r>
    </w:p>
    <w:p w14:paraId="63D00664">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（5）税收缴纳证明：提供2026年1月至今已缴纳的至少一个月的纳税证明或完税证明，依法免税的单位应提供相关证明材料；</w:t>
      </w:r>
    </w:p>
    <w:p w14:paraId="273F2928">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（6）社保缴纳证明：提供2026年1月至今至少一个月的社会保障资金缴纳单据或社保机构开具的社会保险参保缴费情况证明，依法不需要缴纳社会保障资金的应提供相关证明材料；</w:t>
      </w:r>
    </w:p>
    <w:p w14:paraId="7DDAE9F6">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（7）供应商须提供具备履行合同所必需的设备和专业技术能力的证明材料；</w:t>
      </w:r>
    </w:p>
    <w:p w14:paraId="69A92127">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（8）供应商必须提供参加政府采购活动近3年内在经营活动中没有重大违法记录的、未发生食品安全事故的书面声明；</w:t>
      </w:r>
    </w:p>
    <w:p w14:paraId="50F75BE3">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（9）供应商通过“信用中国”网站（www.creditchina.gov.cn ）和中国政府采购网（www.ccgp.gov.cn ） 等渠道查询相关主体信用记录，对列入失信被执行人、重大税收违法失信主体、政府采购严重违法失信行为记录名单的供应商，将拒绝其参与政府采购活动；</w:t>
      </w:r>
    </w:p>
    <w:p w14:paraId="58C961B1">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（10）单位负责人为同一人或者存在直接控股、管理关系的不同投标人，不得参加同一合同包的政府采购活动；</w:t>
      </w:r>
    </w:p>
    <w:p w14:paraId="27B371FD">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right="0" w:rightChars="0" w:firstLine="480" w:firstLineChars="20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（11）本项目不接受联合体投标。</w:t>
      </w:r>
    </w:p>
    <w:p w14:paraId="3162167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shd w:val="clear" w:fill="FFFFFF"/>
          <w:vertAlign w:val="baseline"/>
        </w:rPr>
        <w:t>三、获取招标文件</w:t>
      </w:r>
    </w:p>
    <w:p w14:paraId="04A87E5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时间：2026年07月14日至2026年07月20日，每天上午00:00:00至12:00:00 ，下午12:00:00至23:59:59（北京时间）</w:t>
      </w:r>
    </w:p>
    <w:p w14:paraId="5328B84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途径：全国公共资源交易中心平台（陕西省安康市）</w:t>
      </w:r>
    </w:p>
    <w:p w14:paraId="1F9F016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方式：在线获取</w:t>
      </w:r>
    </w:p>
    <w:p w14:paraId="5E7CA01E">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售价：0元</w:t>
      </w:r>
    </w:p>
    <w:p w14:paraId="24FABF2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shd w:val="clear" w:fill="FFFFFF"/>
          <w:vertAlign w:val="baseline"/>
        </w:rPr>
        <w:t>四、提交投标文件截止时间、开标时间和地点</w:t>
      </w:r>
    </w:p>
    <w:p w14:paraId="7AE3A70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时间： 2026年08月05日 09时00分00秒 （北京时间）</w:t>
      </w:r>
    </w:p>
    <w:p w14:paraId="4DE4B92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提交投标文件地点：全国公共资源交易中心平台（陕西省安康市）</w:t>
      </w:r>
    </w:p>
    <w:p w14:paraId="5A092C2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开标地点：不见面开标大厅</w:t>
      </w:r>
    </w:p>
    <w:p w14:paraId="042CBC7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shd w:val="clear" w:fill="FFFFFF"/>
          <w:vertAlign w:val="baseline"/>
        </w:rPr>
        <w:t>五、公告期限</w:t>
      </w:r>
    </w:p>
    <w:p w14:paraId="13E0F39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自本公告发布之日起5个工作日。</w:t>
      </w:r>
    </w:p>
    <w:p w14:paraId="2CFE69B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shd w:val="clear" w:fill="FFFFFF"/>
          <w:vertAlign w:val="baseline"/>
        </w:rPr>
        <w:t>六、其他补充事宜</w:t>
      </w:r>
    </w:p>
    <w:p w14:paraId="2754DA2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2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落实政府采购政策需满足的资格要求如下:</w:t>
      </w:r>
    </w:p>
    <w:p w14:paraId="2DD57B4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（1）财政部、工业和信息化部关于印发《政府采购促进中小企业发展管理办法》的通知-财库〔2020〕46号；（2）关于进一步加大政府采购支持中小企业力度的通知-财库〔2022〕19号；（3）财政部 司法部关于政府采购支持监狱企业发展有关问题的通知-财库〔2014〕68号；（4）财政部 民政部 中国残疾人联合会关于促进残疾人就业政府采购政策的通知-财库〔2017〕141号；（5）关于调整优化节能产品、环境标志产品政府采购执行机制的通知-财库〔2019〕9号；（6）财政部生态 环境部关于印发环境标志产品政府采购品目清单的通知-财库〔2019〕18号；（7）财政部发展改革委关于印发节能产品政府采购品目清单的通知-财库〔2019〕19号；（8）财政部 农业农村部 国家乡村振兴局关于运用政府采购政策支持乡村产业振兴的通知-财库〔2021〕19 号；（9）财政部、农业农村部、国家乡村振兴局、中华全国供销合作总社关于印发《关于深入开展政府采购脱贫地区农副产品工作推进乡村产业振兴的实施意见》的通知-财库〔2021〕20号；（10）陕西省财政厅关于落实政府采购支持中小企业政策有关事项的通知-陕财办采函〔2022〕10 号；（11）陕西省财政厅关于进一步加强政府绿色采购有关问题的通知-陕财办采〔2021〕29号；（12）陕西省财政厅关于印发《陕西省中小企业政府采购信用融资办法》-陕财办采〔2018〕23号；（13）陕西省财政厅关于加快推进我省中小企业政府采购信用融资工作的通知-陕财办采〔2020〕15号；（14）陕西省财政厅 中国人民银行西安分行关于深入推进政府采购信用融资业务的通知-陕财办采〔2023〕5号；（15）《财政部 工业和信息化部关于贯彻落实&lt;国务院办公厅关于在政府采购中实施本国产品标准及相关政策的通知&gt;的意见》（财库〔2025〕30 号）；（16）《关于推动解决政府采购异常低价问题的通知》（财库〔2026〕 2号）；（17）如有最新颁布的政府采购政策，按最新的文件执行。</w:t>
      </w:r>
    </w:p>
    <w:p w14:paraId="766415D9">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注（1）供应商使用捆绑陕西省公共资源交易平台的CA锁登录安康市公共资源交易中心（http://ak.sxggzyjy.cn），选择“电子交易平台—陕西政府采购交易系统—企业端”进行登录，登录后选择“交易乙方”身份进入供应商界面，选择有意向的项目点击“我要投标”，完善相关投标信息。（2）在采购文件获取时间内，供应商可在〖我的项目〗中点击“项目流程交易文件下载”免费下载电子采购文件。（3）未完成网上投标或未在规定时间内在平台上下载电子招标文件的，导致无法完成后续流程的责任自负；（4）供应商只可以对已报名的采购项目下载招标文件。招标文件以合同包为基本单位，若供应商需投某个项目的多个合同包，则应按合同包分别报名、下载招标文件及上传投标文件。例如：报名的项目含多个合同包的，即使采购文件相同，也需每个合同包分别点击下载。如果没有下载招标文件的记录，交易平台系统不允许对该合同包上传投标文件。（5）本项目采用电子化投标方式投标，相关操作流程详见全国公共资源交易平台（陕西省）网站[服务指南－下载专区]中的《陕西省公共资源交易中心政府采购项目投标指南》。（6）技术支持：4009280095、4009980000；（7）请各供应商下载招标文件后，按照陕西省财政厅《关于政府采购供应商注册登记有关事项的通知》要求，通过陕西省政府采购网注册登记加入陕西省政府采购供应商库，以便中标后能顺利录入中标单位信息，若未办理入库手续，造成不能发布中标公告，责任自负。（8）本项目合同包1和合同包4：大米单价最高限价为：4.78元/千克；面粉单价最高限价为：4.28元/千克；菜籽油单价最高限价为：14.31元/升；面制品按照优惠率报价计算作为实际结算单价，最终依据实际供货量据实结算；牛奶按照优惠率报价计算作为实际结算单价，最终依据实际供货量据实结算；杂粮按照优惠率报价计算作为实际结算单价，最终依据实际供货量据实结算。本项目合同包2和合同包5：肉蛋禽按照优惠率报价计算作为实际结算单价，依据实际供货量据实结算。合同包3和合同包6：营养午餐蔬菜、水果、干货及调味品按照优惠率报价计算作为实际结算单价，依据实际供货量据实结算。</w:t>
      </w:r>
    </w:p>
    <w:p w14:paraId="3D60163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shd w:val="clear" w:fill="FFFFFF"/>
          <w:vertAlign w:val="baseline"/>
        </w:rPr>
        <w:t>七、对本次招标提出询问，请按以下方式联系。</w:t>
      </w:r>
    </w:p>
    <w:p w14:paraId="32651DD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1.采购人信息</w:t>
      </w:r>
    </w:p>
    <w:p w14:paraId="6E91829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名称：汉滨区教育体育局</w:t>
      </w:r>
    </w:p>
    <w:p w14:paraId="60A61F8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地址：汉滨区五星街127号</w:t>
      </w:r>
    </w:p>
    <w:p w14:paraId="24055D1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联系方式：0915-3219515</w:t>
      </w:r>
    </w:p>
    <w:p w14:paraId="4051655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2.采购代理机构信息</w:t>
      </w:r>
    </w:p>
    <w:p w14:paraId="652DED09">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名称：中科经纬工程技术有限公司</w:t>
      </w:r>
    </w:p>
    <w:p w14:paraId="7D666959">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地址：陕西省西安市浐灞生态区兴泰一街127号世园大观3幢10502室</w:t>
      </w:r>
    </w:p>
    <w:p w14:paraId="4200D2C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联系方式：029-85261162</w:t>
      </w:r>
    </w:p>
    <w:p w14:paraId="7E831EA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3.项目联系方式</w:t>
      </w:r>
    </w:p>
    <w:p w14:paraId="02971F3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项目联系人：张洁泉、宁莎</w:t>
      </w:r>
    </w:p>
    <w:p w14:paraId="5799411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电话：029-85261162</w:t>
      </w:r>
    </w:p>
    <w:p w14:paraId="03CF145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right"/>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中科经纬工程技术有限公司</w:t>
      </w:r>
    </w:p>
    <w:p w14:paraId="49AE781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right"/>
        <w:textAlignment w:val="baseline"/>
      </w:pPr>
      <w:r>
        <w:rPr>
          <w:rFonts w:hint="eastAsia"/>
        </w:rPr>
        <w:t>2026年07月13日</w:t>
      </w:r>
    </w:p>
    <w:p w14:paraId="02CC287A">
      <w:pPr>
        <w:pStyle w:val="2"/>
        <w:pageBreakBefore w:val="0"/>
        <w:topLinePunct w:val="0"/>
        <w:bidi w:val="0"/>
        <w:spacing w:before="0" w:line="500" w:lineRule="exact"/>
        <w:ind w:left="0" w:leftChars="0" w:right="0" w:rightChars="0" w:firstLine="723" w:firstLineChars="200"/>
      </w:pPr>
    </w:p>
    <w:p w14:paraId="7F3F8070">
      <w:pPr>
        <w:pStyle w:val="2"/>
        <w:pageBreakBefore w:val="0"/>
        <w:topLinePunct w:val="0"/>
        <w:bidi w:val="0"/>
        <w:spacing w:before="0" w:line="500" w:lineRule="exact"/>
        <w:ind w:left="0" w:leftChars="0" w:right="0" w:rightChars="0" w:firstLine="723" w:firstLineChars="200"/>
      </w:pPr>
    </w:p>
    <w:p w14:paraId="6009AD39">
      <w:pPr>
        <w:pStyle w:val="2"/>
        <w:pageBreakBefore w:val="0"/>
        <w:topLinePunct w:val="0"/>
        <w:bidi w:val="0"/>
        <w:spacing w:before="0" w:line="500" w:lineRule="exact"/>
        <w:ind w:left="0" w:leftChars="0" w:right="0" w:rightChars="0" w:firstLine="723" w:firstLineChars="200"/>
      </w:pPr>
    </w:p>
    <w:p w14:paraId="70925C0D">
      <w:pPr>
        <w:pStyle w:val="2"/>
        <w:pageBreakBefore w:val="0"/>
        <w:topLinePunct w:val="0"/>
        <w:bidi w:val="0"/>
        <w:spacing w:before="0" w:line="500" w:lineRule="exact"/>
        <w:ind w:left="0" w:leftChars="0" w:right="0" w:rightChars="0" w:firstLine="723" w:firstLineChars="200"/>
      </w:pPr>
    </w:p>
    <w:p w14:paraId="43052DCC">
      <w:pPr>
        <w:pStyle w:val="2"/>
        <w:pageBreakBefore w:val="0"/>
        <w:topLinePunct w:val="0"/>
        <w:bidi w:val="0"/>
        <w:spacing w:before="0" w:line="500" w:lineRule="exact"/>
        <w:ind w:left="0" w:leftChars="0" w:right="0" w:rightChars="0" w:firstLine="723" w:firstLineChars="200"/>
      </w:pPr>
    </w:p>
    <w:p w14:paraId="67A811E9"/>
    <w:p w14:paraId="02A4E831"/>
    <w:p w14:paraId="3B16D97E"/>
    <w:p w14:paraId="5568558F"/>
    <w:p w14:paraId="75DA5318"/>
    <w:p w14:paraId="7C7D11C4"/>
    <w:p w14:paraId="22C976BB"/>
    <w:p w14:paraId="05340914"/>
    <w:p w14:paraId="083CBBEF"/>
    <w:p w14:paraId="5E4B19AF"/>
    <w:p w14:paraId="7E363D03"/>
    <w:p w14:paraId="77A1C0F8"/>
    <w:p w14:paraId="7F451CA4"/>
    <w:p w14:paraId="4DE84C7D"/>
    <w:p w14:paraId="2BC0EC9C"/>
    <w:p w14:paraId="0D1AF7C6">
      <w:pPr>
        <w:pStyle w:val="2"/>
        <w:pageBreakBefore w:val="0"/>
        <w:topLinePunct w:val="0"/>
        <w:bidi w:val="0"/>
        <w:spacing w:before="0" w:line="500" w:lineRule="exact"/>
        <w:ind w:left="0" w:leftChars="0" w:right="0" w:rightChars="0" w:firstLine="723" w:firstLineChars="200"/>
      </w:pPr>
    </w:p>
    <w:p w14:paraId="5169002B">
      <w:pPr>
        <w:pStyle w:val="2"/>
        <w:pageBreakBefore w:val="0"/>
        <w:topLinePunct w:val="0"/>
        <w:bidi w:val="0"/>
        <w:spacing w:before="0" w:line="500" w:lineRule="exact"/>
        <w:ind w:left="0" w:leftChars="0" w:right="0" w:rightChars="0" w:firstLine="723" w:firstLineChars="200"/>
      </w:pPr>
      <w:r>
        <w:t>第二章 投标须知</w:t>
      </w:r>
      <w:bookmarkEnd w:id="3"/>
    </w:p>
    <w:p w14:paraId="2653B937">
      <w:pPr>
        <w:pStyle w:val="8"/>
        <w:pageBreakBefore w:val="0"/>
        <w:topLinePunct w:val="0"/>
        <w:bidi w:val="0"/>
        <w:spacing w:line="500" w:lineRule="exact"/>
        <w:ind w:left="0" w:leftChars="0" w:right="0" w:rightChars="0" w:firstLine="480" w:firstLineChars="200"/>
        <w:rPr>
          <w:sz w:val="24"/>
          <w:szCs w:val="24"/>
        </w:rPr>
      </w:pPr>
    </w:p>
    <w:p w14:paraId="279E95A3">
      <w:pPr>
        <w:pageBreakBefore w:val="0"/>
        <w:topLinePunct w:val="0"/>
        <w:bidi w:val="0"/>
        <w:spacing w:line="500" w:lineRule="exact"/>
        <w:ind w:left="0" w:leftChars="0" w:right="0" w:rightChars="0" w:firstLine="480" w:firstLineChars="200"/>
        <w:rPr>
          <w:sz w:val="24"/>
          <w:szCs w:val="24"/>
        </w:rPr>
      </w:pPr>
      <w:r>
        <w:rPr>
          <w:sz w:val="24"/>
          <w:szCs w:val="24"/>
        </w:rPr>
        <w:t>1</w:t>
      </w:r>
      <w:r>
        <w:rPr>
          <w:rFonts w:hint="eastAsia"/>
          <w:sz w:val="24"/>
          <w:szCs w:val="24"/>
          <w:lang w:val="en-US"/>
        </w:rPr>
        <w:t>.</w:t>
      </w:r>
      <w:r>
        <w:rPr>
          <w:sz w:val="24"/>
          <w:szCs w:val="24"/>
        </w:rPr>
        <w:t>采购人：汉滨区教育体育局</w:t>
      </w:r>
    </w:p>
    <w:p w14:paraId="3E603BD4">
      <w:pPr>
        <w:pageBreakBefore w:val="0"/>
        <w:topLinePunct w:val="0"/>
        <w:bidi w:val="0"/>
        <w:spacing w:line="500" w:lineRule="exact"/>
        <w:ind w:left="0" w:leftChars="0" w:right="0" w:rightChars="0" w:firstLine="480" w:firstLineChars="200"/>
        <w:rPr>
          <w:rFonts w:hint="eastAsia"/>
          <w:sz w:val="24"/>
          <w:szCs w:val="24"/>
          <w:lang w:val="en-US"/>
        </w:rPr>
      </w:pPr>
      <w:r>
        <w:rPr>
          <w:rFonts w:hint="eastAsia"/>
          <w:sz w:val="24"/>
          <w:szCs w:val="24"/>
          <w:lang w:val="en-US"/>
        </w:rPr>
        <w:t>2.监督机构：汉滨区财政局</w:t>
      </w:r>
    </w:p>
    <w:p w14:paraId="53AC449C">
      <w:pPr>
        <w:pageBreakBefore w:val="0"/>
        <w:topLinePunct w:val="0"/>
        <w:bidi w:val="0"/>
        <w:spacing w:line="500" w:lineRule="exact"/>
        <w:ind w:left="0" w:leftChars="0" w:right="0" w:rightChars="0" w:firstLine="480" w:firstLineChars="200"/>
        <w:rPr>
          <w:rFonts w:hint="eastAsia" w:eastAsia="宋体"/>
          <w:sz w:val="24"/>
          <w:szCs w:val="24"/>
          <w:lang w:val="en-US" w:eastAsia="zh-CN"/>
        </w:rPr>
      </w:pPr>
      <w:r>
        <w:rPr>
          <w:sz w:val="24"/>
          <w:szCs w:val="24"/>
        </w:rPr>
        <w:t>3</w:t>
      </w:r>
      <w:r>
        <w:rPr>
          <w:rFonts w:hint="eastAsia"/>
          <w:sz w:val="24"/>
          <w:szCs w:val="24"/>
          <w:lang w:val="en-US"/>
        </w:rPr>
        <w:t>.</w:t>
      </w:r>
      <w:r>
        <w:rPr>
          <w:sz w:val="24"/>
          <w:szCs w:val="24"/>
        </w:rPr>
        <w:t>采购代理机构：</w:t>
      </w:r>
      <w:r>
        <w:rPr>
          <w:rFonts w:hint="eastAsia"/>
          <w:sz w:val="24"/>
          <w:szCs w:val="24"/>
          <w:lang w:val="en-US" w:eastAsia="zh-CN"/>
        </w:rPr>
        <w:t>中科经纬工程技术有限公司</w:t>
      </w:r>
    </w:p>
    <w:p w14:paraId="3AF4A3FA">
      <w:pPr>
        <w:pageBreakBefore w:val="0"/>
        <w:topLinePunct w:val="0"/>
        <w:bidi w:val="0"/>
        <w:spacing w:line="500" w:lineRule="exact"/>
        <w:ind w:left="0" w:leftChars="0" w:right="0" w:rightChars="0" w:firstLine="480" w:firstLineChars="200"/>
        <w:rPr>
          <w:color w:val="auto"/>
          <w:sz w:val="20"/>
        </w:rPr>
      </w:pPr>
      <w:r>
        <w:rPr>
          <w:rFonts w:hint="eastAsia"/>
          <w:sz w:val="24"/>
          <w:szCs w:val="24"/>
          <w:lang w:val="en-US" w:eastAsia="zh-CN"/>
        </w:rPr>
        <w:t>4</w:t>
      </w:r>
      <w:r>
        <w:rPr>
          <w:rFonts w:hint="eastAsia"/>
          <w:sz w:val="24"/>
          <w:szCs w:val="24"/>
          <w:lang w:val="en-US"/>
        </w:rPr>
        <w:t>.</w:t>
      </w:r>
      <w:r>
        <w:rPr>
          <w:rFonts w:hint="eastAsia"/>
          <w:sz w:val="24"/>
          <w:szCs w:val="24"/>
          <w:lang w:eastAsia="zh-CN"/>
        </w:rPr>
        <w:t>供应商</w:t>
      </w:r>
      <w:r>
        <w:rPr>
          <w:sz w:val="24"/>
          <w:szCs w:val="24"/>
        </w:rPr>
        <w:t>：是指响应招标</w:t>
      </w:r>
      <w:r>
        <w:rPr>
          <w:color w:val="auto"/>
          <w:sz w:val="24"/>
          <w:szCs w:val="24"/>
        </w:rPr>
        <w:t>并符合招标文件规定的资格条件和参加投标竞争的法人、其他组织或自然人。</w:t>
      </w:r>
    </w:p>
    <w:p w14:paraId="1F81241A">
      <w:pPr>
        <w:pStyle w:val="5"/>
        <w:pageBreakBefore w:val="0"/>
        <w:numPr>
          <w:ilvl w:val="0"/>
          <w:numId w:val="0"/>
        </w:numPr>
        <w:topLinePunct w:val="0"/>
        <w:bidi w:val="0"/>
        <w:spacing w:line="500" w:lineRule="exact"/>
        <w:ind w:leftChars="200" w:right="0" w:rightChars="0" w:firstLine="3654" w:firstLineChars="1300"/>
        <w:jc w:val="both"/>
        <w:rPr>
          <w:color w:val="auto"/>
        </w:rPr>
      </w:pPr>
      <w:bookmarkStart w:id="4" w:name="一、投标说明"/>
      <w:bookmarkEnd w:id="4"/>
      <w:r>
        <w:rPr>
          <w:rFonts w:hint="eastAsia"/>
          <w:color w:val="auto"/>
          <w:lang w:val="en-US" w:eastAsia="zh-CN"/>
        </w:rPr>
        <w:t>一、</w:t>
      </w:r>
      <w:r>
        <w:rPr>
          <w:color w:val="auto"/>
        </w:rPr>
        <w:t>投标说明</w:t>
      </w:r>
    </w:p>
    <w:p w14:paraId="240F697F">
      <w:pPr>
        <w:pStyle w:val="12"/>
        <w:pageBreakBefore w:val="0"/>
        <w:topLinePunct w:val="0"/>
        <w:bidi w:val="0"/>
        <w:spacing w:line="500" w:lineRule="exact"/>
        <w:ind w:left="0" w:leftChars="0" w:right="0" w:rightChars="0" w:firstLine="803" w:firstLineChars="200"/>
        <w:rPr>
          <w:b/>
          <w:color w:val="auto"/>
          <w:sz w:val="40"/>
        </w:rPr>
      </w:pPr>
    </w:p>
    <w:p w14:paraId="5E8689BC">
      <w:pPr>
        <w:pStyle w:val="7"/>
        <w:pageBreakBefore w:val="0"/>
        <w:tabs>
          <w:tab w:val="left" w:pos="984"/>
        </w:tabs>
        <w:topLinePunct w:val="0"/>
        <w:bidi w:val="0"/>
        <w:spacing w:line="500" w:lineRule="exact"/>
        <w:ind w:left="0" w:leftChars="0" w:right="0" w:rightChars="0" w:firstLine="482" w:firstLineChars="200"/>
        <w:rPr>
          <w:color w:val="auto"/>
        </w:rPr>
      </w:pPr>
      <w:r>
        <w:rPr>
          <w:rFonts w:hint="eastAsia"/>
          <w:color w:val="auto"/>
        </w:rPr>
        <w:t>1.</w:t>
      </w:r>
      <w:r>
        <w:rPr>
          <w:color w:val="auto"/>
        </w:rPr>
        <w:t>投标委托</w:t>
      </w:r>
    </w:p>
    <w:p w14:paraId="1A3478D1">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1.1如</w:t>
      </w:r>
      <w:r>
        <w:rPr>
          <w:rFonts w:hint="eastAsia"/>
          <w:color w:val="auto"/>
          <w:sz w:val="24"/>
          <w:szCs w:val="24"/>
          <w:lang w:val="en-US" w:eastAsia="zh-CN"/>
        </w:rPr>
        <w:t>供应商</w:t>
      </w:r>
      <w:r>
        <w:rPr>
          <w:rFonts w:hint="eastAsia"/>
          <w:color w:val="auto"/>
          <w:sz w:val="24"/>
          <w:szCs w:val="24"/>
          <w:lang w:val="en-US"/>
        </w:rPr>
        <w:t>代表不是法定代表人，须</w:t>
      </w:r>
      <w:r>
        <w:rPr>
          <w:rFonts w:hint="eastAsia"/>
          <w:color w:val="auto"/>
          <w:sz w:val="24"/>
          <w:szCs w:val="24"/>
          <w:lang w:val="en-US" w:eastAsia="zh-CN"/>
        </w:rPr>
        <w:t>在</w:t>
      </w:r>
      <w:r>
        <w:rPr>
          <w:rFonts w:hint="eastAsia"/>
          <w:color w:val="auto"/>
          <w:sz w:val="24"/>
          <w:szCs w:val="24"/>
          <w:lang w:val="en-US"/>
        </w:rPr>
        <w:t>投标文件</w:t>
      </w:r>
      <w:r>
        <w:rPr>
          <w:rFonts w:hint="eastAsia"/>
          <w:color w:val="auto"/>
          <w:sz w:val="24"/>
          <w:szCs w:val="24"/>
          <w:lang w:val="en-US" w:eastAsia="zh-CN"/>
        </w:rPr>
        <w:t>中</w:t>
      </w:r>
      <w:r>
        <w:rPr>
          <w:rFonts w:hint="eastAsia"/>
          <w:color w:val="auto"/>
          <w:sz w:val="24"/>
          <w:szCs w:val="24"/>
          <w:lang w:val="en-US"/>
        </w:rPr>
        <w:t>提供《法</w:t>
      </w:r>
      <w:r>
        <w:rPr>
          <w:rFonts w:hint="eastAsia"/>
          <w:color w:val="auto"/>
          <w:sz w:val="24"/>
          <w:szCs w:val="24"/>
          <w:lang w:val="en-US" w:eastAsia="zh-CN"/>
        </w:rPr>
        <w:t>定代表</w:t>
      </w:r>
      <w:r>
        <w:rPr>
          <w:rFonts w:hint="eastAsia"/>
          <w:color w:val="auto"/>
          <w:sz w:val="24"/>
          <w:szCs w:val="24"/>
          <w:lang w:val="en-US"/>
        </w:rPr>
        <w:t>人授权委托书》</w:t>
      </w:r>
      <w:r>
        <w:rPr>
          <w:rFonts w:hint="eastAsia"/>
          <w:color w:val="auto"/>
          <w:sz w:val="24"/>
          <w:szCs w:val="24"/>
          <w:lang w:val="en-US" w:eastAsia="zh-CN"/>
        </w:rPr>
        <w:t>（</w:t>
      </w:r>
      <w:r>
        <w:rPr>
          <w:rFonts w:hint="eastAsia"/>
          <w:color w:val="auto"/>
          <w:sz w:val="24"/>
          <w:szCs w:val="24"/>
          <w:lang w:val="en-US"/>
        </w:rPr>
        <w:t>统一格式</w:t>
      </w:r>
      <w:r>
        <w:rPr>
          <w:rFonts w:hint="eastAsia"/>
          <w:color w:val="auto"/>
          <w:sz w:val="24"/>
          <w:szCs w:val="24"/>
          <w:lang w:val="en-US" w:eastAsia="zh-CN"/>
        </w:rPr>
        <w:t>）</w:t>
      </w:r>
      <w:r>
        <w:rPr>
          <w:rFonts w:hint="eastAsia"/>
          <w:color w:val="auto"/>
          <w:sz w:val="24"/>
          <w:szCs w:val="24"/>
          <w:lang w:val="en-US"/>
        </w:rPr>
        <w:t>。</w:t>
      </w:r>
    </w:p>
    <w:p w14:paraId="2AE9DBB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1.2</w:t>
      </w:r>
      <w:r>
        <w:rPr>
          <w:rFonts w:hint="eastAsia"/>
          <w:color w:val="auto"/>
          <w:sz w:val="24"/>
          <w:szCs w:val="24"/>
          <w:lang w:val="en-US" w:eastAsia="zh-CN"/>
        </w:rPr>
        <w:t>供应商</w:t>
      </w:r>
      <w:r>
        <w:rPr>
          <w:rFonts w:hint="eastAsia"/>
          <w:color w:val="auto"/>
          <w:sz w:val="24"/>
          <w:szCs w:val="24"/>
          <w:lang w:val="en-US"/>
        </w:rPr>
        <w:t>只允许为独立法人，不接受联合体投标。</w:t>
      </w:r>
    </w:p>
    <w:p w14:paraId="2996920E">
      <w:pPr>
        <w:pStyle w:val="7"/>
        <w:pageBreakBefore w:val="0"/>
        <w:tabs>
          <w:tab w:val="left" w:pos="984"/>
        </w:tabs>
        <w:topLinePunct w:val="0"/>
        <w:bidi w:val="0"/>
        <w:spacing w:line="500" w:lineRule="exact"/>
        <w:ind w:left="0" w:leftChars="0" w:right="0" w:rightChars="0" w:firstLine="482" w:firstLineChars="200"/>
        <w:rPr>
          <w:color w:val="auto"/>
        </w:rPr>
      </w:pPr>
      <w:r>
        <w:rPr>
          <w:color w:val="auto"/>
        </w:rPr>
        <w:t>2</w:t>
      </w:r>
      <w:r>
        <w:rPr>
          <w:rFonts w:hint="eastAsia"/>
          <w:color w:val="auto"/>
        </w:rPr>
        <w:t>.投标费用</w:t>
      </w:r>
    </w:p>
    <w:p w14:paraId="72F91C6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不论投标结果如何，</w:t>
      </w:r>
      <w:r>
        <w:rPr>
          <w:rFonts w:hint="eastAsia"/>
          <w:color w:val="auto"/>
          <w:sz w:val="24"/>
          <w:szCs w:val="24"/>
          <w:lang w:val="en-US" w:eastAsia="zh-CN"/>
        </w:rPr>
        <w:t>供应商</w:t>
      </w:r>
      <w:r>
        <w:rPr>
          <w:rFonts w:hint="eastAsia"/>
          <w:color w:val="auto"/>
          <w:sz w:val="24"/>
          <w:szCs w:val="24"/>
          <w:lang w:val="en-US"/>
        </w:rPr>
        <w:t>准备和参加投标活动的费用自理。</w:t>
      </w:r>
    </w:p>
    <w:p w14:paraId="35E16F65">
      <w:pPr>
        <w:pStyle w:val="7"/>
        <w:pageBreakBefore w:val="0"/>
        <w:tabs>
          <w:tab w:val="left" w:pos="984"/>
        </w:tabs>
        <w:topLinePunct w:val="0"/>
        <w:bidi w:val="0"/>
        <w:spacing w:line="500" w:lineRule="exact"/>
        <w:ind w:left="0" w:leftChars="0" w:right="0" w:rightChars="0" w:firstLine="482" w:firstLineChars="200"/>
        <w:rPr>
          <w:color w:val="auto"/>
        </w:rPr>
      </w:pPr>
      <w:r>
        <w:rPr>
          <w:color w:val="auto"/>
        </w:rPr>
        <w:t>3</w:t>
      </w:r>
      <w:r>
        <w:rPr>
          <w:rFonts w:hint="eastAsia"/>
          <w:color w:val="auto"/>
        </w:rPr>
        <w:t xml:space="preserve">.名词解释 </w:t>
      </w:r>
    </w:p>
    <w:p w14:paraId="61C117E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3.1 采购人系指依法进行政府采购的国家机关、事业单位、团体组织。本次采购的采购人名称、地址、电话、联系人见</w:t>
      </w:r>
      <w:r>
        <w:rPr>
          <w:rFonts w:hint="eastAsia"/>
          <w:color w:val="auto"/>
          <w:sz w:val="24"/>
          <w:szCs w:val="24"/>
          <w:lang w:val="en-US" w:eastAsia="zh-CN"/>
        </w:rPr>
        <w:t>供应商</w:t>
      </w:r>
      <w:r>
        <w:rPr>
          <w:rFonts w:hint="eastAsia"/>
          <w:color w:val="auto"/>
          <w:sz w:val="24"/>
          <w:szCs w:val="24"/>
          <w:lang w:val="en-US"/>
        </w:rPr>
        <w:t xml:space="preserve">须知前附表。 </w:t>
      </w:r>
    </w:p>
    <w:p w14:paraId="0CD141D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 xml:space="preserve">3.2 监督机构系指政府采购行政监督管理部门。 </w:t>
      </w:r>
    </w:p>
    <w:p w14:paraId="661689F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3.3 采购代理机构系指接受采购人委托，代理采购项目的依法经财政部门认定资格的采购代理机构。本次采购的采购代理机构名称、地址、电话、联系人见</w:t>
      </w:r>
      <w:r>
        <w:rPr>
          <w:rFonts w:hint="eastAsia"/>
          <w:color w:val="auto"/>
          <w:sz w:val="24"/>
          <w:szCs w:val="24"/>
          <w:lang w:val="en-US" w:eastAsia="zh-CN"/>
        </w:rPr>
        <w:t>供应商</w:t>
      </w:r>
      <w:r>
        <w:rPr>
          <w:rFonts w:hint="eastAsia"/>
          <w:color w:val="auto"/>
          <w:sz w:val="24"/>
          <w:szCs w:val="24"/>
          <w:lang w:val="en-US"/>
        </w:rPr>
        <w:t xml:space="preserve">须知前附表。 </w:t>
      </w:r>
    </w:p>
    <w:p w14:paraId="07F671B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 xml:space="preserve">3.4 </w:t>
      </w:r>
      <w:r>
        <w:rPr>
          <w:rFonts w:hint="eastAsia"/>
          <w:color w:val="auto"/>
          <w:sz w:val="24"/>
          <w:szCs w:val="24"/>
          <w:lang w:val="en-US" w:eastAsia="zh-CN"/>
        </w:rPr>
        <w:t>供应商</w:t>
      </w:r>
      <w:r>
        <w:rPr>
          <w:rFonts w:hint="eastAsia"/>
          <w:color w:val="auto"/>
          <w:sz w:val="24"/>
          <w:szCs w:val="24"/>
          <w:lang w:val="en-US"/>
        </w:rPr>
        <w:t xml:space="preserve">是指响应招标，参加投标竞争的法人或其他组织或个人。 </w:t>
      </w:r>
    </w:p>
    <w:p w14:paraId="791DD78E">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3.5 货物是指本招标文件中</w:t>
      </w:r>
      <w:r>
        <w:rPr>
          <w:rFonts w:hint="eastAsia"/>
          <w:color w:val="auto"/>
          <w:sz w:val="24"/>
          <w:szCs w:val="24"/>
          <w:lang w:val="en-US" w:eastAsia="zh-CN"/>
        </w:rPr>
        <w:t>第三章</w:t>
      </w:r>
      <w:r>
        <w:rPr>
          <w:rFonts w:hint="eastAsia"/>
          <w:color w:val="auto"/>
          <w:sz w:val="24"/>
          <w:szCs w:val="24"/>
          <w:lang w:val="en-US"/>
        </w:rPr>
        <w:t xml:space="preserve">所述所有货物。 </w:t>
      </w:r>
    </w:p>
    <w:p w14:paraId="302C0D4D">
      <w:pPr>
        <w:pageBreakBefore w:val="0"/>
        <w:topLinePunct w:val="0"/>
        <w:bidi w:val="0"/>
        <w:spacing w:line="500" w:lineRule="exact"/>
        <w:ind w:left="0" w:leftChars="0" w:right="0" w:rightChars="0" w:firstLine="480" w:firstLineChars="200"/>
        <w:rPr>
          <w:rFonts w:hint="eastAsia"/>
          <w:color w:val="auto"/>
          <w:sz w:val="24"/>
          <w:szCs w:val="24"/>
          <w:lang w:val="en-US" w:eastAsia="zh-CN"/>
        </w:rPr>
      </w:pPr>
      <w:r>
        <w:rPr>
          <w:rFonts w:hint="eastAsia"/>
          <w:color w:val="auto"/>
          <w:sz w:val="24"/>
          <w:szCs w:val="24"/>
          <w:lang w:val="en-US"/>
        </w:rPr>
        <w:t>3.6 服务是指</w:t>
      </w:r>
      <w:r>
        <w:rPr>
          <w:rFonts w:hint="eastAsia"/>
          <w:color w:val="auto"/>
          <w:sz w:val="24"/>
          <w:szCs w:val="24"/>
          <w:lang w:val="en-US" w:eastAsia="zh-CN"/>
        </w:rPr>
        <w:t>供应商</w:t>
      </w:r>
      <w:r>
        <w:rPr>
          <w:rFonts w:hint="eastAsia"/>
          <w:color w:val="auto"/>
          <w:sz w:val="24"/>
          <w:szCs w:val="24"/>
          <w:lang w:val="en-US"/>
        </w:rPr>
        <w:t>为</w:t>
      </w:r>
      <w:r>
        <w:rPr>
          <w:rFonts w:hint="eastAsia"/>
          <w:color w:val="auto"/>
          <w:sz w:val="24"/>
          <w:szCs w:val="24"/>
          <w:lang w:val="en-US" w:eastAsia="zh-CN"/>
        </w:rPr>
        <w:t xml:space="preserve">满足招标文件要求而提供的服务。 </w:t>
      </w:r>
    </w:p>
    <w:p w14:paraId="4DCADCC6">
      <w:pPr>
        <w:pageBreakBefore w:val="0"/>
        <w:topLinePunct w:val="0"/>
        <w:bidi w:val="0"/>
        <w:spacing w:line="500" w:lineRule="exact"/>
        <w:ind w:left="0" w:leftChars="0" w:right="0" w:rightChars="0" w:firstLine="480" w:firstLineChars="200"/>
        <w:rPr>
          <w:rFonts w:hint="eastAsia"/>
          <w:color w:val="auto"/>
          <w:sz w:val="24"/>
          <w:szCs w:val="24"/>
          <w:lang w:val="en-US" w:eastAsia="zh-CN"/>
        </w:rPr>
      </w:pPr>
      <w:r>
        <w:rPr>
          <w:rFonts w:hint="eastAsia"/>
          <w:color w:val="auto"/>
          <w:sz w:val="24"/>
          <w:szCs w:val="24"/>
          <w:lang w:val="en-US" w:eastAsia="zh-CN"/>
        </w:rPr>
        <w:t xml:space="preserve">3.7 节能产品指财政部、发展改革委、生态环境部等部门发布的《节能产品品目清单》中的产品。 </w:t>
      </w:r>
    </w:p>
    <w:p w14:paraId="326B655D">
      <w:pPr>
        <w:pageBreakBefore w:val="0"/>
        <w:topLinePunct w:val="0"/>
        <w:bidi w:val="0"/>
        <w:spacing w:line="500" w:lineRule="exact"/>
        <w:ind w:left="0" w:leftChars="0" w:right="0" w:rightChars="0" w:firstLine="480" w:firstLineChars="200"/>
        <w:rPr>
          <w:rFonts w:hint="eastAsia"/>
          <w:color w:val="auto"/>
          <w:sz w:val="24"/>
          <w:szCs w:val="24"/>
          <w:lang w:val="en-US" w:eastAsia="zh-CN"/>
        </w:rPr>
      </w:pPr>
      <w:r>
        <w:rPr>
          <w:rFonts w:hint="eastAsia"/>
          <w:color w:val="auto"/>
          <w:sz w:val="24"/>
          <w:szCs w:val="24"/>
          <w:lang w:val="en-US" w:eastAsia="zh-CN"/>
        </w:rPr>
        <w:t xml:space="preserve">3.8 环境标志产品是指财政部、发展改革委、生态环境部等部门发布的《环境标志产品品目清单》中的产品。 </w:t>
      </w:r>
    </w:p>
    <w:p w14:paraId="222D9E3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3.9 进口产品是指通过中国海关报关验放进入中国境内且产自关境外的产品，详见《关于政府采购进口产品管理有关问题的通知》（财库〔2007〕</w:t>
      </w:r>
      <w:r>
        <w:rPr>
          <w:rFonts w:hint="eastAsia"/>
          <w:color w:val="auto"/>
          <w:sz w:val="24"/>
          <w:szCs w:val="24"/>
          <w:lang w:val="en-US"/>
        </w:rPr>
        <w:t>119 号</w:t>
      </w:r>
      <w:r>
        <w:rPr>
          <w:rFonts w:hint="eastAsia"/>
          <w:color w:val="auto"/>
          <w:sz w:val="24"/>
          <w:szCs w:val="24"/>
          <w:lang w:val="en-US" w:eastAsia="zh-CN"/>
        </w:rPr>
        <w:t>）</w:t>
      </w:r>
      <w:r>
        <w:rPr>
          <w:rFonts w:hint="eastAsia"/>
          <w:color w:val="auto"/>
          <w:sz w:val="24"/>
          <w:szCs w:val="24"/>
          <w:lang w:val="en-US"/>
        </w:rPr>
        <w:t xml:space="preserve">。 </w:t>
      </w:r>
    </w:p>
    <w:p w14:paraId="63EDC62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3.10 中小企业是指符合《工业和信息化部、国家统计局、国家发展和改革委员会、财政部关于印发中小企业划型标准规定的通知》（工信部联企业</w:t>
      </w:r>
      <w:r>
        <w:rPr>
          <w:rFonts w:hint="eastAsia"/>
          <w:color w:val="auto"/>
          <w:sz w:val="24"/>
          <w:szCs w:val="24"/>
          <w:lang w:val="en-US" w:eastAsia="zh-CN"/>
        </w:rPr>
        <w:t>〔2011〕</w:t>
      </w:r>
      <w:r>
        <w:rPr>
          <w:rFonts w:hint="eastAsia"/>
          <w:color w:val="auto"/>
          <w:sz w:val="24"/>
          <w:szCs w:val="24"/>
          <w:lang w:val="en-US"/>
        </w:rPr>
        <w:t xml:space="preserve">300 号）规定的对中小企业的划分标准的企业。 </w:t>
      </w:r>
    </w:p>
    <w:p w14:paraId="185E7B0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 xml:space="preserve">3.11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13D5DF7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3.12 残疾人福利性单位是指符合《财政部、民政部、中国残疾人联合会关于促进残疾人就业政府采购政策的通知》（财库〔2017〕141 号）规定条件的单位。</w:t>
      </w:r>
    </w:p>
    <w:p w14:paraId="7A8583E6">
      <w:pPr>
        <w:pStyle w:val="7"/>
        <w:pageBreakBefore w:val="0"/>
        <w:tabs>
          <w:tab w:val="left" w:pos="984"/>
        </w:tabs>
        <w:topLinePunct w:val="0"/>
        <w:bidi w:val="0"/>
        <w:spacing w:line="500" w:lineRule="exact"/>
        <w:ind w:left="0" w:leftChars="0" w:right="0" w:rightChars="0" w:firstLine="482" w:firstLineChars="200"/>
        <w:rPr>
          <w:rFonts w:hint="eastAsia" w:eastAsia="宋体"/>
          <w:color w:val="auto"/>
          <w:lang w:eastAsia="zh-CN"/>
        </w:rPr>
      </w:pPr>
      <w:r>
        <w:rPr>
          <w:rFonts w:hint="eastAsia"/>
          <w:color w:val="auto"/>
        </w:rPr>
        <w:t>4.合格的</w:t>
      </w:r>
      <w:r>
        <w:rPr>
          <w:rFonts w:hint="eastAsia"/>
          <w:color w:val="auto"/>
          <w:lang w:eastAsia="zh-CN"/>
        </w:rPr>
        <w:t>供应商</w:t>
      </w:r>
    </w:p>
    <w:p w14:paraId="32E33FC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4.1合格的</w:t>
      </w:r>
      <w:r>
        <w:rPr>
          <w:rFonts w:hint="eastAsia"/>
          <w:color w:val="auto"/>
          <w:sz w:val="24"/>
          <w:szCs w:val="24"/>
          <w:lang w:val="en-US" w:eastAsia="zh-CN"/>
        </w:rPr>
        <w:t>供应商</w:t>
      </w:r>
      <w:r>
        <w:rPr>
          <w:rFonts w:hint="eastAsia"/>
          <w:color w:val="auto"/>
          <w:sz w:val="24"/>
          <w:szCs w:val="24"/>
          <w:lang w:val="en-US"/>
        </w:rPr>
        <w:t>应具备以下条件：</w:t>
      </w:r>
    </w:p>
    <w:p w14:paraId="47B80E6D">
      <w:pPr>
        <w:pageBreakBefore w:val="0"/>
        <w:topLinePunct w:val="0"/>
        <w:bidi w:val="0"/>
        <w:spacing w:line="500" w:lineRule="exact"/>
        <w:ind w:left="0" w:leftChars="0" w:right="0" w:rightChars="0"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（1）具备且满足“招标公告”要求的；</w:t>
      </w:r>
    </w:p>
    <w:p w14:paraId="3FF00184">
      <w:pPr>
        <w:pageBreakBefore w:val="0"/>
        <w:topLinePunct w:val="0"/>
        <w:bidi w:val="0"/>
        <w:spacing w:line="500" w:lineRule="exact"/>
        <w:ind w:left="0" w:leftChars="0" w:right="0" w:rightChars="0"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（2）</w:t>
      </w:r>
      <w:r>
        <w:rPr>
          <w:rFonts w:hint="eastAsia" w:ascii="宋体" w:hAnsi="宋体" w:eastAsia="宋体" w:cs="宋体"/>
          <w:color w:val="auto"/>
          <w:sz w:val="24"/>
          <w:szCs w:val="24"/>
          <w:lang w:val="en-US" w:eastAsia="zh-CN"/>
        </w:rPr>
        <w:t>供应商必须在全国公共资源交易中心平台（陕西省·安康市）获取招标文件，并按招标文件要求制作上传投标文件。</w:t>
      </w:r>
    </w:p>
    <w:p w14:paraId="239F835E">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w:t>
      </w:r>
      <w:r>
        <w:rPr>
          <w:rFonts w:hint="eastAsia"/>
          <w:color w:val="auto"/>
          <w:sz w:val="24"/>
          <w:szCs w:val="24"/>
          <w:lang w:val="en-US" w:eastAsia="zh-CN"/>
        </w:rPr>
        <w:t>3</w:t>
      </w:r>
      <w:r>
        <w:rPr>
          <w:rFonts w:hint="eastAsia"/>
          <w:color w:val="auto"/>
          <w:sz w:val="24"/>
          <w:szCs w:val="24"/>
          <w:lang w:val="en-US"/>
        </w:rPr>
        <w:t>）遵守国家、陕西省和安康市有关的法律、法规和规范性文件要求；</w:t>
      </w:r>
    </w:p>
    <w:p w14:paraId="08091A8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w:t>
      </w:r>
      <w:r>
        <w:rPr>
          <w:rFonts w:hint="eastAsia"/>
          <w:color w:val="auto"/>
          <w:sz w:val="24"/>
          <w:szCs w:val="24"/>
          <w:lang w:val="en-US" w:eastAsia="zh-CN"/>
        </w:rPr>
        <w:t>4</w:t>
      </w:r>
      <w:r>
        <w:rPr>
          <w:rFonts w:hint="eastAsia"/>
          <w:color w:val="auto"/>
          <w:sz w:val="24"/>
          <w:szCs w:val="24"/>
          <w:lang w:val="en-US"/>
        </w:rPr>
        <w:t>）招标文件和法律、行政法规规定的其他条件。</w:t>
      </w:r>
    </w:p>
    <w:p w14:paraId="32B0D68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4.2</w:t>
      </w:r>
      <w:r>
        <w:rPr>
          <w:rFonts w:hint="eastAsia"/>
          <w:color w:val="auto"/>
          <w:sz w:val="24"/>
          <w:szCs w:val="24"/>
          <w:lang w:val="en-US" w:eastAsia="zh-CN"/>
        </w:rPr>
        <w:t>供应商</w:t>
      </w:r>
      <w:r>
        <w:rPr>
          <w:rFonts w:hint="eastAsia"/>
          <w:color w:val="auto"/>
          <w:sz w:val="24"/>
          <w:szCs w:val="24"/>
          <w:lang w:val="en-US"/>
        </w:rPr>
        <w:t>不得存在下列情形之一：</w:t>
      </w:r>
    </w:p>
    <w:p w14:paraId="1CEB188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（l）与采购人、采购代理机构存在隶属关系或者其他利害关系；</w:t>
      </w:r>
    </w:p>
    <w:p w14:paraId="3F9F873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（2）与其他</w:t>
      </w:r>
      <w:r>
        <w:rPr>
          <w:rFonts w:hint="eastAsia"/>
          <w:color w:val="auto"/>
          <w:sz w:val="24"/>
          <w:szCs w:val="24"/>
          <w:lang w:val="en-US" w:eastAsia="zh-CN"/>
        </w:rPr>
        <w:t>投标人</w:t>
      </w:r>
      <w:r>
        <w:rPr>
          <w:rFonts w:hint="eastAsia"/>
          <w:color w:val="auto"/>
          <w:sz w:val="24"/>
          <w:szCs w:val="24"/>
          <w:lang w:val="en-US"/>
        </w:rPr>
        <w:t>的法定代表人（或者负责人）为同一人，或者与其他</w:t>
      </w:r>
      <w:r>
        <w:rPr>
          <w:rFonts w:hint="eastAsia"/>
          <w:color w:val="auto"/>
          <w:sz w:val="24"/>
          <w:szCs w:val="24"/>
          <w:lang w:val="en-US" w:eastAsia="zh-CN"/>
        </w:rPr>
        <w:t>投标</w:t>
      </w:r>
      <w:r>
        <w:rPr>
          <w:rFonts w:hint="eastAsia"/>
          <w:color w:val="auto"/>
          <w:sz w:val="24"/>
          <w:szCs w:val="24"/>
          <w:lang w:val="en-US"/>
        </w:rPr>
        <w:t>人存在控股、关联关系；</w:t>
      </w:r>
    </w:p>
    <w:p w14:paraId="0EF42DD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（3）受到刑事处罚；</w:t>
      </w:r>
    </w:p>
    <w:p w14:paraId="54FFE6E0">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（4）受到财政部门的行政处罚；</w:t>
      </w:r>
    </w:p>
    <w:p w14:paraId="3FDF706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（5）被责令停产停业、暂扣或者吊销许可证、暂扣或者吊销执照的行政处罚；</w:t>
      </w:r>
    </w:p>
    <w:p w14:paraId="3E03E25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（6）在一至三年内禁止参加政府采购活动或存在财政部门认定的其他重大违法记录。</w:t>
      </w:r>
    </w:p>
    <w:p w14:paraId="32C0D8B8">
      <w:pPr>
        <w:pStyle w:val="7"/>
        <w:pageBreakBefore w:val="0"/>
        <w:tabs>
          <w:tab w:val="left" w:pos="984"/>
        </w:tabs>
        <w:topLinePunct w:val="0"/>
        <w:bidi w:val="0"/>
        <w:spacing w:line="500" w:lineRule="exact"/>
        <w:ind w:left="0" w:leftChars="0" w:right="0" w:rightChars="0" w:firstLine="482" w:firstLineChars="200"/>
        <w:rPr>
          <w:color w:val="auto"/>
        </w:rPr>
      </w:pPr>
      <w:r>
        <w:rPr>
          <w:rFonts w:hint="eastAsia"/>
          <w:color w:val="auto"/>
        </w:rPr>
        <w:t>5.合格的货物（产品）和服务</w:t>
      </w:r>
    </w:p>
    <w:p w14:paraId="16CD42B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5.1</w:t>
      </w:r>
      <w:r>
        <w:rPr>
          <w:rFonts w:hint="eastAsia"/>
          <w:color w:val="auto"/>
          <w:sz w:val="24"/>
          <w:szCs w:val="24"/>
          <w:lang w:val="en-US" w:eastAsia="zh-CN"/>
        </w:rPr>
        <w:t>供应商</w:t>
      </w:r>
      <w:r>
        <w:rPr>
          <w:rFonts w:hint="eastAsia"/>
          <w:color w:val="auto"/>
          <w:sz w:val="24"/>
          <w:szCs w:val="24"/>
          <w:lang w:val="en-US"/>
        </w:rPr>
        <w:t>提供的所有产品和服务，必须是合法生产、合法来源，符合国家有关标准要求，并满足招标文件规定的规格、参数、质量、价格、有效期、售后服务及</w:t>
      </w:r>
      <w:r>
        <w:rPr>
          <w:rFonts w:hint="eastAsia"/>
          <w:color w:val="auto"/>
          <w:sz w:val="24"/>
          <w:szCs w:val="24"/>
          <w:lang w:val="en-US" w:eastAsia="zh-CN"/>
        </w:rPr>
        <w:t>供应商</w:t>
      </w:r>
      <w:r>
        <w:rPr>
          <w:rFonts w:hint="eastAsia"/>
          <w:color w:val="auto"/>
          <w:sz w:val="24"/>
          <w:szCs w:val="24"/>
          <w:lang w:val="en-US"/>
        </w:rPr>
        <w:t>须承担的运输、配送、技术支</w:t>
      </w:r>
      <w:r>
        <w:rPr>
          <w:rFonts w:hint="eastAsia"/>
          <w:color w:val="auto"/>
          <w:sz w:val="24"/>
          <w:szCs w:val="24"/>
          <w:lang w:val="en-US" w:eastAsia="zh-CN"/>
        </w:rPr>
        <w:t>持及</w:t>
      </w:r>
      <w:r>
        <w:rPr>
          <w:rFonts w:hint="eastAsia"/>
          <w:color w:val="auto"/>
          <w:sz w:val="24"/>
          <w:szCs w:val="24"/>
          <w:lang w:val="en-US"/>
        </w:rPr>
        <w:t>招标文件规定</w:t>
      </w:r>
      <w:r>
        <w:rPr>
          <w:rFonts w:hint="eastAsia"/>
          <w:color w:val="auto"/>
          <w:sz w:val="24"/>
          <w:szCs w:val="24"/>
          <w:lang w:val="en-US" w:eastAsia="zh-CN"/>
        </w:rPr>
        <w:t>的其他</w:t>
      </w:r>
      <w:r>
        <w:rPr>
          <w:rFonts w:hint="eastAsia"/>
          <w:color w:val="auto"/>
          <w:sz w:val="24"/>
          <w:szCs w:val="24"/>
          <w:lang w:val="en-US"/>
        </w:rPr>
        <w:t>伴随服务等要求。</w:t>
      </w:r>
    </w:p>
    <w:p w14:paraId="1F8C8E72">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5.2采购人有权拒绝接受任何不合格的产品和服务，由此产生的费用及相关后果均由</w:t>
      </w:r>
      <w:r>
        <w:rPr>
          <w:rFonts w:hint="eastAsia"/>
          <w:color w:val="auto"/>
          <w:sz w:val="24"/>
          <w:szCs w:val="24"/>
          <w:lang w:val="en-US" w:eastAsia="zh-CN"/>
        </w:rPr>
        <w:t>供应商</w:t>
      </w:r>
      <w:r>
        <w:rPr>
          <w:rFonts w:hint="eastAsia"/>
          <w:color w:val="auto"/>
          <w:sz w:val="24"/>
          <w:szCs w:val="24"/>
          <w:lang w:val="en-US"/>
        </w:rPr>
        <w:t>自行承担。</w:t>
      </w:r>
    </w:p>
    <w:p w14:paraId="2D7A2BEB">
      <w:pPr>
        <w:pStyle w:val="7"/>
        <w:pageBreakBefore w:val="0"/>
        <w:tabs>
          <w:tab w:val="left" w:pos="984"/>
        </w:tabs>
        <w:topLinePunct w:val="0"/>
        <w:bidi w:val="0"/>
        <w:spacing w:line="500" w:lineRule="exact"/>
        <w:ind w:left="0" w:leftChars="0" w:right="0" w:rightChars="0" w:firstLine="482" w:firstLineChars="200"/>
        <w:rPr>
          <w:rFonts w:hint="eastAsia"/>
          <w:b/>
          <w:bCs/>
          <w:color w:val="auto"/>
          <w:sz w:val="24"/>
          <w:szCs w:val="24"/>
          <w:lang w:val="en-US" w:eastAsia="zh-CN"/>
        </w:rPr>
      </w:pPr>
      <w:r>
        <w:rPr>
          <w:rFonts w:hint="eastAsia"/>
          <w:b/>
          <w:bCs/>
          <w:color w:val="auto"/>
          <w:sz w:val="24"/>
          <w:szCs w:val="24"/>
          <w:lang w:val="en-US" w:eastAsia="zh-CN"/>
        </w:rPr>
        <w:t>5.3根据《陕西省中小学、幼儿园集中用餐管理办法（试行）》第三十二条 本着‘有竞争、有比较、有备份’原则，合理确定中标单位” 的要求，为提高采购效率与灵活性、简化区域内配送流程、缩短响应时间，分散降低采购风险以避免因单一供应商问题导致全域供餐受影响,为提高校园食品安全，保障学生用餐质量及学生健康成长，本次招标共设6个合同包，投标人可对其中任何合同包进行投标，但最多只能中标1个合同包，开标按包号从小到大依次评审，若某投标人在前序包号已中标，则该投标人后续所有包号均不再授予中标资格。</w:t>
      </w:r>
    </w:p>
    <w:p w14:paraId="29869FF5">
      <w:pPr>
        <w:pStyle w:val="7"/>
        <w:pageBreakBefore w:val="0"/>
        <w:tabs>
          <w:tab w:val="left" w:pos="984"/>
        </w:tabs>
        <w:topLinePunct w:val="0"/>
        <w:bidi w:val="0"/>
        <w:spacing w:line="500" w:lineRule="exact"/>
        <w:ind w:left="0" w:leftChars="0" w:right="0" w:rightChars="0" w:firstLine="482" w:firstLineChars="200"/>
        <w:rPr>
          <w:color w:val="auto"/>
        </w:rPr>
      </w:pPr>
      <w:r>
        <w:rPr>
          <w:rFonts w:hint="eastAsia"/>
          <w:color w:val="auto"/>
        </w:rPr>
        <w:t>6.知识产权</w:t>
      </w:r>
    </w:p>
    <w:p w14:paraId="323A67F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6.1</w:t>
      </w:r>
      <w:r>
        <w:rPr>
          <w:rFonts w:hint="eastAsia"/>
          <w:color w:val="auto"/>
          <w:sz w:val="24"/>
          <w:szCs w:val="24"/>
          <w:lang w:val="en-US" w:eastAsia="zh-CN"/>
        </w:rPr>
        <w:t>供应商</w:t>
      </w:r>
      <w:r>
        <w:rPr>
          <w:rFonts w:hint="eastAsia"/>
          <w:color w:val="auto"/>
          <w:sz w:val="24"/>
          <w:szCs w:val="24"/>
          <w:lang w:val="en-US"/>
        </w:rPr>
        <w:t>应保证在本项目使用的任何产品和服务（包括部分使用）时，不会产生因第三方提出侵犯其专利权、商标权或其它知识产权而引起的法律和经济纠纷，如因专利权、商标权或其它知识产权而引起法律和经济纠纷，由</w:t>
      </w:r>
      <w:r>
        <w:rPr>
          <w:rFonts w:hint="eastAsia"/>
          <w:color w:val="auto"/>
          <w:sz w:val="24"/>
          <w:szCs w:val="24"/>
          <w:lang w:val="en-US" w:eastAsia="zh-CN"/>
        </w:rPr>
        <w:t>供应商</w:t>
      </w:r>
      <w:r>
        <w:rPr>
          <w:rFonts w:hint="eastAsia"/>
          <w:color w:val="auto"/>
          <w:sz w:val="24"/>
          <w:szCs w:val="24"/>
          <w:lang w:val="en-US"/>
        </w:rPr>
        <w:t>承担所有相关责任。</w:t>
      </w:r>
    </w:p>
    <w:p w14:paraId="75EA7480">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6.2采购人享有本项目实施过程中产生的知识成果及知识产权。</w:t>
      </w:r>
    </w:p>
    <w:p w14:paraId="24577DA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6.3如采用</w:t>
      </w:r>
      <w:r>
        <w:rPr>
          <w:rFonts w:hint="eastAsia"/>
          <w:color w:val="auto"/>
          <w:sz w:val="24"/>
          <w:szCs w:val="24"/>
          <w:lang w:val="en-US" w:eastAsia="zh-CN"/>
        </w:rPr>
        <w:t>供应商</w:t>
      </w:r>
      <w:r>
        <w:rPr>
          <w:rFonts w:hint="eastAsia"/>
          <w:color w:val="auto"/>
          <w:sz w:val="24"/>
          <w:szCs w:val="24"/>
          <w:lang w:val="en-US"/>
        </w:rPr>
        <w:t>所不拥有的知识产权，则在投标报价中必须包括合法获取该知识产权的相关费用。</w:t>
      </w:r>
    </w:p>
    <w:p w14:paraId="54C7D735">
      <w:pPr>
        <w:pageBreakBefore w:val="0"/>
        <w:topLinePunct w:val="0"/>
        <w:bidi w:val="0"/>
        <w:spacing w:line="500" w:lineRule="exact"/>
        <w:ind w:left="0" w:leftChars="0" w:right="0" w:rightChars="0" w:firstLine="480" w:firstLineChars="200"/>
        <w:rPr>
          <w:color w:val="auto"/>
          <w:sz w:val="24"/>
          <w:szCs w:val="24"/>
          <w:lang w:val="en-US"/>
        </w:rPr>
      </w:pPr>
    </w:p>
    <w:p w14:paraId="52E7D65F">
      <w:pPr>
        <w:pStyle w:val="5"/>
        <w:pageBreakBefore w:val="0"/>
        <w:topLinePunct w:val="0"/>
        <w:bidi w:val="0"/>
        <w:spacing w:line="500" w:lineRule="exact"/>
        <w:ind w:left="0" w:leftChars="0" w:right="0" w:rightChars="0" w:firstLine="562" w:firstLineChars="200"/>
        <w:rPr>
          <w:color w:val="auto"/>
        </w:rPr>
      </w:pPr>
      <w:bookmarkStart w:id="5" w:name="二、招标文件"/>
      <w:bookmarkEnd w:id="5"/>
      <w:r>
        <w:rPr>
          <w:color w:val="auto"/>
        </w:rPr>
        <w:t>二、招标文件</w:t>
      </w:r>
    </w:p>
    <w:p w14:paraId="70CA29D9">
      <w:pPr>
        <w:pStyle w:val="7"/>
        <w:pageBreakBefore w:val="0"/>
        <w:topLinePunct w:val="0"/>
        <w:bidi w:val="0"/>
        <w:spacing w:line="500" w:lineRule="exact"/>
        <w:ind w:left="0" w:leftChars="0" w:right="0" w:rightChars="0" w:firstLine="482" w:firstLineChars="200"/>
        <w:rPr>
          <w:color w:val="auto"/>
        </w:rPr>
      </w:pPr>
      <w:r>
        <w:rPr>
          <w:rFonts w:hint="eastAsia"/>
          <w:color w:val="auto"/>
          <w:lang w:val="en-US"/>
        </w:rPr>
        <w:t>1.</w:t>
      </w:r>
      <w:r>
        <w:rPr>
          <w:color w:val="auto"/>
        </w:rPr>
        <w:t>招标文件的组成：</w:t>
      </w:r>
    </w:p>
    <w:p w14:paraId="42EE4F3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招标文件用以阐明招标项目所需的资质、技术、服务及报价等要求、招标投标程序、有关规定和注意事项以及合同主要条款等。本招标文件包括以下内容：</w:t>
      </w:r>
    </w:p>
    <w:p w14:paraId="43BB4947">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 xml:space="preserve">第一章 招标公告； </w:t>
      </w:r>
    </w:p>
    <w:p w14:paraId="703FC0F7">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第二章 投标须知；</w:t>
      </w:r>
    </w:p>
    <w:p w14:paraId="2BB4EAE8">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第三章 招标采购内容及服务要求；</w:t>
      </w:r>
    </w:p>
    <w:p w14:paraId="273DD708">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第四章 商务要求；</w:t>
      </w:r>
    </w:p>
    <w:p w14:paraId="25B49B06">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 xml:space="preserve">第五章 合同主要条款； </w:t>
      </w:r>
    </w:p>
    <w:p w14:paraId="58C7567E">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第六章 投标文件格式要求。</w:t>
      </w:r>
    </w:p>
    <w:p w14:paraId="43EDD9F5">
      <w:pPr>
        <w:pStyle w:val="7"/>
        <w:pageBreakBefore w:val="0"/>
        <w:tabs>
          <w:tab w:val="left" w:pos="984"/>
        </w:tabs>
        <w:topLinePunct w:val="0"/>
        <w:bidi w:val="0"/>
        <w:spacing w:line="500" w:lineRule="exact"/>
        <w:ind w:left="0" w:leftChars="0" w:right="0" w:rightChars="0" w:firstLine="482" w:firstLineChars="200"/>
        <w:rPr>
          <w:color w:val="auto"/>
        </w:rPr>
      </w:pPr>
      <w:r>
        <w:rPr>
          <w:rFonts w:hint="eastAsia"/>
          <w:color w:val="auto"/>
          <w:lang w:val="en-US"/>
        </w:rPr>
        <w:t>2.</w:t>
      </w:r>
      <w:r>
        <w:rPr>
          <w:color w:val="auto"/>
        </w:rPr>
        <w:t>招标文件的澄清和修改：</w:t>
      </w:r>
    </w:p>
    <w:p w14:paraId="7DAB3B6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2.1提交投标文件截止时间前，采购人或采购代理机构可以以书面形式对招标文件进行必要的澄清或修改，但不得改变采购标的和资格条件，并在原信息发布媒体上发布变更公告。澄清或修改的内容均为招标文件的组成部分，并对采购人及</w:t>
      </w:r>
      <w:r>
        <w:rPr>
          <w:rFonts w:hint="eastAsia"/>
          <w:color w:val="auto"/>
          <w:sz w:val="24"/>
          <w:szCs w:val="24"/>
          <w:lang w:val="en-US" w:eastAsia="zh-CN"/>
        </w:rPr>
        <w:t>供应商</w:t>
      </w:r>
      <w:r>
        <w:rPr>
          <w:rFonts w:hint="eastAsia"/>
          <w:color w:val="auto"/>
          <w:sz w:val="24"/>
          <w:szCs w:val="24"/>
          <w:lang w:val="en-US"/>
        </w:rPr>
        <w:t>起约束作用。澄清或修改的内容可能影响投标文件编制的，都将于提交投标文件截止时间15日前以书面形式通知所有获取招标文件的潜在</w:t>
      </w:r>
      <w:r>
        <w:rPr>
          <w:rFonts w:hint="eastAsia"/>
          <w:color w:val="auto"/>
          <w:sz w:val="24"/>
          <w:szCs w:val="24"/>
          <w:lang w:val="en-US" w:eastAsia="zh-CN"/>
        </w:rPr>
        <w:t>供应商</w:t>
      </w:r>
      <w:r>
        <w:rPr>
          <w:rFonts w:hint="eastAsia"/>
          <w:color w:val="auto"/>
          <w:sz w:val="24"/>
          <w:szCs w:val="24"/>
          <w:lang w:val="en-US"/>
        </w:rPr>
        <w:t>；不足15日的，采购人或者采购代理机构应当顺延提交投标文件的截止时间。</w:t>
      </w:r>
    </w:p>
    <w:p w14:paraId="7710E80E">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2.2</w:t>
      </w:r>
      <w:r>
        <w:rPr>
          <w:rFonts w:hint="eastAsia"/>
          <w:color w:val="auto"/>
          <w:sz w:val="24"/>
          <w:szCs w:val="24"/>
          <w:lang w:val="en-US" w:eastAsia="zh-CN"/>
        </w:rPr>
        <w:t>供应商</w:t>
      </w:r>
      <w:r>
        <w:rPr>
          <w:rFonts w:hint="eastAsia"/>
          <w:color w:val="auto"/>
          <w:sz w:val="24"/>
          <w:szCs w:val="24"/>
          <w:lang w:val="en-US"/>
        </w:rPr>
        <w:t>对招标文件有疑问在投标截止时间15日前，按招标文件中规定的地址以书面形式通知采购人及采购代理机构，采购代理机构以书面形式予以答复。超过该时间收到的需要询问或澄清的内容，采购代理机构有权不予答复。</w:t>
      </w:r>
    </w:p>
    <w:p w14:paraId="3B8B338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2.3招标文件的澄清或修改内容均以书面形式明确的内容为准。当招标文件的澄清、修改、补充等在同一内容的表述上不一致时，以最后发出的书面文件为准。所有补充文件将作为招标文件的组成部分，对所有</w:t>
      </w:r>
      <w:r>
        <w:rPr>
          <w:rFonts w:hint="eastAsia"/>
          <w:color w:val="auto"/>
          <w:sz w:val="24"/>
          <w:szCs w:val="24"/>
          <w:lang w:val="en-US" w:eastAsia="zh-CN"/>
        </w:rPr>
        <w:t>供应商</w:t>
      </w:r>
      <w:r>
        <w:rPr>
          <w:rFonts w:hint="eastAsia"/>
          <w:color w:val="auto"/>
          <w:sz w:val="24"/>
          <w:szCs w:val="24"/>
          <w:lang w:val="en-US"/>
        </w:rPr>
        <w:t>具有约束力。</w:t>
      </w:r>
    </w:p>
    <w:p w14:paraId="5DA94E8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2.4在投标截止时间前，根据招标工作进展实际情况，采购人可酌情延长递交投标文件的截止时间。若延长将另行以书面形式通知各</w:t>
      </w:r>
      <w:r>
        <w:rPr>
          <w:rFonts w:hint="eastAsia"/>
          <w:color w:val="auto"/>
          <w:sz w:val="24"/>
          <w:szCs w:val="24"/>
          <w:lang w:val="en-US" w:eastAsia="zh-CN"/>
        </w:rPr>
        <w:t>供应商</w:t>
      </w:r>
      <w:r>
        <w:rPr>
          <w:rFonts w:hint="eastAsia"/>
          <w:color w:val="auto"/>
          <w:sz w:val="24"/>
          <w:szCs w:val="24"/>
          <w:lang w:val="en-US"/>
        </w:rPr>
        <w:t>并在原信息发布媒体上发布变更公告。采购代理机构和</w:t>
      </w:r>
      <w:r>
        <w:rPr>
          <w:rFonts w:hint="eastAsia"/>
          <w:color w:val="auto"/>
          <w:sz w:val="24"/>
          <w:szCs w:val="24"/>
          <w:lang w:val="en-US" w:eastAsia="zh-CN"/>
        </w:rPr>
        <w:t>供应商</w:t>
      </w:r>
      <w:r>
        <w:rPr>
          <w:rFonts w:hint="eastAsia"/>
          <w:color w:val="auto"/>
          <w:sz w:val="24"/>
          <w:szCs w:val="24"/>
          <w:lang w:val="en-US"/>
        </w:rPr>
        <w:t>的权利和义务将受到新的截止期的约束。</w:t>
      </w:r>
    </w:p>
    <w:p w14:paraId="6D6E1FBA">
      <w:pPr>
        <w:pStyle w:val="7"/>
        <w:pageBreakBefore w:val="0"/>
        <w:topLinePunct w:val="0"/>
        <w:bidi w:val="0"/>
        <w:spacing w:line="500" w:lineRule="exact"/>
        <w:ind w:left="0" w:leftChars="0" w:right="0" w:rightChars="0" w:firstLine="482" w:firstLineChars="200"/>
        <w:rPr>
          <w:color w:val="auto"/>
          <w:lang w:val="en-US"/>
        </w:rPr>
      </w:pPr>
      <w:r>
        <w:rPr>
          <w:rFonts w:hint="eastAsia"/>
          <w:color w:val="auto"/>
          <w:lang w:val="en-US"/>
        </w:rPr>
        <w:t>3.招标文件的获取：</w:t>
      </w:r>
    </w:p>
    <w:p w14:paraId="00305C4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供应商必须在全国公共资源交易中心平台（陕西省安康市）获取招标文件</w:t>
      </w:r>
      <w:r>
        <w:rPr>
          <w:rFonts w:hint="eastAsia"/>
          <w:color w:val="auto"/>
          <w:sz w:val="24"/>
          <w:szCs w:val="24"/>
          <w:lang w:val="en-US"/>
        </w:rPr>
        <w:t>，</w:t>
      </w:r>
      <w:r>
        <w:rPr>
          <w:rFonts w:hint="eastAsia"/>
          <w:color w:val="auto"/>
          <w:sz w:val="24"/>
          <w:szCs w:val="24"/>
          <w:lang w:val="en-US" w:eastAsia="zh-CN"/>
        </w:rPr>
        <w:t>供应商</w:t>
      </w:r>
      <w:r>
        <w:rPr>
          <w:rFonts w:hint="eastAsia"/>
          <w:color w:val="auto"/>
          <w:sz w:val="24"/>
          <w:szCs w:val="24"/>
          <w:lang w:val="en-US"/>
        </w:rPr>
        <w:t>自行转让或复制招标文件视为无效。招标文件仅作为本次招标使用。</w:t>
      </w:r>
    </w:p>
    <w:p w14:paraId="44BF9489">
      <w:pPr>
        <w:pStyle w:val="7"/>
        <w:pageBreakBefore w:val="0"/>
        <w:tabs>
          <w:tab w:val="left" w:pos="-220"/>
        </w:tabs>
        <w:topLinePunct w:val="0"/>
        <w:bidi w:val="0"/>
        <w:spacing w:line="500" w:lineRule="exact"/>
        <w:ind w:left="0" w:leftChars="0" w:right="0" w:rightChars="0" w:firstLine="482" w:firstLineChars="200"/>
        <w:rPr>
          <w:color w:val="auto"/>
          <w:lang w:val="en-US"/>
        </w:rPr>
      </w:pPr>
      <w:r>
        <w:rPr>
          <w:rFonts w:hint="eastAsia"/>
          <w:color w:val="auto"/>
          <w:lang w:val="en-US"/>
        </w:rPr>
        <w:t>4.招标文件解释权：</w:t>
      </w:r>
    </w:p>
    <w:p w14:paraId="414ACD9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招标文件的解释权归采购代理机构，如发现招标文件内容与现行法律法规不相符的情况，以现行法律法规为准。</w:t>
      </w:r>
    </w:p>
    <w:p w14:paraId="54FB10D6">
      <w:pPr>
        <w:pStyle w:val="7"/>
        <w:pageBreakBefore w:val="0"/>
        <w:tabs>
          <w:tab w:val="left" w:pos="-1080"/>
        </w:tabs>
        <w:topLinePunct w:val="0"/>
        <w:bidi w:val="0"/>
        <w:spacing w:line="500" w:lineRule="exact"/>
        <w:ind w:left="0" w:leftChars="0" w:right="0" w:rightChars="0" w:firstLine="482" w:firstLineChars="200"/>
        <w:rPr>
          <w:color w:val="auto"/>
          <w:lang w:val="en-US"/>
        </w:rPr>
      </w:pPr>
      <w:r>
        <w:rPr>
          <w:rFonts w:hint="eastAsia"/>
          <w:color w:val="auto"/>
          <w:lang w:val="en-US"/>
        </w:rPr>
        <w:t>5.现场勘查、标前答疑会：</w:t>
      </w:r>
    </w:p>
    <w:p w14:paraId="502B0D7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不组织。</w:t>
      </w:r>
      <w:r>
        <w:rPr>
          <w:rFonts w:hint="eastAsia"/>
          <w:color w:val="auto"/>
          <w:sz w:val="24"/>
          <w:szCs w:val="24"/>
          <w:lang w:val="en-US" w:eastAsia="zh-CN"/>
        </w:rPr>
        <w:t>供应商</w:t>
      </w:r>
      <w:r>
        <w:rPr>
          <w:rFonts w:hint="eastAsia"/>
          <w:color w:val="auto"/>
          <w:sz w:val="24"/>
          <w:szCs w:val="24"/>
          <w:lang w:val="en-US"/>
        </w:rPr>
        <w:t>认为有必要可自行勘查，并承担所有费用及风险。</w:t>
      </w:r>
    </w:p>
    <w:p w14:paraId="44672D80">
      <w:pPr>
        <w:pageBreakBefore w:val="0"/>
        <w:topLinePunct w:val="0"/>
        <w:bidi w:val="0"/>
        <w:spacing w:line="500" w:lineRule="exact"/>
        <w:ind w:left="0" w:leftChars="0" w:right="0" w:rightChars="0" w:firstLine="480" w:firstLineChars="200"/>
        <w:rPr>
          <w:color w:val="auto"/>
          <w:sz w:val="24"/>
          <w:szCs w:val="24"/>
          <w:lang w:val="en-US"/>
        </w:rPr>
        <w:sectPr>
          <w:headerReference r:id="rId9" w:type="default"/>
          <w:footerReference r:id="rId10" w:type="default"/>
          <w:pgSz w:w="11910" w:h="16840"/>
          <w:pgMar w:top="1157" w:right="1253" w:bottom="1213" w:left="1310" w:header="872" w:footer="1005" w:gutter="0"/>
          <w:pgNumType w:fmt="decimal" w:start="1"/>
          <w:cols w:space="720" w:num="1"/>
        </w:sectPr>
      </w:pPr>
    </w:p>
    <w:p w14:paraId="59C771CF">
      <w:pPr>
        <w:pStyle w:val="5"/>
        <w:pageBreakBefore w:val="0"/>
        <w:topLinePunct w:val="0"/>
        <w:bidi w:val="0"/>
        <w:spacing w:line="500" w:lineRule="exact"/>
        <w:ind w:left="0" w:leftChars="0" w:right="0" w:rightChars="0" w:firstLine="562" w:firstLineChars="200"/>
        <w:rPr>
          <w:rFonts w:hint="eastAsia" w:ascii="宋体" w:hAnsi="宋体" w:eastAsia="宋体" w:cs="宋体"/>
          <w:b/>
          <w:bCs/>
          <w:color w:val="auto"/>
          <w:sz w:val="28"/>
          <w:szCs w:val="28"/>
          <w:lang w:val="en-US" w:eastAsia="zh-CN" w:bidi="zh-CN"/>
        </w:rPr>
      </w:pPr>
      <w:r>
        <w:rPr>
          <w:rFonts w:hint="eastAsia" w:ascii="宋体" w:hAnsi="宋体" w:eastAsia="宋体" w:cs="宋体"/>
          <w:b/>
          <w:bCs/>
          <w:color w:val="auto"/>
          <w:sz w:val="28"/>
          <w:szCs w:val="28"/>
          <w:lang w:val="en-US" w:eastAsia="zh-CN" w:bidi="zh-CN"/>
        </w:rPr>
        <w:t>三、供应商</w:t>
      </w:r>
    </w:p>
    <w:p w14:paraId="01D5861D">
      <w:pPr>
        <w:pStyle w:val="7"/>
        <w:pageBreakBefore w:val="0"/>
        <w:numPr>
          <w:ilvl w:val="0"/>
          <w:numId w:val="0"/>
        </w:numPr>
        <w:tabs>
          <w:tab w:val="left" w:pos="-220"/>
        </w:tabs>
        <w:topLinePunct w:val="0"/>
        <w:bidi w:val="0"/>
        <w:spacing w:line="500" w:lineRule="exact"/>
        <w:ind w:leftChars="200" w:right="0" w:rightChars="0"/>
        <w:jc w:val="both"/>
        <w:rPr>
          <w:rFonts w:hint="eastAsia" w:ascii="宋体" w:hAnsi="宋体" w:eastAsia="宋体" w:cs="宋体"/>
          <w:b/>
          <w:bCs/>
          <w:color w:val="auto"/>
          <w:sz w:val="24"/>
          <w:szCs w:val="24"/>
          <w:lang w:val="en-US" w:eastAsia="zh-CN" w:bidi="zh-CN"/>
        </w:rPr>
      </w:pPr>
      <w:r>
        <w:rPr>
          <w:rFonts w:hint="eastAsia" w:cs="宋体"/>
          <w:b/>
          <w:bCs/>
          <w:color w:val="auto"/>
          <w:sz w:val="24"/>
          <w:szCs w:val="24"/>
          <w:lang w:val="en-US" w:eastAsia="zh-CN" w:bidi="zh-CN"/>
        </w:rPr>
        <w:t>1.</w:t>
      </w:r>
      <w:r>
        <w:rPr>
          <w:rFonts w:hint="eastAsia" w:ascii="宋体" w:hAnsi="宋体" w:eastAsia="宋体" w:cs="宋体"/>
          <w:b/>
          <w:bCs/>
          <w:color w:val="auto"/>
          <w:sz w:val="24"/>
          <w:szCs w:val="24"/>
          <w:lang w:val="en-US" w:eastAsia="zh-CN" w:bidi="zh-CN"/>
        </w:rPr>
        <w:t>供应商资格要求应包括：</w:t>
      </w:r>
    </w:p>
    <w:p w14:paraId="731949B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cs="宋体"/>
          <w:i w:val="0"/>
          <w:iCs w:val="0"/>
          <w:caps w:val="0"/>
          <w:color w:val="auto"/>
          <w:spacing w:val="0"/>
          <w:sz w:val="24"/>
          <w:szCs w:val="24"/>
          <w:shd w:val="clear" w:color="auto" w:fill="FFFFFF"/>
          <w:lang w:eastAsia="zh-CN"/>
        </w:rPr>
        <w:t>A片区米面油、牛奶采购</w:t>
      </w:r>
      <w:r>
        <w:rPr>
          <w:rFonts w:hint="eastAsia" w:ascii="宋体" w:hAnsi="宋体" w:eastAsia="宋体" w:cs="宋体"/>
          <w:i w:val="0"/>
          <w:iCs w:val="0"/>
          <w:caps w:val="0"/>
          <w:color w:val="auto"/>
          <w:spacing w:val="0"/>
          <w:sz w:val="24"/>
          <w:szCs w:val="24"/>
          <w:shd w:val="clear" w:color="auto" w:fill="FFFFFF"/>
        </w:rPr>
        <w:t>)特定资格要求如下:</w:t>
      </w:r>
    </w:p>
    <w:p w14:paraId="1B79BA68">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具有独立承担民事责任的能力，提供营业执照、税务登记证、组织机构代码证或登载有统一社会信用代码的营业执照（或《事业单位法人证书》或其他合法组织登记证书、自然人只须提供身份证）；</w:t>
      </w:r>
    </w:p>
    <w:p w14:paraId="71C9F53B">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提供法定代表人授权书（附法定代表人身份证复印件）及被授权代理人身份证复印件（法定代表人直接参加时只需提供法定代表人身份证复印件）；</w:t>
      </w:r>
    </w:p>
    <w:p w14:paraId="79A551E0">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eastAsia="zh-CN"/>
        </w:rPr>
        <w:t>供应商若为生产厂家的须提供《食品生产许可证》；供应商为代理商的须提供《食品经营许可证》或《陕西省仅销售预包装食品经营者备案表》，并提供生产厂家的《食品生产许可证》（复印件加盖生产厂家公章）；</w:t>
      </w:r>
    </w:p>
    <w:p w14:paraId="6406A554">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财务状况报告：</w:t>
      </w:r>
      <w:r>
        <w:rPr>
          <w:rFonts w:hint="eastAsia" w:cs="宋体"/>
          <w:i w:val="0"/>
          <w:iCs w:val="0"/>
          <w:caps w:val="0"/>
          <w:color w:val="auto"/>
          <w:spacing w:val="0"/>
          <w:sz w:val="24"/>
          <w:szCs w:val="24"/>
          <w:shd w:val="clear" w:color="auto" w:fill="FFFFFF"/>
          <w:lang w:eastAsia="zh-CN"/>
        </w:rPr>
        <w:t>提供2025年的财务审计报告</w:t>
      </w:r>
      <w:r>
        <w:rPr>
          <w:rFonts w:hint="eastAsia" w:ascii="宋体" w:hAnsi="宋体" w:eastAsia="宋体" w:cs="宋体"/>
          <w:i w:val="0"/>
          <w:iCs w:val="0"/>
          <w:caps w:val="0"/>
          <w:color w:val="auto"/>
          <w:spacing w:val="0"/>
          <w:sz w:val="24"/>
          <w:szCs w:val="24"/>
          <w:shd w:val="clear" w:color="auto" w:fill="FFFFFF"/>
        </w:rPr>
        <w:t>（成立时间至提交响应文件截止时间不足1年的可提供成立后任意时段的资产负债表）或其基本存款账户开户银行出具的资信证明；</w:t>
      </w:r>
    </w:p>
    <w:p w14:paraId="68C6FA99">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税收缴纳证明：</w:t>
      </w:r>
      <w:r>
        <w:rPr>
          <w:rFonts w:hint="eastAsia" w:cs="宋体"/>
          <w:i w:val="0"/>
          <w:iCs w:val="0"/>
          <w:caps w:val="0"/>
          <w:color w:val="auto"/>
          <w:spacing w:val="0"/>
          <w:sz w:val="24"/>
          <w:szCs w:val="24"/>
          <w:shd w:val="clear" w:color="auto" w:fill="FFFFFF"/>
          <w:lang w:eastAsia="zh-CN"/>
        </w:rPr>
        <w:t>提供2026年1月至今已缴纳的至少一个月</w:t>
      </w:r>
      <w:r>
        <w:rPr>
          <w:rFonts w:hint="eastAsia" w:ascii="宋体" w:hAnsi="宋体" w:eastAsia="宋体" w:cs="宋体"/>
          <w:i w:val="0"/>
          <w:iCs w:val="0"/>
          <w:caps w:val="0"/>
          <w:color w:val="auto"/>
          <w:spacing w:val="0"/>
          <w:sz w:val="24"/>
          <w:szCs w:val="24"/>
          <w:shd w:val="clear" w:color="auto" w:fill="FFFFFF"/>
        </w:rPr>
        <w:t>的纳税证明或完税证明，依法免税的单位应提供相关证明材料；</w:t>
      </w:r>
    </w:p>
    <w:p w14:paraId="43F31A97">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社保缴纳证明：</w:t>
      </w:r>
      <w:r>
        <w:rPr>
          <w:rFonts w:hint="eastAsia" w:cs="宋体"/>
          <w:i w:val="0"/>
          <w:iCs w:val="0"/>
          <w:caps w:val="0"/>
          <w:color w:val="auto"/>
          <w:spacing w:val="0"/>
          <w:sz w:val="24"/>
          <w:szCs w:val="24"/>
          <w:shd w:val="clear" w:color="auto" w:fill="FFFFFF"/>
          <w:lang w:eastAsia="zh-CN"/>
        </w:rPr>
        <w:t>提供2026年1月至今至少一个月</w:t>
      </w:r>
      <w:r>
        <w:rPr>
          <w:rFonts w:hint="eastAsia" w:ascii="宋体" w:hAnsi="宋体" w:eastAsia="宋体" w:cs="宋体"/>
          <w:i w:val="0"/>
          <w:iCs w:val="0"/>
          <w:caps w:val="0"/>
          <w:color w:val="auto"/>
          <w:spacing w:val="0"/>
          <w:sz w:val="24"/>
          <w:szCs w:val="24"/>
          <w:shd w:val="clear" w:color="auto" w:fill="FFFFFF"/>
        </w:rPr>
        <w:t>的社会保障资金缴纳单据或社保机构开具的社会保险参保缴费情况证明，依法不需要缴纳社会保障资金的应提供相关证明材料；</w:t>
      </w:r>
    </w:p>
    <w:p w14:paraId="484BD175">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供应商须提供具备履行合同所必需的设备和专业技术能力的证明材料；</w:t>
      </w:r>
    </w:p>
    <w:p w14:paraId="22EB754A">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供应商必须提供参加政府采购活动近3年内在经营活动中没有重大违法记录的</w:t>
      </w:r>
      <w:r>
        <w:rPr>
          <w:rFonts w:hint="eastAsia" w:cs="宋体"/>
          <w:i w:val="0"/>
          <w:iCs w:val="0"/>
          <w:caps w:val="0"/>
          <w:color w:val="auto"/>
          <w:spacing w:val="0"/>
          <w:sz w:val="24"/>
          <w:szCs w:val="24"/>
          <w:shd w:val="clear" w:color="auto" w:fill="FFFFFF"/>
          <w:lang w:eastAsia="zh-CN"/>
        </w:rPr>
        <w:t>、未发生食品安全事故的书面声明</w:t>
      </w:r>
      <w:r>
        <w:rPr>
          <w:rFonts w:hint="eastAsia" w:ascii="宋体" w:hAnsi="宋体" w:eastAsia="宋体" w:cs="宋体"/>
          <w:i w:val="0"/>
          <w:iCs w:val="0"/>
          <w:caps w:val="0"/>
          <w:color w:val="auto"/>
          <w:spacing w:val="0"/>
          <w:sz w:val="24"/>
          <w:szCs w:val="24"/>
          <w:shd w:val="clear" w:color="auto" w:fill="FFFFFF"/>
        </w:rPr>
        <w:t>；</w:t>
      </w:r>
    </w:p>
    <w:p w14:paraId="7599026A">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供应商通过“信用中国”网站（www.creditchina.gov.cn ）和中国政府采购网（www.ccgp.gov.cn）等渠道查询相关主体信用记录，对列入失信被执行人、重大税收违法失信主体、政府采购严重违法失信行为记录名单的供应商，将拒绝其参与政府采购活动；</w:t>
      </w:r>
    </w:p>
    <w:p w14:paraId="494DE60E">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单位负责人为同一人或者存在直接控股、管理关系的不同投标人，不得参加同一合同包的政府采购活动；</w:t>
      </w:r>
    </w:p>
    <w:p w14:paraId="2C5923EC">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本项目不接受联合体投标</w:t>
      </w:r>
      <w:r>
        <w:rPr>
          <w:rFonts w:hint="eastAsia" w:cs="宋体"/>
          <w:i w:val="0"/>
          <w:iCs w:val="0"/>
          <w:caps w:val="0"/>
          <w:color w:val="auto"/>
          <w:spacing w:val="0"/>
          <w:sz w:val="24"/>
          <w:szCs w:val="24"/>
          <w:shd w:val="clear" w:color="auto" w:fill="FFFFFF"/>
          <w:lang w:eastAsia="zh-CN"/>
        </w:rPr>
        <w:t>。</w:t>
      </w:r>
    </w:p>
    <w:p w14:paraId="317E238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合同包2(</w:t>
      </w:r>
      <w:r>
        <w:rPr>
          <w:rFonts w:hint="eastAsia" w:cs="宋体"/>
          <w:i w:val="0"/>
          <w:iCs w:val="0"/>
          <w:caps w:val="0"/>
          <w:color w:val="auto"/>
          <w:spacing w:val="0"/>
          <w:sz w:val="24"/>
          <w:szCs w:val="24"/>
          <w:shd w:val="clear" w:color="auto" w:fill="FFFFFF"/>
          <w:lang w:eastAsia="zh-CN"/>
        </w:rPr>
        <w:t>A片区肉蛋禽采购</w:t>
      </w:r>
      <w:r>
        <w:rPr>
          <w:rFonts w:hint="eastAsia" w:ascii="宋体" w:hAnsi="宋体" w:eastAsia="宋体" w:cs="宋体"/>
          <w:i w:val="0"/>
          <w:iCs w:val="0"/>
          <w:caps w:val="0"/>
          <w:color w:val="auto"/>
          <w:spacing w:val="0"/>
          <w:sz w:val="24"/>
          <w:szCs w:val="24"/>
          <w:shd w:val="clear" w:color="auto" w:fill="FFFFFF"/>
        </w:rPr>
        <w:t>)特定资格要求如下:</w:t>
      </w:r>
    </w:p>
    <w:p w14:paraId="47BD0338">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具有独立承担民事责任的能力，提供营业执照、税务登记证、组织机构代码证或登载有统一社会信用代码的营业执照（或《事业单位法人证书》或其他合法组织登记证书、自然人只须提供身份证）；</w:t>
      </w:r>
    </w:p>
    <w:p w14:paraId="78BDD712">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提供法定代表人授权书（附法定代表人身份证复印件）及被授权代理人身份证复印件（法定代表人直接参加时只需提供法定代表人身份证复印件）；</w:t>
      </w:r>
    </w:p>
    <w:p w14:paraId="5317469C">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color="auto" w:fill="FFFFFF"/>
          <w:lang w:eastAsia="zh-CN"/>
        </w:rPr>
        <w:t>供应商若为生产厂家的须提供《生猪定点屠宰证》和《动物防疫条件合格证》；厂家注册地实行牛羊定点屠宰的附加《畜禽定点屠宰证书》，厂家属地不核发牛羊定点屠宰证则提供加盖公章的政策承诺函替代；供应商若为代理商的须提供《食品经营许可证》《陕西省生鲜肉经营备案表》并附生产厂家对应资质复印件（厂家盖章），厂家属地不核发牛羊定点屠宰证的，一并附厂家盖章承诺函</w:t>
      </w:r>
      <w:r>
        <w:rPr>
          <w:rFonts w:hint="eastAsia" w:ascii="宋体" w:hAnsi="宋体" w:eastAsia="宋体" w:cs="宋体"/>
          <w:i w:val="0"/>
          <w:iCs w:val="0"/>
          <w:caps w:val="0"/>
          <w:color w:val="auto"/>
          <w:spacing w:val="0"/>
          <w:sz w:val="24"/>
          <w:szCs w:val="24"/>
          <w:shd w:val="clear" w:color="auto" w:fill="FFFFFF"/>
          <w:lang w:eastAsia="zh-CN"/>
        </w:rPr>
        <w:t>；</w:t>
      </w:r>
    </w:p>
    <w:p w14:paraId="3ACD0923">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财务状况报告：</w:t>
      </w:r>
      <w:r>
        <w:rPr>
          <w:rFonts w:hint="eastAsia" w:cs="宋体"/>
          <w:i w:val="0"/>
          <w:iCs w:val="0"/>
          <w:caps w:val="0"/>
          <w:color w:val="auto"/>
          <w:spacing w:val="0"/>
          <w:sz w:val="24"/>
          <w:szCs w:val="24"/>
          <w:shd w:val="clear" w:color="auto" w:fill="FFFFFF"/>
          <w:lang w:eastAsia="zh-CN"/>
        </w:rPr>
        <w:t>提供2025年的财务审计报告</w:t>
      </w:r>
      <w:r>
        <w:rPr>
          <w:rFonts w:hint="eastAsia" w:ascii="宋体" w:hAnsi="宋体" w:eastAsia="宋体" w:cs="宋体"/>
          <w:i w:val="0"/>
          <w:iCs w:val="0"/>
          <w:caps w:val="0"/>
          <w:color w:val="auto"/>
          <w:spacing w:val="0"/>
          <w:sz w:val="24"/>
          <w:szCs w:val="24"/>
          <w:shd w:val="clear" w:color="auto" w:fill="FFFFFF"/>
        </w:rPr>
        <w:t>（成立时间至提交响应文件截止时间不足1年的可提供成立后任意时段的资产负债表）或其基本存款账户开户银行出具的资信证明；</w:t>
      </w:r>
    </w:p>
    <w:p w14:paraId="31333931">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税收缴纳证明：</w:t>
      </w:r>
      <w:r>
        <w:rPr>
          <w:rFonts w:hint="eastAsia" w:cs="宋体"/>
          <w:i w:val="0"/>
          <w:iCs w:val="0"/>
          <w:caps w:val="0"/>
          <w:color w:val="auto"/>
          <w:spacing w:val="0"/>
          <w:sz w:val="24"/>
          <w:szCs w:val="24"/>
          <w:shd w:val="clear" w:color="auto" w:fill="FFFFFF"/>
          <w:lang w:eastAsia="zh-CN"/>
        </w:rPr>
        <w:t>提供2026年1月至今已缴纳的至少一个月</w:t>
      </w:r>
      <w:r>
        <w:rPr>
          <w:rFonts w:hint="eastAsia" w:ascii="宋体" w:hAnsi="宋体" w:eastAsia="宋体" w:cs="宋体"/>
          <w:i w:val="0"/>
          <w:iCs w:val="0"/>
          <w:caps w:val="0"/>
          <w:color w:val="auto"/>
          <w:spacing w:val="0"/>
          <w:sz w:val="24"/>
          <w:szCs w:val="24"/>
          <w:shd w:val="clear" w:color="auto" w:fill="FFFFFF"/>
        </w:rPr>
        <w:t>的纳税证明或完税证明，依法免税的单位应提供相关证明材料；</w:t>
      </w:r>
    </w:p>
    <w:p w14:paraId="4CE75DE7">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社保缴纳证明：</w:t>
      </w:r>
      <w:r>
        <w:rPr>
          <w:rFonts w:hint="eastAsia" w:cs="宋体"/>
          <w:i w:val="0"/>
          <w:iCs w:val="0"/>
          <w:caps w:val="0"/>
          <w:color w:val="auto"/>
          <w:spacing w:val="0"/>
          <w:sz w:val="24"/>
          <w:szCs w:val="24"/>
          <w:shd w:val="clear" w:color="auto" w:fill="FFFFFF"/>
          <w:lang w:eastAsia="zh-CN"/>
        </w:rPr>
        <w:t>提供2026年1月至今至少一个月</w:t>
      </w:r>
      <w:r>
        <w:rPr>
          <w:rFonts w:hint="eastAsia" w:ascii="宋体" w:hAnsi="宋体" w:eastAsia="宋体" w:cs="宋体"/>
          <w:i w:val="0"/>
          <w:iCs w:val="0"/>
          <w:caps w:val="0"/>
          <w:color w:val="auto"/>
          <w:spacing w:val="0"/>
          <w:sz w:val="24"/>
          <w:szCs w:val="24"/>
          <w:shd w:val="clear" w:color="auto" w:fill="FFFFFF"/>
        </w:rPr>
        <w:t>的社会保障资金缴纳单据或社保机构开具的社会保险参保缴费情况证明，依法不需要缴纳社会保障资金的应提供相关证明材料；</w:t>
      </w:r>
    </w:p>
    <w:p w14:paraId="3B20097D">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供应商须提供具备履行合同所必需的设备和专业技术能力的证明材料；</w:t>
      </w:r>
    </w:p>
    <w:p w14:paraId="216AAFDB">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供应商必须提供参加政府采购活动近3年内在经营活动中没有重大违法记录的</w:t>
      </w:r>
      <w:r>
        <w:rPr>
          <w:rFonts w:hint="eastAsia" w:cs="宋体"/>
          <w:i w:val="0"/>
          <w:iCs w:val="0"/>
          <w:caps w:val="0"/>
          <w:color w:val="auto"/>
          <w:spacing w:val="0"/>
          <w:sz w:val="24"/>
          <w:szCs w:val="24"/>
          <w:shd w:val="clear" w:color="auto" w:fill="FFFFFF"/>
          <w:lang w:eastAsia="zh-CN"/>
        </w:rPr>
        <w:t>、未发生食品安全事故的书面声明</w:t>
      </w:r>
      <w:r>
        <w:rPr>
          <w:rFonts w:hint="eastAsia" w:ascii="宋体" w:hAnsi="宋体" w:eastAsia="宋体" w:cs="宋体"/>
          <w:i w:val="0"/>
          <w:iCs w:val="0"/>
          <w:caps w:val="0"/>
          <w:color w:val="auto"/>
          <w:spacing w:val="0"/>
          <w:sz w:val="24"/>
          <w:szCs w:val="24"/>
          <w:shd w:val="clear" w:color="auto" w:fill="FFFFFF"/>
        </w:rPr>
        <w:t>；</w:t>
      </w:r>
    </w:p>
    <w:p w14:paraId="7BF62160">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供应商通过“信用中国”网站（www.creditchina.gov.cn ）和中国政府采购网（www.ccgp.gov.cn ）等渠道查询相关主体信用记录，对列入失信被执行人、重大税收违法失信主体、政府采购严重违法失信行为记录名单的供应商，将拒绝其参与政府采购活动；</w:t>
      </w:r>
    </w:p>
    <w:p w14:paraId="50A151F8">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单位负责人为同一人或者存在直接控股、管理关系的不同投标人，不得参加同一合同包的政府采购活动；</w:t>
      </w:r>
    </w:p>
    <w:p w14:paraId="7D8308B0">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本项目不接受联合体投标。</w:t>
      </w:r>
    </w:p>
    <w:p w14:paraId="66F1ED3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合同包3(</w:t>
      </w:r>
      <w:r>
        <w:rPr>
          <w:rFonts w:hint="eastAsia" w:cs="宋体"/>
          <w:i w:val="0"/>
          <w:iCs w:val="0"/>
          <w:caps w:val="0"/>
          <w:color w:val="auto"/>
          <w:spacing w:val="0"/>
          <w:sz w:val="24"/>
          <w:szCs w:val="24"/>
          <w:shd w:val="clear" w:color="auto" w:fill="FFFFFF"/>
          <w:lang w:eastAsia="zh-CN"/>
        </w:rPr>
        <w:t>A片区营养午餐蔬菜、水果、干货及调味品采购</w:t>
      </w:r>
      <w:r>
        <w:rPr>
          <w:rFonts w:hint="eastAsia" w:ascii="宋体" w:hAnsi="宋体" w:eastAsia="宋体" w:cs="宋体"/>
          <w:i w:val="0"/>
          <w:iCs w:val="0"/>
          <w:caps w:val="0"/>
          <w:color w:val="auto"/>
          <w:spacing w:val="0"/>
          <w:sz w:val="24"/>
          <w:szCs w:val="24"/>
          <w:shd w:val="clear" w:color="auto" w:fill="FFFFFF"/>
        </w:rPr>
        <w:t>)特定资格要求如下:</w:t>
      </w:r>
    </w:p>
    <w:p w14:paraId="522892F9">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具有独立承担民事责任的能力，提供营业执照、税务登记证、组织机构代码证或登载有统一社会信用代码的营业执照（或《事业单位法人证书》或其他合法组织登记证书、自然人只须提供身份证）；</w:t>
      </w:r>
    </w:p>
    <w:p w14:paraId="51A897B5">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提供法定代表人授权书（附法定代表人身份证复印件）及被授权代理人身份证复印件（法定代表人直接参加时只需提供法定代表人身份证复印件）；</w:t>
      </w:r>
    </w:p>
    <w:p w14:paraId="6FAEE524">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eastAsia="zh-CN"/>
        </w:rPr>
        <w:t>供应商若为生产厂家的须提供《食品生产许可证》；供应商为代理商的须提供《食品经营许可证》，并提供产品生产厂家的《食品生产许可证》复印件加盖生产厂家公章（蔬菜和水果除外）；</w:t>
      </w:r>
    </w:p>
    <w:p w14:paraId="4F248F5A">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财务状况报告：</w:t>
      </w:r>
      <w:r>
        <w:rPr>
          <w:rFonts w:hint="eastAsia" w:cs="宋体"/>
          <w:i w:val="0"/>
          <w:iCs w:val="0"/>
          <w:caps w:val="0"/>
          <w:color w:val="auto"/>
          <w:spacing w:val="0"/>
          <w:sz w:val="24"/>
          <w:szCs w:val="24"/>
          <w:shd w:val="clear" w:color="auto" w:fill="FFFFFF"/>
          <w:lang w:eastAsia="zh-CN"/>
        </w:rPr>
        <w:t>提供2025年的财务审计报告</w:t>
      </w:r>
      <w:r>
        <w:rPr>
          <w:rFonts w:hint="eastAsia" w:ascii="宋体" w:hAnsi="宋体" w:eastAsia="宋体" w:cs="宋体"/>
          <w:i w:val="0"/>
          <w:iCs w:val="0"/>
          <w:caps w:val="0"/>
          <w:color w:val="auto"/>
          <w:spacing w:val="0"/>
          <w:sz w:val="24"/>
          <w:szCs w:val="24"/>
          <w:shd w:val="clear" w:color="auto" w:fill="FFFFFF"/>
        </w:rPr>
        <w:t>（成立时间至提交响应文件截止时间不足1年的可提供成立后任意时段的资产负债表）或其基本存款账户开户银行出具的资信证明；</w:t>
      </w:r>
    </w:p>
    <w:p w14:paraId="7D19ED76">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税收缴纳证明：</w:t>
      </w:r>
      <w:r>
        <w:rPr>
          <w:rFonts w:hint="eastAsia" w:cs="宋体"/>
          <w:i w:val="0"/>
          <w:iCs w:val="0"/>
          <w:caps w:val="0"/>
          <w:color w:val="auto"/>
          <w:spacing w:val="0"/>
          <w:sz w:val="24"/>
          <w:szCs w:val="24"/>
          <w:shd w:val="clear" w:color="auto" w:fill="FFFFFF"/>
          <w:lang w:eastAsia="zh-CN"/>
        </w:rPr>
        <w:t>提供2026年1月至今已缴纳的至少一个月</w:t>
      </w:r>
      <w:r>
        <w:rPr>
          <w:rFonts w:hint="eastAsia" w:ascii="宋体" w:hAnsi="宋体" w:eastAsia="宋体" w:cs="宋体"/>
          <w:i w:val="0"/>
          <w:iCs w:val="0"/>
          <w:caps w:val="0"/>
          <w:color w:val="auto"/>
          <w:spacing w:val="0"/>
          <w:sz w:val="24"/>
          <w:szCs w:val="24"/>
          <w:shd w:val="clear" w:color="auto" w:fill="FFFFFF"/>
        </w:rPr>
        <w:t>的纳税证明或完税证明，依法免税的单位应提供相关证明材料；</w:t>
      </w:r>
    </w:p>
    <w:p w14:paraId="72D4A844">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社保缴纳证明：</w:t>
      </w:r>
      <w:r>
        <w:rPr>
          <w:rFonts w:hint="eastAsia" w:cs="宋体"/>
          <w:i w:val="0"/>
          <w:iCs w:val="0"/>
          <w:caps w:val="0"/>
          <w:color w:val="auto"/>
          <w:spacing w:val="0"/>
          <w:sz w:val="24"/>
          <w:szCs w:val="24"/>
          <w:shd w:val="clear" w:color="auto" w:fill="FFFFFF"/>
          <w:lang w:eastAsia="zh-CN"/>
        </w:rPr>
        <w:t>提供2026年1月至今至少一个月</w:t>
      </w:r>
      <w:r>
        <w:rPr>
          <w:rFonts w:hint="eastAsia" w:ascii="宋体" w:hAnsi="宋体" w:eastAsia="宋体" w:cs="宋体"/>
          <w:i w:val="0"/>
          <w:iCs w:val="0"/>
          <w:caps w:val="0"/>
          <w:color w:val="auto"/>
          <w:spacing w:val="0"/>
          <w:sz w:val="24"/>
          <w:szCs w:val="24"/>
          <w:shd w:val="clear" w:color="auto" w:fill="FFFFFF"/>
        </w:rPr>
        <w:t>的社会保障资金缴纳单据或社保机构开具的社会保险参保缴费情况证明，依法不需要缴纳社会保障资金的应提供相关证明材料；</w:t>
      </w:r>
    </w:p>
    <w:p w14:paraId="5AFB74DC">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供应商须提供具备履行合同所必需的设备和专业技术能力的证明材料；</w:t>
      </w:r>
    </w:p>
    <w:p w14:paraId="593166E1">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供应商必须提供参加政府采购活动近3年内在经营活动中没有重大违法记录的</w:t>
      </w:r>
      <w:r>
        <w:rPr>
          <w:rFonts w:hint="eastAsia" w:cs="宋体"/>
          <w:i w:val="0"/>
          <w:iCs w:val="0"/>
          <w:caps w:val="0"/>
          <w:color w:val="auto"/>
          <w:spacing w:val="0"/>
          <w:sz w:val="24"/>
          <w:szCs w:val="24"/>
          <w:shd w:val="clear" w:color="auto" w:fill="FFFFFF"/>
          <w:lang w:eastAsia="zh-CN"/>
        </w:rPr>
        <w:t>、未发生食品安全事故的书面声明</w:t>
      </w:r>
      <w:r>
        <w:rPr>
          <w:rFonts w:hint="eastAsia" w:ascii="宋体" w:hAnsi="宋体" w:eastAsia="宋体" w:cs="宋体"/>
          <w:i w:val="0"/>
          <w:iCs w:val="0"/>
          <w:caps w:val="0"/>
          <w:color w:val="auto"/>
          <w:spacing w:val="0"/>
          <w:sz w:val="24"/>
          <w:szCs w:val="24"/>
          <w:shd w:val="clear" w:color="auto" w:fill="FFFFFF"/>
        </w:rPr>
        <w:t>；</w:t>
      </w:r>
    </w:p>
    <w:p w14:paraId="3362DBCB">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供应商通过“信用中国”网站（www.creditchina.gov.cn ）和中国政府采购网（www.ccgp.gov.cn ） 等渠道查询相关主体信用记录，对列入失信被执行人、重大税收违法失信主体、政府采购严重违法失信行为记录名单的供应商，将拒绝其参与政府采购活动；</w:t>
      </w:r>
    </w:p>
    <w:p w14:paraId="132E1611">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单位负责人为同一人或者存在直接控股、管理关系的不同投标人，不得参加同一合同包的政府采购活动；</w:t>
      </w:r>
    </w:p>
    <w:p w14:paraId="584A39F7">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本项目不接受联合体投标。</w:t>
      </w:r>
    </w:p>
    <w:p w14:paraId="789ECE8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合同包4(</w:t>
      </w:r>
      <w:r>
        <w:rPr>
          <w:rFonts w:hint="eastAsia" w:cs="宋体"/>
          <w:i w:val="0"/>
          <w:iCs w:val="0"/>
          <w:caps w:val="0"/>
          <w:color w:val="auto"/>
          <w:spacing w:val="0"/>
          <w:sz w:val="24"/>
          <w:szCs w:val="24"/>
          <w:shd w:val="clear" w:color="auto" w:fill="FFFFFF"/>
          <w:lang w:eastAsia="zh-CN"/>
        </w:rPr>
        <w:t>B片区米面油、牛奶采购</w:t>
      </w:r>
      <w:r>
        <w:rPr>
          <w:rFonts w:hint="eastAsia" w:ascii="宋体" w:hAnsi="宋体" w:eastAsia="宋体" w:cs="宋体"/>
          <w:i w:val="0"/>
          <w:iCs w:val="0"/>
          <w:caps w:val="0"/>
          <w:color w:val="auto"/>
          <w:spacing w:val="0"/>
          <w:sz w:val="24"/>
          <w:szCs w:val="24"/>
          <w:shd w:val="clear" w:color="auto" w:fill="FFFFFF"/>
        </w:rPr>
        <w:t>)特定资格要求如下:</w:t>
      </w:r>
    </w:p>
    <w:p w14:paraId="0C908A3B">
      <w:pPr>
        <w:pStyle w:val="20"/>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具有独立承担民事责任的能力，提供营业执照、税务登记证、组织机构代码证或登载有统一社会信用代码的营业执照（或《事业单位法人证书》或其他合法组织登记证书、自然人只须提供身份证）；</w:t>
      </w:r>
    </w:p>
    <w:p w14:paraId="4C62943E">
      <w:pPr>
        <w:pStyle w:val="20"/>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提供法定代表人授权书（附法定代表人身份证复印件）及被授权代理人身份证复印件（法定代表人直接参加时只需提供法定代表人身份证复印件）；</w:t>
      </w:r>
    </w:p>
    <w:p w14:paraId="1BA206C5">
      <w:pPr>
        <w:pStyle w:val="20"/>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eastAsia="zh-CN"/>
        </w:rPr>
        <w:t>供应商若为生产厂家的须提供《食品生产许可证》；供应商为代理商的须提供《食品经营许可证》或《陕西省仅销售预包装食品经营者备案表》，并提供生产厂家的《食品生产许可证》（复印件加盖生产厂家公章）；</w:t>
      </w:r>
    </w:p>
    <w:p w14:paraId="732F9FBC">
      <w:pPr>
        <w:pStyle w:val="20"/>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财务状况报告：</w:t>
      </w:r>
      <w:r>
        <w:rPr>
          <w:rFonts w:hint="eastAsia" w:cs="宋体"/>
          <w:i w:val="0"/>
          <w:iCs w:val="0"/>
          <w:caps w:val="0"/>
          <w:color w:val="auto"/>
          <w:spacing w:val="0"/>
          <w:sz w:val="24"/>
          <w:szCs w:val="24"/>
          <w:shd w:val="clear" w:color="auto" w:fill="FFFFFF"/>
          <w:lang w:eastAsia="zh-CN"/>
        </w:rPr>
        <w:t>提供2025年的财务审计报告</w:t>
      </w:r>
      <w:r>
        <w:rPr>
          <w:rFonts w:hint="eastAsia" w:ascii="宋体" w:hAnsi="宋体" w:eastAsia="宋体" w:cs="宋体"/>
          <w:i w:val="0"/>
          <w:iCs w:val="0"/>
          <w:caps w:val="0"/>
          <w:color w:val="auto"/>
          <w:spacing w:val="0"/>
          <w:sz w:val="24"/>
          <w:szCs w:val="24"/>
          <w:shd w:val="clear" w:color="auto" w:fill="FFFFFF"/>
        </w:rPr>
        <w:t>（成立时间至提交响应文件截止时间不足1年的可提供成立后任意时段的资产负债表）或其基本存款账户开户银行出具的资信证明；</w:t>
      </w:r>
    </w:p>
    <w:p w14:paraId="7B4B3A3B">
      <w:pPr>
        <w:pStyle w:val="20"/>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税收缴纳证明：</w:t>
      </w:r>
      <w:r>
        <w:rPr>
          <w:rFonts w:hint="eastAsia" w:cs="宋体"/>
          <w:i w:val="0"/>
          <w:iCs w:val="0"/>
          <w:caps w:val="0"/>
          <w:color w:val="auto"/>
          <w:spacing w:val="0"/>
          <w:sz w:val="24"/>
          <w:szCs w:val="24"/>
          <w:shd w:val="clear" w:color="auto" w:fill="FFFFFF"/>
          <w:lang w:eastAsia="zh-CN"/>
        </w:rPr>
        <w:t>提供2026年1月至今已缴纳的至少一个月</w:t>
      </w:r>
      <w:r>
        <w:rPr>
          <w:rFonts w:hint="eastAsia" w:ascii="宋体" w:hAnsi="宋体" w:eastAsia="宋体" w:cs="宋体"/>
          <w:i w:val="0"/>
          <w:iCs w:val="0"/>
          <w:caps w:val="0"/>
          <w:color w:val="auto"/>
          <w:spacing w:val="0"/>
          <w:sz w:val="24"/>
          <w:szCs w:val="24"/>
          <w:shd w:val="clear" w:color="auto" w:fill="FFFFFF"/>
        </w:rPr>
        <w:t>的纳税证明或完税证明，依法免税的单位应提供相关证明材料；</w:t>
      </w:r>
    </w:p>
    <w:p w14:paraId="4BCBC92E">
      <w:pPr>
        <w:pStyle w:val="20"/>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社保缴纳证明：</w:t>
      </w:r>
      <w:r>
        <w:rPr>
          <w:rFonts w:hint="eastAsia" w:cs="宋体"/>
          <w:i w:val="0"/>
          <w:iCs w:val="0"/>
          <w:caps w:val="0"/>
          <w:color w:val="auto"/>
          <w:spacing w:val="0"/>
          <w:sz w:val="24"/>
          <w:szCs w:val="24"/>
          <w:shd w:val="clear" w:color="auto" w:fill="FFFFFF"/>
          <w:lang w:eastAsia="zh-CN"/>
        </w:rPr>
        <w:t>提供2026年1月至今至少一个月</w:t>
      </w:r>
      <w:r>
        <w:rPr>
          <w:rFonts w:hint="eastAsia" w:ascii="宋体" w:hAnsi="宋体" w:eastAsia="宋体" w:cs="宋体"/>
          <w:i w:val="0"/>
          <w:iCs w:val="0"/>
          <w:caps w:val="0"/>
          <w:color w:val="auto"/>
          <w:spacing w:val="0"/>
          <w:sz w:val="24"/>
          <w:szCs w:val="24"/>
          <w:shd w:val="clear" w:color="auto" w:fill="FFFFFF"/>
        </w:rPr>
        <w:t>的社会保障资金缴纳单据或社保机构开具的社会保险参保缴费情况证明，依法不需要缴纳社会保障资金的应提供相关证明材料；</w:t>
      </w:r>
    </w:p>
    <w:p w14:paraId="0B73F76C">
      <w:pPr>
        <w:pStyle w:val="20"/>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供应商须提供具备履行合同所必需的设备和专业技术能力的证明材料；</w:t>
      </w:r>
    </w:p>
    <w:p w14:paraId="273BA8A0">
      <w:pPr>
        <w:pStyle w:val="20"/>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供应商必须提供参加政府采购活动近3年内在经营活动中没有重大违法记录的</w:t>
      </w:r>
      <w:r>
        <w:rPr>
          <w:rFonts w:hint="eastAsia" w:cs="宋体"/>
          <w:i w:val="0"/>
          <w:iCs w:val="0"/>
          <w:caps w:val="0"/>
          <w:color w:val="auto"/>
          <w:spacing w:val="0"/>
          <w:sz w:val="24"/>
          <w:szCs w:val="24"/>
          <w:shd w:val="clear" w:color="auto" w:fill="FFFFFF"/>
          <w:lang w:eastAsia="zh-CN"/>
        </w:rPr>
        <w:t>、未发生食品安全事故的书面声明</w:t>
      </w:r>
      <w:r>
        <w:rPr>
          <w:rFonts w:hint="eastAsia" w:ascii="宋体" w:hAnsi="宋体" w:eastAsia="宋体" w:cs="宋体"/>
          <w:i w:val="0"/>
          <w:iCs w:val="0"/>
          <w:caps w:val="0"/>
          <w:color w:val="auto"/>
          <w:spacing w:val="0"/>
          <w:sz w:val="24"/>
          <w:szCs w:val="24"/>
          <w:shd w:val="clear" w:color="auto" w:fill="FFFFFF"/>
        </w:rPr>
        <w:t>；</w:t>
      </w:r>
    </w:p>
    <w:p w14:paraId="179E8FB4">
      <w:pPr>
        <w:pStyle w:val="20"/>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供应商通过“信用中国”网站（www.creditchina.gov.cn ）和中国政府采购网（www.ccgp.gov.cn）等渠道查询相关主体信用记录，对列入失信被执行人、重大税收违法失信主体、政府采购严重违法失信行为记录名单的供应商，将拒绝其参与政府采购活动；</w:t>
      </w:r>
    </w:p>
    <w:p w14:paraId="065B5ADC">
      <w:pPr>
        <w:pStyle w:val="20"/>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单位负责人为同一人或者存在直接控股、管理关系的不同投标人，不得参加同一合同包的政府采购活动；</w:t>
      </w:r>
    </w:p>
    <w:p w14:paraId="2ECB51EF">
      <w:pPr>
        <w:pStyle w:val="20"/>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本项目不接受联合体投标</w:t>
      </w:r>
      <w:r>
        <w:rPr>
          <w:rFonts w:hint="eastAsia" w:cs="宋体"/>
          <w:i w:val="0"/>
          <w:iCs w:val="0"/>
          <w:caps w:val="0"/>
          <w:color w:val="auto"/>
          <w:spacing w:val="0"/>
          <w:sz w:val="24"/>
          <w:szCs w:val="24"/>
          <w:shd w:val="clear" w:color="auto" w:fill="FFFFFF"/>
          <w:lang w:eastAsia="zh-CN"/>
        </w:rPr>
        <w:t>。</w:t>
      </w:r>
    </w:p>
    <w:p w14:paraId="336BA20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合同包5(</w:t>
      </w:r>
      <w:r>
        <w:rPr>
          <w:rFonts w:hint="eastAsia" w:cs="宋体"/>
          <w:i w:val="0"/>
          <w:iCs w:val="0"/>
          <w:caps w:val="0"/>
          <w:color w:val="auto"/>
          <w:spacing w:val="0"/>
          <w:sz w:val="24"/>
          <w:szCs w:val="24"/>
          <w:shd w:val="clear" w:color="auto" w:fill="FFFFFF"/>
          <w:lang w:eastAsia="zh-CN"/>
        </w:rPr>
        <w:t>B片区肉蛋禽采购</w:t>
      </w:r>
      <w:r>
        <w:rPr>
          <w:rFonts w:hint="eastAsia" w:ascii="宋体" w:hAnsi="宋体" w:eastAsia="宋体" w:cs="宋体"/>
          <w:i w:val="0"/>
          <w:iCs w:val="0"/>
          <w:caps w:val="0"/>
          <w:color w:val="auto"/>
          <w:spacing w:val="0"/>
          <w:sz w:val="24"/>
          <w:szCs w:val="24"/>
          <w:shd w:val="clear" w:color="auto" w:fill="FFFFFF"/>
        </w:rPr>
        <w:t>)特定资格要求如下:</w:t>
      </w:r>
    </w:p>
    <w:p w14:paraId="35A3B956">
      <w:pPr>
        <w:pStyle w:val="20"/>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具有独立承担民事责任的能力，提供营业执照、税务登记证、组织机构代码证或登载有统一社会信用代码的营业执照（或《事业单位法人证书》或其他合法组织登记证书、自然人只须提供身份证）；</w:t>
      </w:r>
    </w:p>
    <w:p w14:paraId="1A4A42D9">
      <w:pPr>
        <w:pStyle w:val="20"/>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提供法定代表人授权书（附法定代表人身份证复印件）及被授权代理人身份证复印件（法定代表人直接参加时只需提供法定代表人身份证复印件）；</w:t>
      </w:r>
    </w:p>
    <w:p w14:paraId="5D3C60BD">
      <w:pPr>
        <w:pStyle w:val="20"/>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color="auto" w:fill="FFFFFF"/>
          <w:lang w:eastAsia="zh-CN"/>
        </w:rPr>
        <w:t>供应商若为生产厂家的须提供《生猪定点屠宰证》和《动物防疫条件合格证》；厂家注册地实行牛羊定点屠宰的附加《畜禽定点屠宰证书》，厂家属地不核发牛羊定点屠宰证则提供加盖公章的政策承诺函替代；供应商若为代理商的须提供《食品经营许可证》《陕西省生鲜肉经营备案表》并附生产厂家对应资质复印件（厂家盖章），厂家属地不核发牛羊定点屠宰证的，一并附厂家盖章承诺函</w:t>
      </w:r>
      <w:r>
        <w:rPr>
          <w:rFonts w:hint="eastAsia" w:ascii="宋体" w:hAnsi="宋体" w:eastAsia="宋体" w:cs="宋体"/>
          <w:i w:val="0"/>
          <w:iCs w:val="0"/>
          <w:caps w:val="0"/>
          <w:color w:val="auto"/>
          <w:spacing w:val="0"/>
          <w:sz w:val="24"/>
          <w:szCs w:val="24"/>
          <w:shd w:val="clear" w:color="auto" w:fill="FFFFFF"/>
          <w:lang w:eastAsia="zh-CN"/>
        </w:rPr>
        <w:t>；</w:t>
      </w:r>
    </w:p>
    <w:p w14:paraId="3CC83127">
      <w:pPr>
        <w:pStyle w:val="20"/>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财务状况报告：</w:t>
      </w:r>
      <w:r>
        <w:rPr>
          <w:rFonts w:hint="eastAsia" w:cs="宋体"/>
          <w:i w:val="0"/>
          <w:iCs w:val="0"/>
          <w:caps w:val="0"/>
          <w:color w:val="auto"/>
          <w:spacing w:val="0"/>
          <w:sz w:val="24"/>
          <w:szCs w:val="24"/>
          <w:shd w:val="clear" w:color="auto" w:fill="FFFFFF"/>
          <w:lang w:eastAsia="zh-CN"/>
        </w:rPr>
        <w:t>提供2025年的财务审计报告</w:t>
      </w:r>
      <w:r>
        <w:rPr>
          <w:rFonts w:hint="eastAsia" w:ascii="宋体" w:hAnsi="宋体" w:eastAsia="宋体" w:cs="宋体"/>
          <w:i w:val="0"/>
          <w:iCs w:val="0"/>
          <w:caps w:val="0"/>
          <w:color w:val="auto"/>
          <w:spacing w:val="0"/>
          <w:sz w:val="24"/>
          <w:szCs w:val="24"/>
          <w:shd w:val="clear" w:color="auto" w:fill="FFFFFF"/>
        </w:rPr>
        <w:t>（成立时间至提交响应文件截止时间不足1年的可提供成立后任意时段的资产负债表）或其基本存款账户开户银行出具的资信证明；</w:t>
      </w:r>
    </w:p>
    <w:p w14:paraId="18A3CC78">
      <w:pPr>
        <w:pStyle w:val="20"/>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税收缴纳证明：</w:t>
      </w:r>
      <w:r>
        <w:rPr>
          <w:rFonts w:hint="eastAsia" w:cs="宋体"/>
          <w:i w:val="0"/>
          <w:iCs w:val="0"/>
          <w:caps w:val="0"/>
          <w:color w:val="auto"/>
          <w:spacing w:val="0"/>
          <w:sz w:val="24"/>
          <w:szCs w:val="24"/>
          <w:shd w:val="clear" w:color="auto" w:fill="FFFFFF"/>
          <w:lang w:eastAsia="zh-CN"/>
        </w:rPr>
        <w:t>提供2026年1月至今已缴纳的至少一个月</w:t>
      </w:r>
      <w:r>
        <w:rPr>
          <w:rFonts w:hint="eastAsia" w:ascii="宋体" w:hAnsi="宋体" w:eastAsia="宋体" w:cs="宋体"/>
          <w:i w:val="0"/>
          <w:iCs w:val="0"/>
          <w:caps w:val="0"/>
          <w:color w:val="auto"/>
          <w:spacing w:val="0"/>
          <w:sz w:val="24"/>
          <w:szCs w:val="24"/>
          <w:shd w:val="clear" w:color="auto" w:fill="FFFFFF"/>
        </w:rPr>
        <w:t>的纳税证明或完税证明，依法免税的单位应提供相关证明材料；</w:t>
      </w:r>
    </w:p>
    <w:p w14:paraId="3D3831A4">
      <w:pPr>
        <w:pStyle w:val="20"/>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社保缴纳证明：</w:t>
      </w:r>
      <w:r>
        <w:rPr>
          <w:rFonts w:hint="eastAsia" w:cs="宋体"/>
          <w:i w:val="0"/>
          <w:iCs w:val="0"/>
          <w:caps w:val="0"/>
          <w:color w:val="auto"/>
          <w:spacing w:val="0"/>
          <w:sz w:val="24"/>
          <w:szCs w:val="24"/>
          <w:shd w:val="clear" w:color="auto" w:fill="FFFFFF"/>
          <w:lang w:eastAsia="zh-CN"/>
        </w:rPr>
        <w:t>提供2026年1月至今至少一个月</w:t>
      </w:r>
      <w:r>
        <w:rPr>
          <w:rFonts w:hint="eastAsia" w:ascii="宋体" w:hAnsi="宋体" w:eastAsia="宋体" w:cs="宋体"/>
          <w:i w:val="0"/>
          <w:iCs w:val="0"/>
          <w:caps w:val="0"/>
          <w:color w:val="auto"/>
          <w:spacing w:val="0"/>
          <w:sz w:val="24"/>
          <w:szCs w:val="24"/>
          <w:shd w:val="clear" w:color="auto" w:fill="FFFFFF"/>
        </w:rPr>
        <w:t>的社会保障资金缴纳单据或社保机构开具的社会保险参保缴费情况证明，依法不需要缴纳社会保障资金的应提供相关证明材料；</w:t>
      </w:r>
    </w:p>
    <w:p w14:paraId="037F0104">
      <w:pPr>
        <w:pStyle w:val="20"/>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供应商须提供具备履行合同所必需的设备和专业技术能力的证明材料；</w:t>
      </w:r>
    </w:p>
    <w:p w14:paraId="4643527A">
      <w:pPr>
        <w:pStyle w:val="20"/>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供应商必须提供参加政府采购活动近3年内在经营活动中没有重大违法记录的</w:t>
      </w:r>
      <w:r>
        <w:rPr>
          <w:rFonts w:hint="eastAsia" w:cs="宋体"/>
          <w:i w:val="0"/>
          <w:iCs w:val="0"/>
          <w:caps w:val="0"/>
          <w:color w:val="auto"/>
          <w:spacing w:val="0"/>
          <w:sz w:val="24"/>
          <w:szCs w:val="24"/>
          <w:shd w:val="clear" w:color="auto" w:fill="FFFFFF"/>
          <w:lang w:eastAsia="zh-CN"/>
        </w:rPr>
        <w:t>、未发生食品安全事故的书面声明</w:t>
      </w:r>
      <w:r>
        <w:rPr>
          <w:rFonts w:hint="eastAsia" w:ascii="宋体" w:hAnsi="宋体" w:eastAsia="宋体" w:cs="宋体"/>
          <w:i w:val="0"/>
          <w:iCs w:val="0"/>
          <w:caps w:val="0"/>
          <w:color w:val="auto"/>
          <w:spacing w:val="0"/>
          <w:sz w:val="24"/>
          <w:szCs w:val="24"/>
          <w:shd w:val="clear" w:color="auto" w:fill="FFFFFF"/>
        </w:rPr>
        <w:t>；</w:t>
      </w:r>
    </w:p>
    <w:p w14:paraId="54E59D37">
      <w:pPr>
        <w:pStyle w:val="20"/>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供应商通过“信用中国”网站（www.creditchina.gov.cn ）和中国政府采购网（www.ccgp.gov.cn ）等渠道查询相关主体信用记录，对列入失信被执行人、重大税收违法失信主体、政府采购严重违法失信行为记录名单的供应商，将拒绝其参与政府采购活动；</w:t>
      </w:r>
    </w:p>
    <w:p w14:paraId="1B5D78BE">
      <w:pPr>
        <w:pStyle w:val="20"/>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单位负责人为同一人或者存在直接控股、管理关系的不同投标人，不得参加同一合同包的政府采购活动；</w:t>
      </w:r>
    </w:p>
    <w:p w14:paraId="07B19DC2">
      <w:pPr>
        <w:pStyle w:val="20"/>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本项目不接受联合体投标</w:t>
      </w:r>
      <w:r>
        <w:rPr>
          <w:rFonts w:hint="eastAsia" w:ascii="宋体" w:hAnsi="宋体" w:eastAsia="宋体" w:cs="宋体"/>
          <w:i w:val="0"/>
          <w:iCs w:val="0"/>
          <w:caps w:val="0"/>
          <w:color w:val="auto"/>
          <w:spacing w:val="0"/>
          <w:sz w:val="24"/>
          <w:szCs w:val="24"/>
          <w:shd w:val="clear" w:color="auto" w:fill="FFFFFF"/>
          <w:lang w:eastAsia="zh-CN"/>
        </w:rPr>
        <w:t>。</w:t>
      </w:r>
    </w:p>
    <w:p w14:paraId="3331721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w:t>
      </w:r>
      <w:r>
        <w:rPr>
          <w:rFonts w:hint="eastAsia" w:cs="宋体"/>
          <w:i w:val="0"/>
          <w:iCs w:val="0"/>
          <w:caps w:val="0"/>
          <w:color w:val="auto"/>
          <w:spacing w:val="0"/>
          <w:sz w:val="24"/>
          <w:szCs w:val="24"/>
          <w:shd w:val="clear" w:color="auto" w:fill="FFFFFF"/>
          <w:lang w:val="en-US" w:eastAsia="zh-CN"/>
        </w:rPr>
        <w:t>B片区营养午餐蔬菜、水果、干货及调味品采购</w:t>
      </w:r>
      <w:r>
        <w:rPr>
          <w:rFonts w:hint="eastAsia" w:ascii="宋体" w:hAnsi="宋体" w:eastAsia="宋体" w:cs="宋体"/>
          <w:i w:val="0"/>
          <w:iCs w:val="0"/>
          <w:caps w:val="0"/>
          <w:color w:val="auto"/>
          <w:spacing w:val="0"/>
          <w:sz w:val="24"/>
          <w:szCs w:val="24"/>
          <w:shd w:val="clear" w:color="auto" w:fill="FFFFFF"/>
        </w:rPr>
        <w:t>)特定资格要求如下:</w:t>
      </w:r>
    </w:p>
    <w:p w14:paraId="08577CBE">
      <w:pPr>
        <w:pStyle w:val="20"/>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具有独立承担民事责任的能力，提供营业执照、税务登记证、组织机构代码证或登载有统一社会信用代码的营业执照（或《事业单位法人证书》或其他合法组织登记证书、自然人只须提供身份证）；</w:t>
      </w:r>
    </w:p>
    <w:p w14:paraId="3A5D8339">
      <w:pPr>
        <w:pStyle w:val="20"/>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提供法定代表人授权书（附法定代表人身份证复印件）及被授权代理人身份证复印件（法定代表人直接参加时只需提供法定代表人身份证复印件）；</w:t>
      </w:r>
    </w:p>
    <w:p w14:paraId="7374D3A9">
      <w:pPr>
        <w:pStyle w:val="20"/>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eastAsia="zh-CN"/>
        </w:rPr>
        <w:t>供应商若为生产厂家的须提供《食品生产许可证》；供应商为代理商的须提供《食品经营许可证》，并提供产品生产厂家的《食品生产许可证》复印件加盖生产厂家公章（蔬菜和水果除外）；</w:t>
      </w:r>
    </w:p>
    <w:p w14:paraId="49E48B81">
      <w:pPr>
        <w:pStyle w:val="20"/>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财务状况报告：</w:t>
      </w:r>
      <w:r>
        <w:rPr>
          <w:rFonts w:hint="eastAsia" w:cs="宋体"/>
          <w:i w:val="0"/>
          <w:iCs w:val="0"/>
          <w:caps w:val="0"/>
          <w:color w:val="auto"/>
          <w:spacing w:val="0"/>
          <w:sz w:val="24"/>
          <w:szCs w:val="24"/>
          <w:shd w:val="clear" w:color="auto" w:fill="FFFFFF"/>
          <w:lang w:eastAsia="zh-CN"/>
        </w:rPr>
        <w:t>提供2025年的财务审计报告</w:t>
      </w:r>
      <w:r>
        <w:rPr>
          <w:rFonts w:hint="eastAsia" w:ascii="宋体" w:hAnsi="宋体" w:eastAsia="宋体" w:cs="宋体"/>
          <w:i w:val="0"/>
          <w:iCs w:val="0"/>
          <w:caps w:val="0"/>
          <w:color w:val="auto"/>
          <w:spacing w:val="0"/>
          <w:sz w:val="24"/>
          <w:szCs w:val="24"/>
          <w:shd w:val="clear" w:color="auto" w:fill="FFFFFF"/>
        </w:rPr>
        <w:t>（成立时间至提交响应文件截止时间不足1年的可提供成立后任意时段的资产负债表）或其基本存款账户开户银行出具的资信证明；</w:t>
      </w:r>
    </w:p>
    <w:p w14:paraId="7D9E6939">
      <w:pPr>
        <w:pStyle w:val="20"/>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税收缴纳证明：</w:t>
      </w:r>
      <w:r>
        <w:rPr>
          <w:rFonts w:hint="eastAsia" w:cs="宋体"/>
          <w:i w:val="0"/>
          <w:iCs w:val="0"/>
          <w:caps w:val="0"/>
          <w:color w:val="auto"/>
          <w:spacing w:val="0"/>
          <w:sz w:val="24"/>
          <w:szCs w:val="24"/>
          <w:shd w:val="clear" w:color="auto" w:fill="FFFFFF"/>
          <w:lang w:eastAsia="zh-CN"/>
        </w:rPr>
        <w:t>提供2026年1月至今已缴纳的至少一个月</w:t>
      </w:r>
      <w:r>
        <w:rPr>
          <w:rFonts w:hint="eastAsia" w:ascii="宋体" w:hAnsi="宋体" w:eastAsia="宋体" w:cs="宋体"/>
          <w:i w:val="0"/>
          <w:iCs w:val="0"/>
          <w:caps w:val="0"/>
          <w:color w:val="auto"/>
          <w:spacing w:val="0"/>
          <w:sz w:val="24"/>
          <w:szCs w:val="24"/>
          <w:shd w:val="clear" w:color="auto" w:fill="FFFFFF"/>
        </w:rPr>
        <w:t>的纳税证明或完税证明，依法免税的单位应提供相关证明材料；</w:t>
      </w:r>
    </w:p>
    <w:p w14:paraId="2A8B45DB">
      <w:pPr>
        <w:pStyle w:val="20"/>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社保缴纳证明：</w:t>
      </w:r>
      <w:r>
        <w:rPr>
          <w:rFonts w:hint="eastAsia" w:cs="宋体"/>
          <w:i w:val="0"/>
          <w:iCs w:val="0"/>
          <w:caps w:val="0"/>
          <w:color w:val="auto"/>
          <w:spacing w:val="0"/>
          <w:sz w:val="24"/>
          <w:szCs w:val="24"/>
          <w:shd w:val="clear" w:color="auto" w:fill="FFFFFF"/>
          <w:lang w:eastAsia="zh-CN"/>
        </w:rPr>
        <w:t>提供2026年1月至今至少一个月</w:t>
      </w:r>
      <w:r>
        <w:rPr>
          <w:rFonts w:hint="eastAsia" w:ascii="宋体" w:hAnsi="宋体" w:eastAsia="宋体" w:cs="宋体"/>
          <w:i w:val="0"/>
          <w:iCs w:val="0"/>
          <w:caps w:val="0"/>
          <w:color w:val="auto"/>
          <w:spacing w:val="0"/>
          <w:sz w:val="24"/>
          <w:szCs w:val="24"/>
          <w:shd w:val="clear" w:color="auto" w:fill="FFFFFF"/>
        </w:rPr>
        <w:t>的社会保障资金缴纳单据或社保机构开具的社会保险参保缴费情况证明，依法不需要缴纳社会保障资金的应提供相关证明材料；</w:t>
      </w:r>
    </w:p>
    <w:p w14:paraId="3E6A2F0E">
      <w:pPr>
        <w:pStyle w:val="20"/>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供应商须提供具备履行合同所必需的设备和专业技术能力的证明材料；</w:t>
      </w:r>
    </w:p>
    <w:p w14:paraId="055C623D">
      <w:pPr>
        <w:pStyle w:val="20"/>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供应商必须提供参加政府采购活动近3年内在经营活动中没有重大违法记录的</w:t>
      </w:r>
      <w:r>
        <w:rPr>
          <w:rFonts w:hint="eastAsia" w:cs="宋体"/>
          <w:i w:val="0"/>
          <w:iCs w:val="0"/>
          <w:caps w:val="0"/>
          <w:color w:val="auto"/>
          <w:spacing w:val="0"/>
          <w:sz w:val="24"/>
          <w:szCs w:val="24"/>
          <w:shd w:val="clear" w:color="auto" w:fill="FFFFFF"/>
          <w:lang w:eastAsia="zh-CN"/>
        </w:rPr>
        <w:t>、未发生食品安全事故的书面声明</w:t>
      </w:r>
      <w:r>
        <w:rPr>
          <w:rFonts w:hint="eastAsia" w:ascii="宋体" w:hAnsi="宋体" w:eastAsia="宋体" w:cs="宋体"/>
          <w:i w:val="0"/>
          <w:iCs w:val="0"/>
          <w:caps w:val="0"/>
          <w:color w:val="auto"/>
          <w:spacing w:val="0"/>
          <w:sz w:val="24"/>
          <w:szCs w:val="24"/>
          <w:shd w:val="clear" w:color="auto" w:fill="FFFFFF"/>
        </w:rPr>
        <w:t>；</w:t>
      </w:r>
    </w:p>
    <w:p w14:paraId="10BD60AB">
      <w:pPr>
        <w:pStyle w:val="20"/>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供应商通过“信用中国”网站（www.creditchina.gov.cn ）和中国政府采购网（www.ccgp.gov.cn ） 等渠道查询相关主体信用记录，对列入失信被执行人、重大税收违法失信主体、政府采购严重违法失信行为记录名单的供应商，将拒绝其参与政府采购活动；</w:t>
      </w:r>
    </w:p>
    <w:p w14:paraId="2949655C">
      <w:pPr>
        <w:pStyle w:val="20"/>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单位负责人为同一人或者存在直接控股、管理关系的不同投标人，不得参加同一合同包的政府采购活动；</w:t>
      </w:r>
    </w:p>
    <w:p w14:paraId="51B41C13">
      <w:pPr>
        <w:pageBreakBefore w:val="0"/>
        <w:numPr>
          <w:ilvl w:val="0"/>
          <w:numId w:val="6"/>
        </w:numPr>
        <w:topLinePunct w:val="0"/>
        <w:bidi w:val="0"/>
        <w:spacing w:line="500" w:lineRule="exact"/>
        <w:ind w:left="0" w:leftChars="0" w:right="0" w:rightChars="0" w:firstLine="480" w:firstLineChars="200"/>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本项目不接受联合体投标。</w:t>
      </w:r>
    </w:p>
    <w:p w14:paraId="58914C9B">
      <w:pPr>
        <w:pageBreakBefore w:val="0"/>
        <w:numPr>
          <w:ilvl w:val="0"/>
          <w:numId w:val="0"/>
        </w:numPr>
        <w:topLinePunct w:val="0"/>
        <w:bidi w:val="0"/>
        <w:spacing w:line="500" w:lineRule="exact"/>
        <w:ind w:leftChars="200" w:right="0" w:rightChars="0"/>
        <w:rPr>
          <w:rFonts w:hint="eastAsia"/>
          <w:b w:val="0"/>
          <w:bCs w:val="0"/>
          <w:color w:val="auto"/>
          <w:sz w:val="24"/>
          <w:szCs w:val="24"/>
          <w:lang w:val="en-US"/>
        </w:rPr>
      </w:pPr>
      <w:r>
        <w:rPr>
          <w:rFonts w:hint="eastAsia"/>
          <w:b/>
          <w:bCs/>
          <w:color w:val="auto"/>
          <w:sz w:val="24"/>
          <w:szCs w:val="24"/>
          <w:lang w:val="en-US" w:eastAsia="zh-CN"/>
        </w:rPr>
        <w:t>2.</w:t>
      </w:r>
      <w:r>
        <w:rPr>
          <w:rFonts w:hint="eastAsia"/>
          <w:b w:val="0"/>
          <w:bCs w:val="0"/>
          <w:color w:val="auto"/>
          <w:sz w:val="24"/>
          <w:szCs w:val="24"/>
          <w:lang w:val="en-US"/>
        </w:rPr>
        <w:t>参加政府采购活动的中小企业应当提供《中小企业声明函》（见第六章 投标文件格式），不提供的或提供有瑕疵的，在评审时不享受政府采购优惠政策。</w:t>
      </w:r>
    </w:p>
    <w:p w14:paraId="59FC9715">
      <w:pPr>
        <w:pageBreakBefore w:val="0"/>
        <w:numPr>
          <w:ilvl w:val="0"/>
          <w:numId w:val="0"/>
        </w:numPr>
        <w:topLinePunct w:val="0"/>
        <w:bidi w:val="0"/>
        <w:spacing w:line="500" w:lineRule="exact"/>
        <w:ind w:left="0" w:leftChars="0" w:right="0" w:rightChars="0" w:firstLine="482" w:firstLineChars="200"/>
        <w:rPr>
          <w:b w:val="0"/>
          <w:bCs w:val="0"/>
          <w:color w:val="auto"/>
          <w:sz w:val="24"/>
          <w:szCs w:val="24"/>
          <w:lang w:val="en-US"/>
        </w:rPr>
      </w:pPr>
      <w:r>
        <w:rPr>
          <w:rFonts w:hint="eastAsia"/>
          <w:b/>
          <w:bCs/>
          <w:color w:val="auto"/>
          <w:sz w:val="24"/>
          <w:szCs w:val="24"/>
          <w:lang w:val="en-US" w:eastAsia="zh-CN"/>
        </w:rPr>
        <w:t>3.</w:t>
      </w:r>
      <w:r>
        <w:rPr>
          <w:rFonts w:hint="eastAsia"/>
          <w:b w:val="0"/>
          <w:bCs w:val="0"/>
          <w:color w:val="auto"/>
          <w:sz w:val="24"/>
          <w:szCs w:val="24"/>
          <w:lang w:val="en-US"/>
        </w:rPr>
        <w:t>参加政府采购活动的监狱企业应当提供由省级以上监狱管理局、戒毒管理局出具的属于监狱企业的证明文件，不提供或提供有瑕疵的不视为中小企业，在评审时不享受政府采购优惠政策。</w:t>
      </w:r>
    </w:p>
    <w:p w14:paraId="39B6EE06">
      <w:pPr>
        <w:pStyle w:val="7"/>
        <w:pageBreakBefore w:val="0"/>
        <w:numPr>
          <w:ilvl w:val="0"/>
          <w:numId w:val="0"/>
        </w:numPr>
        <w:tabs>
          <w:tab w:val="left" w:pos="-220"/>
        </w:tabs>
        <w:topLinePunct w:val="0"/>
        <w:bidi w:val="0"/>
        <w:spacing w:line="500" w:lineRule="exact"/>
        <w:ind w:left="0" w:leftChars="0" w:right="0" w:rightChars="0" w:firstLine="482" w:firstLineChars="200"/>
        <w:rPr>
          <w:b w:val="0"/>
          <w:bCs w:val="0"/>
          <w:color w:val="auto"/>
          <w:lang w:val="en-US"/>
        </w:rPr>
      </w:pPr>
      <w:r>
        <w:rPr>
          <w:rFonts w:hint="eastAsia" w:ascii="宋体" w:hAnsi="宋体" w:eastAsia="宋体" w:cs="宋体"/>
          <w:b/>
          <w:bCs/>
          <w:color w:val="auto"/>
          <w:sz w:val="24"/>
          <w:szCs w:val="24"/>
          <w:lang w:val="en-US" w:eastAsia="zh-CN" w:bidi="zh-CN"/>
        </w:rPr>
        <w:t>4.</w:t>
      </w:r>
      <w:r>
        <w:rPr>
          <w:rFonts w:hint="eastAsia"/>
          <w:b w:val="0"/>
          <w:bCs w:val="0"/>
          <w:color w:val="auto"/>
          <w:sz w:val="24"/>
          <w:szCs w:val="24"/>
          <w:lang w:val="en-US"/>
        </w:rPr>
        <w:t>参加政府采购活动的残疾人福利性单位应当提供《残疾人福利性单位声明函》（</w:t>
      </w:r>
      <w:r>
        <w:rPr>
          <w:rFonts w:hint="eastAsia"/>
          <w:b w:val="0"/>
          <w:bCs w:val="0"/>
          <w:color w:val="auto"/>
          <w:lang w:val="en-US"/>
        </w:rPr>
        <w:t>见第六章投标文件格式），不提供或提供有瑕疵的，不视为小微企业，在评审时不享受政府采购优惠政策。</w:t>
      </w:r>
    </w:p>
    <w:p w14:paraId="11075DE5">
      <w:pPr>
        <w:pStyle w:val="7"/>
        <w:pageBreakBefore w:val="0"/>
        <w:numPr>
          <w:ilvl w:val="0"/>
          <w:numId w:val="0"/>
        </w:numPr>
        <w:tabs>
          <w:tab w:val="left" w:pos="-220"/>
        </w:tabs>
        <w:topLinePunct w:val="0"/>
        <w:bidi w:val="0"/>
        <w:spacing w:line="500" w:lineRule="exact"/>
        <w:ind w:left="0" w:leftChars="0" w:right="0" w:rightChars="0" w:firstLine="482" w:firstLineChars="200"/>
        <w:rPr>
          <w:rFonts w:hint="eastAsia"/>
          <w:b w:val="0"/>
          <w:bCs w:val="0"/>
          <w:color w:val="auto"/>
          <w:lang w:val="en-US"/>
        </w:rPr>
      </w:pPr>
      <w:r>
        <w:rPr>
          <w:rFonts w:hint="eastAsia" w:ascii="宋体" w:hAnsi="宋体" w:eastAsia="宋体" w:cs="宋体"/>
          <w:b/>
          <w:bCs/>
          <w:color w:val="auto"/>
          <w:sz w:val="24"/>
          <w:szCs w:val="24"/>
          <w:lang w:val="en-US" w:eastAsia="zh-CN" w:bidi="zh-CN"/>
        </w:rPr>
        <w:t>5.</w:t>
      </w:r>
      <w:r>
        <w:rPr>
          <w:rFonts w:hint="eastAsia"/>
          <w:b w:val="0"/>
          <w:bCs w:val="0"/>
          <w:color w:val="auto"/>
          <w:lang w:val="en-US"/>
        </w:rPr>
        <w:t>转包与分包</w:t>
      </w:r>
    </w:p>
    <w:p w14:paraId="5AC1B58F">
      <w:pPr>
        <w:pStyle w:val="7"/>
        <w:pageBreakBefore w:val="0"/>
        <w:numPr>
          <w:ilvl w:val="0"/>
          <w:numId w:val="0"/>
        </w:numPr>
        <w:tabs>
          <w:tab w:val="left" w:pos="-220"/>
        </w:tabs>
        <w:topLinePunct w:val="0"/>
        <w:bidi w:val="0"/>
        <w:spacing w:line="500" w:lineRule="exact"/>
        <w:ind w:left="0" w:leftChars="0" w:right="0" w:rightChars="0" w:firstLine="480" w:firstLineChars="200"/>
        <w:rPr>
          <w:rFonts w:hint="eastAsia"/>
          <w:b w:val="0"/>
          <w:bCs w:val="0"/>
          <w:color w:val="auto"/>
          <w:sz w:val="24"/>
          <w:szCs w:val="24"/>
          <w:lang w:val="en-US"/>
        </w:rPr>
      </w:pPr>
      <w:r>
        <w:rPr>
          <w:rFonts w:hint="eastAsia"/>
          <w:b w:val="0"/>
          <w:bCs w:val="0"/>
          <w:color w:val="auto"/>
          <w:sz w:val="24"/>
          <w:szCs w:val="24"/>
          <w:lang w:val="en-US"/>
        </w:rPr>
        <w:t>5.1本项目不允许采取转包方式履行合同。</w:t>
      </w:r>
    </w:p>
    <w:p w14:paraId="5ED9B89C">
      <w:pPr>
        <w:pStyle w:val="7"/>
        <w:pageBreakBefore w:val="0"/>
        <w:numPr>
          <w:ilvl w:val="0"/>
          <w:numId w:val="0"/>
        </w:numPr>
        <w:tabs>
          <w:tab w:val="left" w:pos="-220"/>
        </w:tabs>
        <w:topLinePunct w:val="0"/>
        <w:bidi w:val="0"/>
        <w:spacing w:line="500" w:lineRule="exact"/>
        <w:ind w:left="0" w:leftChars="0" w:right="0" w:rightChars="0" w:firstLine="480" w:firstLineChars="200"/>
        <w:rPr>
          <w:b w:val="0"/>
          <w:bCs w:val="0"/>
          <w:color w:val="auto"/>
          <w:sz w:val="24"/>
          <w:szCs w:val="24"/>
          <w:lang w:val="en-US"/>
        </w:rPr>
      </w:pPr>
      <w:r>
        <w:rPr>
          <w:rFonts w:hint="eastAsia"/>
          <w:b w:val="0"/>
          <w:bCs w:val="0"/>
          <w:color w:val="auto"/>
          <w:sz w:val="24"/>
          <w:szCs w:val="24"/>
          <w:lang w:val="en-US"/>
        </w:rPr>
        <w:t>5.2本项目不允许分包。</w:t>
      </w:r>
    </w:p>
    <w:p w14:paraId="5CC83620">
      <w:pPr>
        <w:pStyle w:val="7"/>
        <w:pageBreakBefore w:val="0"/>
        <w:numPr>
          <w:ilvl w:val="0"/>
          <w:numId w:val="0"/>
        </w:numPr>
        <w:tabs>
          <w:tab w:val="left" w:pos="-220"/>
        </w:tabs>
        <w:topLinePunct w:val="0"/>
        <w:bidi w:val="0"/>
        <w:spacing w:line="500" w:lineRule="exact"/>
        <w:ind w:left="0" w:leftChars="0" w:right="0" w:rightChars="0" w:firstLine="482" w:firstLineChars="200"/>
        <w:rPr>
          <w:b w:val="0"/>
          <w:bCs w:val="0"/>
          <w:color w:val="auto"/>
          <w:lang w:val="en-US"/>
        </w:rPr>
      </w:pPr>
      <w:r>
        <w:rPr>
          <w:rFonts w:hint="eastAsia" w:ascii="宋体" w:hAnsi="宋体" w:eastAsia="宋体" w:cs="宋体"/>
          <w:b/>
          <w:bCs/>
          <w:color w:val="auto"/>
          <w:sz w:val="24"/>
          <w:szCs w:val="24"/>
          <w:lang w:val="en-US" w:eastAsia="zh-CN" w:bidi="zh-CN"/>
        </w:rPr>
        <w:t>6.</w:t>
      </w:r>
      <w:r>
        <w:rPr>
          <w:rFonts w:hint="eastAsia"/>
          <w:b w:val="0"/>
          <w:bCs w:val="0"/>
          <w:color w:val="auto"/>
          <w:lang w:val="en-US" w:eastAsia="zh-CN"/>
        </w:rPr>
        <w:t>供应商</w:t>
      </w:r>
      <w:r>
        <w:rPr>
          <w:rFonts w:hint="eastAsia"/>
          <w:b w:val="0"/>
          <w:bCs w:val="0"/>
          <w:color w:val="auto"/>
          <w:lang w:val="en-US"/>
        </w:rPr>
        <w:t>的风险</w:t>
      </w:r>
    </w:p>
    <w:p w14:paraId="3CC30EB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供应商</w:t>
      </w:r>
      <w:r>
        <w:rPr>
          <w:rFonts w:hint="eastAsia"/>
          <w:color w:val="auto"/>
          <w:sz w:val="24"/>
          <w:szCs w:val="24"/>
          <w:lang w:val="en-US"/>
        </w:rPr>
        <w:t>应认真阅读和充分理解招标文件中所有的事项、格式条款和规范要求，任何对招标文件的忽略或误解不能作为投标文件存在缺陷或瑕疵的理由；</w:t>
      </w:r>
      <w:r>
        <w:rPr>
          <w:rFonts w:hint="eastAsia"/>
          <w:color w:val="auto"/>
          <w:sz w:val="24"/>
          <w:szCs w:val="24"/>
          <w:lang w:val="en-US" w:eastAsia="zh-CN"/>
        </w:rPr>
        <w:t>供应商</w:t>
      </w:r>
      <w:r>
        <w:rPr>
          <w:rFonts w:hint="eastAsia"/>
          <w:color w:val="auto"/>
          <w:sz w:val="24"/>
          <w:szCs w:val="24"/>
          <w:lang w:val="en-US"/>
        </w:rPr>
        <w:t>没有按照招标文件要求提供全部资料，或没有对招标文件全面做出实质性响应将导致其投标文件被拒绝。</w:t>
      </w:r>
    </w:p>
    <w:p w14:paraId="5E716258">
      <w:pPr>
        <w:pStyle w:val="12"/>
        <w:pageBreakBefore w:val="0"/>
        <w:topLinePunct w:val="0"/>
        <w:bidi w:val="0"/>
        <w:spacing w:line="500" w:lineRule="exact"/>
        <w:ind w:left="0" w:leftChars="0" w:right="0" w:rightChars="0" w:firstLine="400" w:firstLineChars="200"/>
        <w:rPr>
          <w:color w:val="auto"/>
          <w:sz w:val="20"/>
        </w:rPr>
      </w:pPr>
    </w:p>
    <w:p w14:paraId="168E96CB">
      <w:pPr>
        <w:pStyle w:val="5"/>
        <w:pageBreakBefore w:val="0"/>
        <w:topLinePunct w:val="0"/>
        <w:bidi w:val="0"/>
        <w:spacing w:line="500" w:lineRule="exact"/>
        <w:ind w:left="0" w:leftChars="0" w:right="0" w:rightChars="0" w:firstLine="562" w:firstLineChars="200"/>
        <w:rPr>
          <w:color w:val="auto"/>
        </w:rPr>
      </w:pPr>
      <w:bookmarkStart w:id="6" w:name="四、投标文件"/>
      <w:bookmarkEnd w:id="6"/>
      <w:r>
        <w:rPr>
          <w:color w:val="auto"/>
        </w:rPr>
        <w:t>四、投标文件</w:t>
      </w:r>
    </w:p>
    <w:p w14:paraId="55DFECCB">
      <w:pPr>
        <w:pStyle w:val="12"/>
        <w:pageBreakBefore w:val="0"/>
        <w:topLinePunct w:val="0"/>
        <w:bidi w:val="0"/>
        <w:spacing w:line="500" w:lineRule="exact"/>
        <w:ind w:left="0" w:leftChars="0" w:right="0" w:rightChars="0" w:firstLine="602" w:firstLineChars="200"/>
        <w:rPr>
          <w:b/>
          <w:color w:val="auto"/>
          <w:sz w:val="30"/>
        </w:rPr>
      </w:pPr>
    </w:p>
    <w:p w14:paraId="4795AA5F">
      <w:pPr>
        <w:pStyle w:val="7"/>
        <w:pageBreakBefore w:val="0"/>
        <w:tabs>
          <w:tab w:val="left" w:pos="0"/>
        </w:tabs>
        <w:topLinePunct w:val="0"/>
        <w:bidi w:val="0"/>
        <w:spacing w:line="500" w:lineRule="exact"/>
        <w:ind w:left="0" w:leftChars="0" w:right="0" w:rightChars="0" w:firstLine="482" w:firstLineChars="200"/>
        <w:rPr>
          <w:color w:val="auto"/>
        </w:rPr>
      </w:pPr>
      <w:r>
        <w:rPr>
          <w:rFonts w:hint="eastAsia"/>
          <w:color w:val="auto"/>
          <w:lang w:val="en-US"/>
        </w:rPr>
        <w:t>1.</w:t>
      </w:r>
      <w:r>
        <w:rPr>
          <w:color w:val="auto"/>
        </w:rPr>
        <w:t>投标文件的编写原则和要求</w:t>
      </w:r>
    </w:p>
    <w:p w14:paraId="785DE4B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1.1</w:t>
      </w:r>
      <w:r>
        <w:rPr>
          <w:rFonts w:hint="eastAsia"/>
          <w:color w:val="auto"/>
          <w:sz w:val="24"/>
          <w:szCs w:val="24"/>
          <w:lang w:val="en-US" w:eastAsia="zh-CN"/>
        </w:rPr>
        <w:t>供应商</w:t>
      </w:r>
      <w:r>
        <w:rPr>
          <w:rFonts w:hint="eastAsia"/>
          <w:color w:val="auto"/>
          <w:sz w:val="24"/>
          <w:szCs w:val="24"/>
          <w:lang w:val="en-US"/>
        </w:rPr>
        <w:t>应仔细阅读招标文件的所有内容，按招标文件规定及要求编写，应当对招标文件提出的实质性要求做出响应，并提交完整的投标文件。</w:t>
      </w:r>
      <w:r>
        <w:rPr>
          <w:rFonts w:hint="eastAsia"/>
          <w:color w:val="auto"/>
          <w:sz w:val="24"/>
          <w:szCs w:val="24"/>
          <w:lang w:val="en-US" w:eastAsia="zh-CN"/>
        </w:rPr>
        <w:t>供应商</w:t>
      </w:r>
      <w:r>
        <w:rPr>
          <w:rFonts w:hint="eastAsia"/>
          <w:color w:val="auto"/>
          <w:sz w:val="24"/>
          <w:szCs w:val="24"/>
          <w:lang w:val="en-US"/>
        </w:rPr>
        <w:t>应对投标货物和服务提供完整详细的技术说明，若</w:t>
      </w:r>
      <w:r>
        <w:rPr>
          <w:rFonts w:hint="eastAsia"/>
          <w:color w:val="auto"/>
          <w:sz w:val="24"/>
          <w:szCs w:val="24"/>
          <w:lang w:val="en-US" w:eastAsia="zh-CN"/>
        </w:rPr>
        <w:t>供应商</w:t>
      </w:r>
      <w:r>
        <w:rPr>
          <w:rFonts w:hint="eastAsia"/>
          <w:color w:val="auto"/>
          <w:sz w:val="24"/>
          <w:szCs w:val="24"/>
          <w:lang w:val="en-US"/>
        </w:rPr>
        <w:t>对指定的技术要求不能完全响应，应在投标文件中清楚地注明。</w:t>
      </w:r>
      <w:r>
        <w:rPr>
          <w:rFonts w:hint="eastAsia"/>
          <w:color w:val="auto"/>
          <w:sz w:val="24"/>
          <w:szCs w:val="24"/>
          <w:lang w:val="en-US" w:eastAsia="zh-CN"/>
        </w:rPr>
        <w:t>供应商</w:t>
      </w:r>
      <w:r>
        <w:rPr>
          <w:rFonts w:hint="eastAsia"/>
          <w:color w:val="auto"/>
          <w:sz w:val="24"/>
          <w:szCs w:val="24"/>
          <w:lang w:val="en-US"/>
        </w:rPr>
        <w:t>对本招标文件的每一项要求所给予的响应必须是唯一的，否则将视为无效投标文件。</w:t>
      </w:r>
    </w:p>
    <w:p w14:paraId="5FB6700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1.2真实性原则</w:t>
      </w:r>
    </w:p>
    <w:p w14:paraId="380E21A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1.2.1</w:t>
      </w:r>
      <w:r>
        <w:rPr>
          <w:rFonts w:hint="eastAsia"/>
          <w:color w:val="auto"/>
          <w:sz w:val="24"/>
          <w:szCs w:val="24"/>
          <w:lang w:val="en-US" w:eastAsia="zh-CN"/>
        </w:rPr>
        <w:t>供应商</w:t>
      </w:r>
      <w:r>
        <w:rPr>
          <w:rFonts w:hint="eastAsia"/>
          <w:color w:val="auto"/>
          <w:sz w:val="24"/>
          <w:szCs w:val="24"/>
          <w:lang w:val="en-US"/>
        </w:rPr>
        <w:t>应保证所提供的投标文件和所有资料的真实性、准确性和完整性。</w:t>
      </w:r>
    </w:p>
    <w:p w14:paraId="47A6C7E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1.2.2</w:t>
      </w:r>
      <w:r>
        <w:rPr>
          <w:rFonts w:hint="eastAsia"/>
          <w:color w:val="auto"/>
          <w:sz w:val="24"/>
          <w:szCs w:val="24"/>
          <w:lang w:val="en-US" w:eastAsia="zh-CN"/>
        </w:rPr>
        <w:t>供应商</w:t>
      </w:r>
      <w:r>
        <w:rPr>
          <w:rFonts w:hint="eastAsia"/>
          <w:color w:val="auto"/>
          <w:sz w:val="24"/>
          <w:szCs w:val="24"/>
          <w:lang w:val="en-US"/>
        </w:rPr>
        <w:t>在政府采购过程中提供不真实的材料，无论其材料是否重要，采购人均有权拒绝，并取消其投标资格，</w:t>
      </w:r>
      <w:r>
        <w:rPr>
          <w:rFonts w:hint="eastAsia"/>
          <w:color w:val="auto"/>
          <w:sz w:val="24"/>
          <w:szCs w:val="24"/>
          <w:lang w:val="en-US" w:eastAsia="zh-CN"/>
        </w:rPr>
        <w:t>供应商</w:t>
      </w:r>
      <w:r>
        <w:rPr>
          <w:rFonts w:hint="eastAsia"/>
          <w:color w:val="auto"/>
          <w:sz w:val="24"/>
          <w:szCs w:val="24"/>
          <w:lang w:val="en-US"/>
        </w:rPr>
        <w:t>需承担相应的后果及法律责任。</w:t>
      </w:r>
    </w:p>
    <w:p w14:paraId="00EF444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1.3投标语言</w:t>
      </w:r>
    </w:p>
    <w:p w14:paraId="5575974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1.3.1</w:t>
      </w:r>
      <w:r>
        <w:rPr>
          <w:rFonts w:hint="eastAsia"/>
          <w:color w:val="auto"/>
          <w:sz w:val="24"/>
          <w:szCs w:val="24"/>
          <w:lang w:val="en-US" w:eastAsia="zh-CN"/>
        </w:rPr>
        <w:t>供应商</w:t>
      </w:r>
      <w:r>
        <w:rPr>
          <w:rFonts w:hint="eastAsia"/>
          <w:color w:val="auto"/>
          <w:sz w:val="24"/>
          <w:szCs w:val="24"/>
          <w:lang w:val="en-US"/>
        </w:rPr>
        <w:t>提交的投标文件以及</w:t>
      </w:r>
      <w:r>
        <w:rPr>
          <w:rFonts w:hint="eastAsia"/>
          <w:color w:val="auto"/>
          <w:sz w:val="24"/>
          <w:szCs w:val="24"/>
          <w:lang w:val="en-US" w:eastAsia="zh-CN"/>
        </w:rPr>
        <w:t>供应商</w:t>
      </w:r>
      <w:r>
        <w:rPr>
          <w:rFonts w:hint="eastAsia"/>
          <w:color w:val="auto"/>
          <w:sz w:val="24"/>
          <w:szCs w:val="24"/>
          <w:lang w:val="en-US"/>
        </w:rPr>
        <w:t>与采购代理机构就有关投标的所有来往书面文件均须使用中文。投标文件中如附有外文资料，必须逐一对应翻译成中文并加盖</w:t>
      </w:r>
      <w:r>
        <w:rPr>
          <w:rFonts w:hint="eastAsia"/>
          <w:color w:val="auto"/>
          <w:sz w:val="24"/>
          <w:szCs w:val="24"/>
          <w:lang w:val="en-US" w:eastAsia="zh-CN"/>
        </w:rPr>
        <w:t>供应商</w:t>
      </w:r>
      <w:r>
        <w:rPr>
          <w:rFonts w:hint="eastAsia"/>
          <w:color w:val="auto"/>
          <w:sz w:val="24"/>
          <w:szCs w:val="24"/>
          <w:lang w:val="en-US"/>
        </w:rPr>
        <w:t>公章后附在相关外文资料后面，否则，</w:t>
      </w:r>
      <w:r>
        <w:rPr>
          <w:rFonts w:hint="eastAsia"/>
          <w:color w:val="auto"/>
          <w:sz w:val="24"/>
          <w:szCs w:val="24"/>
          <w:lang w:val="en-US" w:eastAsia="zh-CN"/>
        </w:rPr>
        <w:t>供应商</w:t>
      </w:r>
      <w:r>
        <w:rPr>
          <w:rFonts w:hint="eastAsia"/>
          <w:color w:val="auto"/>
          <w:sz w:val="24"/>
          <w:szCs w:val="24"/>
          <w:lang w:val="en-US"/>
        </w:rPr>
        <w:t>的投标文件将作为无效投标处理。</w:t>
      </w:r>
    </w:p>
    <w:p w14:paraId="6534C2D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1.3.2翻译的中文资料与外文资料如果出现差异和矛盾时，以中文为准。但不能故意错误翻译，否则，</w:t>
      </w:r>
      <w:r>
        <w:rPr>
          <w:rFonts w:hint="eastAsia"/>
          <w:color w:val="auto"/>
          <w:sz w:val="24"/>
          <w:szCs w:val="24"/>
          <w:lang w:val="en-US" w:eastAsia="zh-CN"/>
        </w:rPr>
        <w:t>供应商</w:t>
      </w:r>
      <w:r>
        <w:rPr>
          <w:rFonts w:hint="eastAsia"/>
          <w:color w:val="auto"/>
          <w:sz w:val="24"/>
          <w:szCs w:val="24"/>
          <w:lang w:val="en-US"/>
        </w:rPr>
        <w:t>的投标文件将作为无效投标处理。必要时采购人可以要求</w:t>
      </w:r>
      <w:r>
        <w:rPr>
          <w:rFonts w:hint="eastAsia"/>
          <w:color w:val="auto"/>
          <w:sz w:val="24"/>
          <w:szCs w:val="24"/>
          <w:lang w:val="en-US" w:eastAsia="zh-CN"/>
        </w:rPr>
        <w:t>供应商</w:t>
      </w:r>
      <w:r>
        <w:rPr>
          <w:rFonts w:hint="eastAsia"/>
          <w:color w:val="auto"/>
          <w:sz w:val="24"/>
          <w:szCs w:val="24"/>
          <w:lang w:val="en-US"/>
        </w:rPr>
        <w:t>提供附有公证书的中文翻译文件或者与原版文件签章相一致的中文翻译文件。</w:t>
      </w:r>
    </w:p>
    <w:p w14:paraId="0A22B57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1.4计量单位</w:t>
      </w:r>
    </w:p>
    <w:p w14:paraId="6886ABE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1.4.1招标文件已有明确规定的，使用招标文件规定的计量单位；招标文件没有规定的，应采用中华人民共和国法定计量单位</w:t>
      </w:r>
      <w:r>
        <w:rPr>
          <w:rFonts w:hint="eastAsia"/>
          <w:color w:val="auto"/>
          <w:sz w:val="24"/>
          <w:szCs w:val="24"/>
          <w:lang w:val="en-US" w:eastAsia="zh-CN"/>
        </w:rPr>
        <w:t>（</w:t>
      </w:r>
      <w:r>
        <w:rPr>
          <w:rFonts w:hint="eastAsia"/>
          <w:color w:val="auto"/>
          <w:sz w:val="24"/>
          <w:szCs w:val="24"/>
          <w:lang w:val="en-US"/>
        </w:rPr>
        <w:t>国际单位制和国家选定的其他计量单位</w:t>
      </w:r>
      <w:r>
        <w:rPr>
          <w:rFonts w:hint="eastAsia"/>
          <w:color w:val="auto"/>
          <w:sz w:val="24"/>
          <w:szCs w:val="24"/>
          <w:lang w:val="en-US" w:eastAsia="zh-CN"/>
        </w:rPr>
        <w:t>）</w:t>
      </w:r>
      <w:r>
        <w:rPr>
          <w:rFonts w:hint="eastAsia"/>
          <w:color w:val="auto"/>
          <w:sz w:val="24"/>
          <w:szCs w:val="24"/>
          <w:lang w:val="en-US"/>
        </w:rPr>
        <w:t>。否则，视为对招标文件未作出实质性响应。</w:t>
      </w:r>
    </w:p>
    <w:p w14:paraId="137AEA9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1.4.2投标货币</w:t>
      </w:r>
    </w:p>
    <w:p w14:paraId="721CA80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1.4.3本次招标项目的投标均以人民币报价。</w:t>
      </w:r>
    </w:p>
    <w:p w14:paraId="27C2F5D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1.4.4投标文件形式</w:t>
      </w:r>
    </w:p>
    <w:p w14:paraId="5978758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1.4.5本项目投标文件应采用</w:t>
      </w:r>
      <w:r>
        <w:rPr>
          <w:rFonts w:hint="eastAsia"/>
          <w:color w:val="auto"/>
          <w:sz w:val="24"/>
          <w:szCs w:val="24"/>
          <w:lang w:val="en-US" w:eastAsia="zh-CN"/>
        </w:rPr>
        <w:t>电子投标</w:t>
      </w:r>
      <w:r>
        <w:rPr>
          <w:rFonts w:hint="eastAsia"/>
          <w:color w:val="auto"/>
          <w:sz w:val="24"/>
          <w:szCs w:val="24"/>
          <w:lang w:val="en-US"/>
        </w:rPr>
        <w:t>文件形式，电报、传真、电子邮件形式的投标文件不予接受。</w:t>
      </w:r>
    </w:p>
    <w:p w14:paraId="5B66F6AF">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1.5备选方案</w:t>
      </w:r>
    </w:p>
    <w:p w14:paraId="5903DD80">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1.5.1本项目不接受备选投标方案，投标文件的报价只允许有一个报价，不接受有任何选择或具有附加条件的报价，否则，在评标时将其视为无效投标。</w:t>
      </w:r>
    </w:p>
    <w:p w14:paraId="6E82DBED">
      <w:pPr>
        <w:pStyle w:val="7"/>
        <w:pageBreakBefore w:val="0"/>
        <w:tabs>
          <w:tab w:val="left" w:pos="0"/>
        </w:tabs>
        <w:topLinePunct w:val="0"/>
        <w:bidi w:val="0"/>
        <w:spacing w:line="500" w:lineRule="exact"/>
        <w:ind w:left="0" w:leftChars="0" w:right="0" w:rightChars="0" w:firstLine="482" w:firstLineChars="200"/>
        <w:rPr>
          <w:color w:val="auto"/>
        </w:rPr>
      </w:pPr>
      <w:r>
        <w:rPr>
          <w:rFonts w:hint="eastAsia"/>
          <w:color w:val="auto"/>
          <w:lang w:val="en-US"/>
        </w:rPr>
        <w:t>2.</w:t>
      </w:r>
      <w:r>
        <w:rPr>
          <w:color w:val="auto"/>
        </w:rPr>
        <w:t>投标文件的组成</w:t>
      </w:r>
    </w:p>
    <w:p w14:paraId="4D5ABCAD">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第一部分</w:t>
      </w:r>
      <w:r>
        <w:rPr>
          <w:rFonts w:hint="eastAsia"/>
          <w:color w:val="auto"/>
          <w:sz w:val="24"/>
          <w:szCs w:val="24"/>
          <w:lang w:val="en-US"/>
        </w:rPr>
        <w:tab/>
      </w:r>
      <w:r>
        <w:rPr>
          <w:rFonts w:hint="eastAsia"/>
          <w:color w:val="auto"/>
          <w:sz w:val="24"/>
          <w:szCs w:val="24"/>
          <w:lang w:val="en-US"/>
        </w:rPr>
        <w:t>投标函</w:t>
      </w:r>
    </w:p>
    <w:p w14:paraId="3A32C5FB">
      <w:pPr>
        <w:pageBreakBefore w:val="0"/>
        <w:topLinePunct w:val="0"/>
        <w:bidi w:val="0"/>
        <w:spacing w:line="500" w:lineRule="exact"/>
        <w:ind w:left="0" w:leftChars="0" w:right="0" w:rightChars="0" w:firstLine="480" w:firstLineChars="200"/>
        <w:rPr>
          <w:rFonts w:hint="eastAsia"/>
          <w:color w:val="auto"/>
          <w:sz w:val="24"/>
          <w:szCs w:val="24"/>
          <w:lang w:val="en-US" w:eastAsia="zh-CN"/>
        </w:rPr>
      </w:pPr>
      <w:r>
        <w:rPr>
          <w:rFonts w:hint="eastAsia"/>
          <w:color w:val="auto"/>
          <w:sz w:val="24"/>
          <w:szCs w:val="24"/>
          <w:lang w:val="en-US"/>
        </w:rPr>
        <w:t>第二部分</w:t>
      </w:r>
      <w:r>
        <w:rPr>
          <w:rFonts w:hint="eastAsia"/>
          <w:color w:val="auto"/>
          <w:sz w:val="24"/>
          <w:szCs w:val="24"/>
          <w:lang w:val="en-US"/>
        </w:rPr>
        <w:tab/>
      </w:r>
      <w:r>
        <w:rPr>
          <w:rFonts w:hint="eastAsia"/>
          <w:color w:val="auto"/>
          <w:sz w:val="24"/>
          <w:szCs w:val="24"/>
          <w:lang w:val="en-US"/>
        </w:rPr>
        <w:t>开标一览表（报价表</w:t>
      </w:r>
      <w:r>
        <w:rPr>
          <w:rFonts w:hint="eastAsia"/>
          <w:color w:val="auto"/>
          <w:sz w:val="24"/>
          <w:szCs w:val="24"/>
          <w:lang w:val="en-US" w:eastAsia="zh-CN"/>
        </w:rPr>
        <w:t>）</w:t>
      </w:r>
    </w:p>
    <w:p w14:paraId="41805827">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第三部分</w:t>
      </w:r>
      <w:r>
        <w:rPr>
          <w:rFonts w:hint="eastAsia"/>
          <w:color w:val="auto"/>
          <w:sz w:val="24"/>
          <w:szCs w:val="24"/>
          <w:lang w:val="en-US"/>
        </w:rPr>
        <w:tab/>
      </w:r>
      <w:r>
        <w:rPr>
          <w:rFonts w:hint="eastAsia"/>
          <w:color w:val="auto"/>
          <w:sz w:val="24"/>
          <w:szCs w:val="24"/>
          <w:lang w:val="en-US"/>
        </w:rPr>
        <w:t>投标方案</w:t>
      </w:r>
    </w:p>
    <w:p w14:paraId="12B5E5FE">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第四部分</w:t>
      </w:r>
      <w:r>
        <w:rPr>
          <w:rFonts w:hint="eastAsia"/>
          <w:color w:val="auto"/>
          <w:sz w:val="24"/>
          <w:szCs w:val="24"/>
          <w:lang w:val="en-US"/>
        </w:rPr>
        <w:tab/>
      </w:r>
      <w:r>
        <w:rPr>
          <w:rFonts w:hint="eastAsia"/>
          <w:color w:val="auto"/>
          <w:sz w:val="24"/>
          <w:szCs w:val="24"/>
          <w:lang w:val="en-US"/>
        </w:rPr>
        <w:t>投标</w:t>
      </w:r>
      <w:r>
        <w:rPr>
          <w:rFonts w:hint="eastAsia"/>
          <w:color w:val="auto"/>
          <w:sz w:val="24"/>
          <w:szCs w:val="24"/>
          <w:lang w:val="en-US" w:eastAsia="zh-CN"/>
        </w:rPr>
        <w:t>人</w:t>
      </w:r>
      <w:r>
        <w:rPr>
          <w:rFonts w:hint="eastAsia"/>
          <w:color w:val="auto"/>
          <w:sz w:val="24"/>
          <w:szCs w:val="24"/>
          <w:lang w:val="en-US"/>
        </w:rPr>
        <w:t>资质证明文件</w:t>
      </w:r>
    </w:p>
    <w:p w14:paraId="306B80C2">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第五部分</w:t>
      </w:r>
      <w:r>
        <w:rPr>
          <w:rFonts w:hint="eastAsia"/>
          <w:color w:val="auto"/>
          <w:sz w:val="24"/>
          <w:szCs w:val="24"/>
          <w:lang w:val="en-US"/>
        </w:rPr>
        <w:tab/>
      </w:r>
      <w:r>
        <w:rPr>
          <w:rFonts w:hint="eastAsia"/>
          <w:color w:val="auto"/>
          <w:sz w:val="24"/>
          <w:szCs w:val="24"/>
          <w:lang w:val="en-US" w:eastAsia="zh-CN"/>
        </w:rPr>
        <w:t>供应商</w:t>
      </w:r>
      <w:r>
        <w:rPr>
          <w:rFonts w:hint="eastAsia"/>
          <w:color w:val="auto"/>
          <w:sz w:val="24"/>
          <w:szCs w:val="24"/>
          <w:lang w:val="en-US"/>
        </w:rPr>
        <w:t>承诺书</w:t>
      </w:r>
    </w:p>
    <w:p w14:paraId="282EF1E0">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第六部分</w:t>
      </w:r>
      <w:r>
        <w:rPr>
          <w:rFonts w:hint="eastAsia"/>
          <w:color w:val="auto"/>
          <w:sz w:val="24"/>
          <w:szCs w:val="24"/>
          <w:lang w:val="en-US"/>
        </w:rPr>
        <w:tab/>
      </w:r>
      <w:r>
        <w:rPr>
          <w:rFonts w:hint="eastAsia"/>
          <w:color w:val="auto"/>
          <w:sz w:val="24"/>
          <w:szCs w:val="24"/>
          <w:lang w:val="en-US"/>
        </w:rPr>
        <w:t>其他</w:t>
      </w:r>
    </w:p>
    <w:p w14:paraId="1C1E14B3">
      <w:pPr>
        <w:pStyle w:val="7"/>
        <w:pageBreakBefore w:val="0"/>
        <w:tabs>
          <w:tab w:val="left" w:pos="0"/>
        </w:tabs>
        <w:topLinePunct w:val="0"/>
        <w:bidi w:val="0"/>
        <w:spacing w:line="500" w:lineRule="exact"/>
        <w:ind w:left="0" w:leftChars="0" w:right="0" w:rightChars="0" w:firstLine="482" w:firstLineChars="200"/>
        <w:rPr>
          <w:color w:val="auto"/>
        </w:rPr>
      </w:pPr>
      <w:r>
        <w:rPr>
          <w:rFonts w:hint="eastAsia"/>
          <w:color w:val="auto"/>
          <w:lang w:val="en-US"/>
        </w:rPr>
        <w:t>3.</w:t>
      </w:r>
      <w:r>
        <w:rPr>
          <w:color w:val="auto"/>
        </w:rPr>
        <w:t>投标文件的制作和签署</w:t>
      </w:r>
    </w:p>
    <w:p w14:paraId="56E6F0C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供应商</w:t>
      </w:r>
      <w:r>
        <w:rPr>
          <w:rFonts w:hint="eastAsia"/>
          <w:color w:val="auto"/>
          <w:sz w:val="24"/>
          <w:szCs w:val="24"/>
          <w:lang w:val="en-US"/>
        </w:rPr>
        <w:t>应认真阅读招标文件的所有内容</w:t>
      </w:r>
      <w:r>
        <w:rPr>
          <w:rFonts w:hint="eastAsia"/>
          <w:color w:val="auto"/>
          <w:sz w:val="24"/>
          <w:szCs w:val="24"/>
          <w:lang w:val="en-US" w:eastAsia="zh-CN"/>
        </w:rPr>
        <w:t>，</w:t>
      </w:r>
      <w:r>
        <w:rPr>
          <w:rFonts w:hint="eastAsia"/>
          <w:color w:val="auto"/>
          <w:sz w:val="24"/>
          <w:szCs w:val="24"/>
          <w:lang w:val="en-US"/>
        </w:rPr>
        <w:t>严格按照招标文件的要求编制投标文件</w:t>
      </w:r>
      <w:r>
        <w:rPr>
          <w:rFonts w:hint="eastAsia"/>
          <w:color w:val="auto"/>
          <w:sz w:val="24"/>
          <w:szCs w:val="24"/>
          <w:lang w:val="en-US" w:eastAsia="zh-CN"/>
        </w:rPr>
        <w:t>，</w:t>
      </w:r>
      <w:r>
        <w:rPr>
          <w:rFonts w:hint="eastAsia"/>
          <w:color w:val="auto"/>
          <w:sz w:val="24"/>
          <w:szCs w:val="24"/>
          <w:lang w:val="en-US"/>
        </w:rPr>
        <w:t>并保证所提供的全部资料的真实性</w:t>
      </w:r>
      <w:r>
        <w:rPr>
          <w:rFonts w:hint="eastAsia"/>
          <w:color w:val="auto"/>
          <w:sz w:val="24"/>
          <w:szCs w:val="24"/>
          <w:lang w:val="en-US" w:eastAsia="zh-CN"/>
        </w:rPr>
        <w:t>，</w:t>
      </w:r>
      <w:r>
        <w:rPr>
          <w:rFonts w:hint="eastAsia"/>
          <w:color w:val="auto"/>
          <w:sz w:val="24"/>
          <w:szCs w:val="24"/>
          <w:lang w:val="en-US"/>
        </w:rPr>
        <w:t>使投标文件做出实质性响应</w:t>
      </w:r>
      <w:r>
        <w:rPr>
          <w:rFonts w:hint="eastAsia"/>
          <w:color w:val="auto"/>
          <w:sz w:val="24"/>
          <w:szCs w:val="24"/>
          <w:lang w:val="en-US" w:eastAsia="zh-CN"/>
        </w:rPr>
        <w:t>，</w:t>
      </w:r>
      <w:r>
        <w:rPr>
          <w:rFonts w:hint="eastAsia"/>
          <w:color w:val="auto"/>
          <w:sz w:val="24"/>
          <w:szCs w:val="24"/>
          <w:lang w:val="en-US"/>
        </w:rPr>
        <w:t>如未能做出实质性响应</w:t>
      </w:r>
      <w:r>
        <w:rPr>
          <w:rFonts w:hint="eastAsia"/>
          <w:color w:val="auto"/>
          <w:sz w:val="24"/>
          <w:szCs w:val="24"/>
          <w:lang w:val="en-US" w:eastAsia="zh-CN"/>
        </w:rPr>
        <w:t>，</w:t>
      </w:r>
      <w:r>
        <w:rPr>
          <w:rFonts w:hint="eastAsia"/>
          <w:color w:val="auto"/>
          <w:sz w:val="24"/>
          <w:szCs w:val="24"/>
          <w:lang w:val="en-US"/>
        </w:rPr>
        <w:t>其投标将被拒绝；</w:t>
      </w:r>
    </w:p>
    <w:p w14:paraId="3FB96AE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3.1编制电子投标文件时，应使用最新发布的电子招标文件及专用制作工具进行编制。并使用数字认证证书（CA）对电子投标文件进行签署、加密、递交及开标时解密等相关操作。投标文件中需要加盖法定代表人私章的地方，请使用“法人CA”进行签章；需要加盖</w:t>
      </w:r>
      <w:r>
        <w:rPr>
          <w:rFonts w:hint="eastAsia"/>
          <w:color w:val="auto"/>
          <w:sz w:val="24"/>
          <w:szCs w:val="24"/>
          <w:lang w:val="en-US" w:eastAsia="zh-CN"/>
        </w:rPr>
        <w:t>供应商</w:t>
      </w:r>
      <w:r>
        <w:rPr>
          <w:rFonts w:hint="eastAsia"/>
          <w:color w:val="auto"/>
          <w:sz w:val="24"/>
          <w:szCs w:val="24"/>
          <w:lang w:val="en-US"/>
        </w:rPr>
        <w:t>公章的地方，请使用“企业 CA”进行盖章。加密和解密应当使用同一 CA，否则将会导致解密失败。</w:t>
      </w:r>
    </w:p>
    <w:p w14:paraId="470B205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（1）电子招标文件下载</w:t>
      </w:r>
    </w:p>
    <w:p w14:paraId="2238D4F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供应商</w:t>
      </w:r>
      <w:r>
        <w:rPr>
          <w:rFonts w:hint="eastAsia"/>
          <w:color w:val="auto"/>
          <w:sz w:val="24"/>
          <w:szCs w:val="24"/>
          <w:lang w:val="en-US"/>
        </w:rPr>
        <w:t>登录全国公共资源交易平台（陕西省）网站[电子交易平台</w:t>
      </w:r>
      <w:r>
        <w:rPr>
          <w:rFonts w:hint="eastAsia"/>
          <w:color w:val="auto"/>
          <w:sz w:val="24"/>
          <w:szCs w:val="24"/>
          <w:lang w:val="en-US" w:eastAsia="zh-CN"/>
        </w:rPr>
        <w:t>－</w:t>
      </w:r>
      <w:r>
        <w:rPr>
          <w:rFonts w:hint="eastAsia"/>
          <w:color w:val="auto"/>
          <w:sz w:val="24"/>
          <w:szCs w:val="24"/>
          <w:lang w:val="en-US"/>
        </w:rPr>
        <w:t>企业端]后，在[我的项目]中点击“项目流程</w:t>
      </w:r>
      <w:r>
        <w:rPr>
          <w:rFonts w:hint="eastAsia"/>
          <w:color w:val="auto"/>
          <w:sz w:val="24"/>
          <w:szCs w:val="24"/>
          <w:lang w:val="en-US" w:eastAsia="zh-CN"/>
        </w:rPr>
        <w:t>－</w:t>
      </w:r>
      <w:r>
        <w:rPr>
          <w:rFonts w:hint="eastAsia"/>
          <w:color w:val="auto"/>
          <w:sz w:val="24"/>
          <w:szCs w:val="24"/>
          <w:lang w:val="en-US"/>
        </w:rPr>
        <w:t>交易文件下载”下载电子招标文件（*.SXSZF）；</w:t>
      </w:r>
    </w:p>
    <w:p w14:paraId="5D16EB8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注意：该项目如有变更文件，则应点击“项目流程答疑文件下载”下载更新后的电子招标文件（*.SXSCF），使用旧版电子招标文件制作的电子投标文件，系统将拒绝接收。</w:t>
      </w:r>
    </w:p>
    <w:p w14:paraId="7501689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（2）电子招标文件需要使用专用软件打开、浏览</w:t>
      </w:r>
    </w:p>
    <w:p w14:paraId="1C6BC1F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供应商</w:t>
      </w:r>
      <w:r>
        <w:rPr>
          <w:rFonts w:hint="eastAsia"/>
          <w:color w:val="auto"/>
          <w:sz w:val="24"/>
          <w:szCs w:val="24"/>
          <w:lang w:val="en-US"/>
        </w:rPr>
        <w:t>登录全国公共资源交易平台（陕西省）网站[服务指南</w:t>
      </w:r>
      <w:r>
        <w:rPr>
          <w:rFonts w:hint="eastAsia"/>
          <w:color w:val="auto"/>
          <w:sz w:val="24"/>
          <w:szCs w:val="24"/>
          <w:lang w:val="en-US" w:eastAsia="zh-CN"/>
        </w:rPr>
        <w:t>－</w:t>
      </w:r>
      <w:r>
        <w:rPr>
          <w:rFonts w:hint="eastAsia"/>
          <w:color w:val="auto"/>
          <w:sz w:val="24"/>
          <w:szCs w:val="24"/>
          <w:lang w:val="en-US"/>
        </w:rPr>
        <w:t>下载专区]免费下载《陕西省公共资源交易平台政府采购电子标书制作工具</w:t>
      </w:r>
      <w:r>
        <w:rPr>
          <w:rFonts w:hint="eastAsia"/>
          <w:color w:val="auto"/>
          <w:sz w:val="24"/>
          <w:szCs w:val="24"/>
          <w:lang w:val="en-US" w:eastAsia="zh-CN"/>
        </w:rPr>
        <w:t>（</w:t>
      </w:r>
      <w:r>
        <w:rPr>
          <w:rFonts w:hint="eastAsia"/>
          <w:color w:val="auto"/>
          <w:sz w:val="24"/>
          <w:szCs w:val="24"/>
          <w:lang w:val="en-US"/>
        </w:rPr>
        <w:t>V8.0.0.2</w:t>
      </w:r>
      <w:r>
        <w:rPr>
          <w:rFonts w:hint="eastAsia"/>
          <w:color w:val="auto"/>
          <w:sz w:val="24"/>
          <w:szCs w:val="24"/>
          <w:lang w:val="en-US" w:eastAsia="zh-CN"/>
        </w:rPr>
        <w:t>）</w:t>
      </w:r>
      <w:r>
        <w:rPr>
          <w:rFonts w:hint="eastAsia"/>
          <w:color w:val="auto"/>
          <w:sz w:val="24"/>
          <w:szCs w:val="24"/>
          <w:lang w:val="en-US"/>
        </w:rPr>
        <w:t>》，下载网址：</w:t>
      </w:r>
      <w:r>
        <w:rPr>
          <w:rFonts w:hint="eastAsia"/>
          <w:color w:val="auto"/>
          <w:sz w:val="24"/>
          <w:szCs w:val="24"/>
          <w:lang w:val="en-US"/>
        </w:rPr>
        <w:fldChar w:fldCharType="begin"/>
      </w:r>
      <w:r>
        <w:rPr>
          <w:rFonts w:hint="eastAsia"/>
          <w:color w:val="auto"/>
          <w:sz w:val="24"/>
          <w:szCs w:val="24"/>
          <w:lang w:val="en-US"/>
        </w:rPr>
        <w:instrText xml:space="preserve"> HYPERLINK "https://download.bqpoint.com/download/downloaddetail.html?SourceFrom=Ztb&amp;ZtbSoftXiaQuCode=1805&amp;ZtbSoftType=tballinclusive" </w:instrText>
      </w:r>
      <w:r>
        <w:rPr>
          <w:rFonts w:hint="eastAsia"/>
          <w:color w:val="auto"/>
          <w:sz w:val="24"/>
          <w:szCs w:val="24"/>
          <w:lang w:val="en-US"/>
        </w:rPr>
        <w:fldChar w:fldCharType="separate"/>
      </w:r>
      <w:r>
        <w:rPr>
          <w:rFonts w:hint="eastAsia"/>
          <w:color w:val="auto"/>
          <w:sz w:val="24"/>
          <w:szCs w:val="24"/>
          <w:lang w:val="en-US"/>
        </w:rPr>
        <w:t>https://download.bqpoint.com/download/downloaddetail.html?SourceFrom=Ztb&amp;ZtbSoftXiaQuCode=1805&amp;ZtbSoftType=tballinclusive</w:t>
      </w:r>
      <w:r>
        <w:rPr>
          <w:rFonts w:hint="eastAsia"/>
          <w:color w:val="auto"/>
          <w:sz w:val="24"/>
          <w:szCs w:val="24"/>
          <w:lang w:val="en-US"/>
        </w:rPr>
        <w:fldChar w:fldCharType="end"/>
      </w:r>
      <w:r>
        <w:rPr>
          <w:rFonts w:hint="eastAsia"/>
          <w:color w:val="auto"/>
          <w:sz w:val="24"/>
          <w:szCs w:val="24"/>
          <w:lang w:val="en-US"/>
        </w:rPr>
        <w:t>，并升级至最新版本，使用该客户端可以打开电子招标文件。软件操作手册详见全国公共资源交易平台（陕西省）网站[服务指南</w:t>
      </w:r>
      <w:r>
        <w:rPr>
          <w:rFonts w:hint="eastAsia"/>
          <w:color w:val="auto"/>
          <w:sz w:val="24"/>
          <w:szCs w:val="24"/>
          <w:lang w:val="en-US" w:eastAsia="zh-CN"/>
        </w:rPr>
        <w:t>－</w:t>
      </w:r>
      <w:r>
        <w:rPr>
          <w:rFonts w:hint="eastAsia"/>
          <w:color w:val="auto"/>
          <w:sz w:val="24"/>
          <w:szCs w:val="24"/>
          <w:lang w:val="en-US"/>
        </w:rPr>
        <w:t>下载专区]中的《陕西省公共资源交易（政府采购类）投标文件制作软件操作手册》</w:t>
      </w:r>
      <w:r>
        <w:rPr>
          <w:rFonts w:hint="eastAsia"/>
          <w:color w:val="auto"/>
          <w:sz w:val="24"/>
          <w:szCs w:val="24"/>
          <w:lang w:val="en-US" w:eastAsia="zh-CN"/>
        </w:rPr>
        <w:t>，</w:t>
      </w:r>
      <w:r>
        <w:rPr>
          <w:rFonts w:hint="eastAsia"/>
          <w:color w:val="auto"/>
          <w:sz w:val="24"/>
          <w:szCs w:val="24"/>
          <w:lang w:val="en-US"/>
        </w:rPr>
        <w:t>下载网址：</w:t>
      </w:r>
    </w:p>
    <w:p w14:paraId="5F75191C">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https://www.sxggzyjy.cn/fwzn/004003/20170821/c3afa05b-f5e6-4e64-9fb0-e397ef73413d.html</w:t>
      </w:r>
    </w:p>
    <w:p w14:paraId="596460D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（3）制作电子投标文件</w:t>
      </w:r>
    </w:p>
    <w:p w14:paraId="4E662483">
      <w:pPr>
        <w:pageBreakBefore w:val="0"/>
        <w:topLinePunct w:val="0"/>
        <w:bidi w:val="0"/>
        <w:spacing w:line="500" w:lineRule="exact"/>
        <w:ind w:left="0" w:leftChars="0" w:right="0" w:rightChars="0" w:firstLine="720" w:firstLineChars="300"/>
        <w:rPr>
          <w:color w:val="auto"/>
          <w:sz w:val="24"/>
          <w:szCs w:val="24"/>
          <w:lang w:val="en-US"/>
        </w:rPr>
      </w:pPr>
      <w:r>
        <w:rPr>
          <w:rFonts w:hint="eastAsia"/>
          <w:color w:val="auto"/>
          <w:sz w:val="24"/>
          <w:szCs w:val="24"/>
          <w:lang w:val="en-US"/>
        </w:rPr>
        <w:t>电子投标文件同样需要使用上述专用软件进行编制。若投标文件签章后，导出的 PDF 文件里看不到签章，请尝试使用查看投标文件工具打开未加密的投标文件重新导出。在编制过程中，如有技术性问题，请先翻阅操作手册或致电软件开发商，技术支持热线：4009280095、4009980000。</w:t>
      </w:r>
    </w:p>
    <w:p w14:paraId="3ECB9F2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3.2</w:t>
      </w:r>
      <w:r>
        <w:rPr>
          <w:rFonts w:hint="eastAsia"/>
          <w:color w:val="auto"/>
          <w:sz w:val="24"/>
          <w:szCs w:val="24"/>
          <w:lang w:val="en-US" w:eastAsia="zh-CN"/>
        </w:rPr>
        <w:t>供应商</w:t>
      </w:r>
      <w:r>
        <w:rPr>
          <w:rFonts w:hint="eastAsia"/>
          <w:color w:val="auto"/>
          <w:sz w:val="24"/>
          <w:szCs w:val="24"/>
          <w:lang w:val="en-US"/>
        </w:rPr>
        <w:t>应按照本须知第4项第三条投标文件的制作和签署的内容及第六部分提供的格式编写投标文件，不得缺少招标文件要求填写的表格或提交的资料。</w:t>
      </w:r>
    </w:p>
    <w:p w14:paraId="03C5932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w:t>
      </w:r>
      <w:r>
        <w:rPr>
          <w:rFonts w:hint="eastAsia"/>
          <w:color w:val="auto"/>
          <w:sz w:val="24"/>
          <w:szCs w:val="24"/>
          <w:lang w:val="en-US" w:eastAsia="zh-CN"/>
        </w:rPr>
        <w:t>3</w:t>
      </w:r>
      <w:r>
        <w:rPr>
          <w:rFonts w:hint="eastAsia"/>
          <w:color w:val="auto"/>
          <w:sz w:val="24"/>
          <w:szCs w:val="24"/>
          <w:lang w:val="en-US"/>
        </w:rPr>
        <w:t>投标文件应当使用招标文件规定的全部格式（表格可以按同样格式扩展）编写，除明确允许</w:t>
      </w:r>
      <w:r>
        <w:rPr>
          <w:rFonts w:hint="eastAsia"/>
          <w:color w:val="auto"/>
          <w:sz w:val="24"/>
          <w:szCs w:val="24"/>
          <w:lang w:val="en-US" w:eastAsia="zh-CN"/>
        </w:rPr>
        <w:t>供应商</w:t>
      </w:r>
      <w:r>
        <w:rPr>
          <w:rFonts w:hint="eastAsia"/>
          <w:color w:val="auto"/>
          <w:sz w:val="24"/>
          <w:szCs w:val="24"/>
          <w:lang w:val="en-US"/>
        </w:rPr>
        <w:t>可以自行编写的外，</w:t>
      </w:r>
      <w:r>
        <w:rPr>
          <w:rFonts w:hint="eastAsia"/>
          <w:color w:val="auto"/>
          <w:sz w:val="24"/>
          <w:szCs w:val="24"/>
          <w:lang w:val="en-US" w:eastAsia="zh-CN"/>
        </w:rPr>
        <w:t>供应商</w:t>
      </w:r>
      <w:r>
        <w:rPr>
          <w:rFonts w:hint="eastAsia"/>
          <w:color w:val="auto"/>
          <w:sz w:val="24"/>
          <w:szCs w:val="24"/>
          <w:lang w:val="en-US"/>
        </w:rPr>
        <w:t>不得以“投标文件格式”规定之外的方式填写相关内容。否则，将作为无效投标处理。</w:t>
      </w:r>
    </w:p>
    <w:p w14:paraId="3952F19E">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w:t>
      </w:r>
      <w:r>
        <w:rPr>
          <w:rFonts w:hint="eastAsia"/>
          <w:color w:val="auto"/>
          <w:sz w:val="24"/>
          <w:szCs w:val="24"/>
          <w:lang w:val="en-US" w:eastAsia="zh-CN"/>
        </w:rPr>
        <w:t>4供应商</w:t>
      </w:r>
      <w:r>
        <w:rPr>
          <w:rFonts w:hint="eastAsia"/>
          <w:color w:val="auto"/>
          <w:sz w:val="24"/>
          <w:szCs w:val="24"/>
          <w:lang w:val="en-US"/>
        </w:rPr>
        <w:t>必须按照招标文件的规定和要求由法定代表人或被授权人签字、盖章，并对投标文件逐页加盖</w:t>
      </w:r>
      <w:r>
        <w:rPr>
          <w:rFonts w:hint="eastAsia"/>
          <w:color w:val="auto"/>
          <w:sz w:val="24"/>
          <w:szCs w:val="24"/>
          <w:lang w:val="en-US" w:eastAsia="zh-CN"/>
        </w:rPr>
        <w:t>供应商</w:t>
      </w:r>
      <w:r>
        <w:rPr>
          <w:rFonts w:hint="eastAsia"/>
          <w:color w:val="auto"/>
          <w:sz w:val="24"/>
          <w:szCs w:val="24"/>
          <w:lang w:val="en-US"/>
        </w:rPr>
        <w:t>合法有效的电子签章（公章及法人章），如有遗漏，将作为无效投标处理。</w:t>
      </w:r>
    </w:p>
    <w:p w14:paraId="6A5A4A4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w:t>
      </w:r>
      <w:r>
        <w:rPr>
          <w:rFonts w:hint="eastAsia"/>
          <w:color w:val="auto"/>
          <w:sz w:val="24"/>
          <w:szCs w:val="24"/>
          <w:lang w:val="en-US" w:eastAsia="zh-CN"/>
        </w:rPr>
        <w:t>5</w:t>
      </w:r>
      <w:r>
        <w:rPr>
          <w:rFonts w:hint="eastAsia"/>
          <w:color w:val="auto"/>
          <w:sz w:val="24"/>
          <w:szCs w:val="24"/>
          <w:lang w:val="en-US"/>
        </w:rPr>
        <w:t>除</w:t>
      </w:r>
      <w:r>
        <w:rPr>
          <w:rFonts w:hint="eastAsia"/>
          <w:color w:val="auto"/>
          <w:sz w:val="24"/>
          <w:szCs w:val="24"/>
          <w:lang w:val="en-US" w:eastAsia="zh-CN"/>
        </w:rPr>
        <w:t>供应商</w:t>
      </w:r>
      <w:r>
        <w:rPr>
          <w:rFonts w:hint="eastAsia"/>
          <w:color w:val="auto"/>
          <w:sz w:val="24"/>
          <w:szCs w:val="24"/>
          <w:lang w:val="en-US"/>
        </w:rPr>
        <w:t>对错误处需修改外，全套投标文件应无涂改或行间插字或增删。如有修改，修改处应加盖</w:t>
      </w:r>
      <w:r>
        <w:rPr>
          <w:rFonts w:hint="eastAsia"/>
          <w:color w:val="auto"/>
          <w:sz w:val="24"/>
          <w:szCs w:val="24"/>
          <w:lang w:val="en-US" w:eastAsia="zh-CN"/>
        </w:rPr>
        <w:t>供应商</w:t>
      </w:r>
      <w:r>
        <w:rPr>
          <w:rFonts w:hint="eastAsia"/>
          <w:color w:val="auto"/>
          <w:sz w:val="24"/>
          <w:szCs w:val="24"/>
          <w:lang w:val="en-US"/>
        </w:rPr>
        <w:t>公章及法定代表人或被授权人签字（或盖章）确认。</w:t>
      </w:r>
    </w:p>
    <w:p w14:paraId="61E2E42E">
      <w:pPr>
        <w:pStyle w:val="7"/>
        <w:pageBreakBefore w:val="0"/>
        <w:tabs>
          <w:tab w:val="left" w:pos="0"/>
        </w:tabs>
        <w:topLinePunct w:val="0"/>
        <w:bidi w:val="0"/>
        <w:spacing w:line="500" w:lineRule="exact"/>
        <w:ind w:left="0" w:leftChars="0" w:right="0" w:rightChars="0" w:firstLine="482" w:firstLineChars="200"/>
        <w:rPr>
          <w:color w:val="auto"/>
          <w:lang w:val="en-US"/>
        </w:rPr>
      </w:pPr>
      <w:r>
        <w:rPr>
          <w:color w:val="auto"/>
          <w:lang w:val="en-US"/>
        </w:rPr>
        <w:t>4.投标报价</w:t>
      </w:r>
    </w:p>
    <w:p w14:paraId="43D2487E">
      <w:pPr>
        <w:pageBreakBefore w:val="0"/>
        <w:topLinePunct w:val="0"/>
        <w:bidi w:val="0"/>
        <w:spacing w:line="500" w:lineRule="exact"/>
        <w:ind w:left="0" w:leftChars="0" w:right="0" w:rightChars="0" w:firstLine="484" w:firstLineChars="200"/>
        <w:rPr>
          <w:color w:val="auto"/>
          <w:spacing w:val="-2"/>
          <w:sz w:val="24"/>
          <w:szCs w:val="24"/>
        </w:rPr>
      </w:pPr>
      <w:r>
        <w:rPr>
          <w:rFonts w:hint="eastAsia"/>
          <w:color w:val="auto"/>
          <w:spacing w:val="1"/>
          <w:sz w:val="24"/>
          <w:szCs w:val="24"/>
          <w:lang w:val="en-US"/>
        </w:rPr>
        <w:t>4</w:t>
      </w:r>
      <w:r>
        <w:rPr>
          <w:color w:val="auto"/>
          <w:spacing w:val="1"/>
          <w:sz w:val="24"/>
          <w:szCs w:val="24"/>
        </w:rPr>
        <w:t xml:space="preserve">.1 </w:t>
      </w:r>
      <w:r>
        <w:rPr>
          <w:rFonts w:hint="eastAsia"/>
          <w:color w:val="auto"/>
          <w:spacing w:val="1"/>
          <w:sz w:val="24"/>
          <w:szCs w:val="24"/>
          <w:lang w:val="en-US" w:eastAsia="zh-CN"/>
        </w:rPr>
        <w:t>供应商</w:t>
      </w:r>
      <w:r>
        <w:rPr>
          <w:color w:val="auto"/>
          <w:spacing w:val="1"/>
          <w:sz w:val="24"/>
          <w:szCs w:val="24"/>
        </w:rPr>
        <w:t>必须对货物需求和服务要求进行完整报价，采购</w:t>
      </w:r>
      <w:r>
        <w:rPr>
          <w:rFonts w:hint="eastAsia"/>
          <w:color w:val="auto"/>
          <w:spacing w:val="1"/>
          <w:sz w:val="24"/>
          <w:szCs w:val="24"/>
          <w:lang w:eastAsia="zh-CN"/>
        </w:rPr>
        <w:t>人</w:t>
      </w:r>
      <w:r>
        <w:rPr>
          <w:color w:val="auto"/>
          <w:spacing w:val="1"/>
          <w:sz w:val="24"/>
          <w:szCs w:val="24"/>
        </w:rPr>
        <w:t>拒绝只对部分</w:t>
      </w:r>
      <w:r>
        <w:rPr>
          <w:color w:val="auto"/>
          <w:spacing w:val="-2"/>
          <w:sz w:val="24"/>
          <w:szCs w:val="24"/>
        </w:rPr>
        <w:t>货物或服务进行报价的投标。</w:t>
      </w:r>
      <w:r>
        <w:rPr>
          <w:rFonts w:hint="eastAsia"/>
          <w:color w:val="auto"/>
          <w:spacing w:val="-2"/>
          <w:sz w:val="24"/>
          <w:szCs w:val="24"/>
          <w:lang w:val="en-US" w:eastAsia="zh-CN"/>
        </w:rPr>
        <w:t>供应商</w:t>
      </w:r>
      <w:r>
        <w:rPr>
          <w:color w:val="auto"/>
          <w:spacing w:val="-2"/>
          <w:sz w:val="24"/>
          <w:szCs w:val="24"/>
        </w:rPr>
        <w:t>应在投标文件中的投标分项报价表上标明对本次招标拟提供货物和服务的总价</w:t>
      </w:r>
      <w:r>
        <w:rPr>
          <w:rFonts w:hint="eastAsia"/>
          <w:color w:val="auto"/>
          <w:spacing w:val="-2"/>
          <w:sz w:val="24"/>
          <w:szCs w:val="24"/>
          <w:lang w:val="en-US" w:eastAsia="zh-CN"/>
        </w:rPr>
        <w:t>和</w:t>
      </w:r>
      <w:r>
        <w:rPr>
          <w:color w:val="auto"/>
          <w:spacing w:val="-2"/>
          <w:sz w:val="24"/>
          <w:szCs w:val="24"/>
        </w:rPr>
        <w:t>单价</w:t>
      </w:r>
      <w:r>
        <w:rPr>
          <w:rFonts w:hint="eastAsia"/>
          <w:color w:val="auto"/>
          <w:spacing w:val="-2"/>
          <w:sz w:val="24"/>
          <w:szCs w:val="24"/>
          <w:lang w:eastAsia="zh-CN"/>
        </w:rPr>
        <w:t>（</w:t>
      </w:r>
      <w:r>
        <w:rPr>
          <w:rFonts w:hint="eastAsia"/>
          <w:color w:val="auto"/>
          <w:spacing w:val="-2"/>
          <w:sz w:val="24"/>
          <w:szCs w:val="24"/>
          <w:lang w:val="en-US" w:eastAsia="zh-CN"/>
        </w:rPr>
        <w:t>或优惠率</w:t>
      </w:r>
      <w:r>
        <w:rPr>
          <w:rFonts w:hint="eastAsia"/>
          <w:color w:val="auto"/>
          <w:spacing w:val="-2"/>
          <w:sz w:val="24"/>
          <w:szCs w:val="24"/>
          <w:lang w:eastAsia="zh-CN"/>
        </w:rPr>
        <w:t>）</w:t>
      </w:r>
      <w:r>
        <w:rPr>
          <w:color w:val="auto"/>
          <w:spacing w:val="-2"/>
          <w:sz w:val="24"/>
          <w:szCs w:val="24"/>
        </w:rPr>
        <w:t>。任何有选择的报价将不予接受，每种货物只允许有一个报价。</w:t>
      </w:r>
    </w:p>
    <w:p w14:paraId="63A5319A">
      <w:pPr>
        <w:pageBreakBefore w:val="0"/>
        <w:topLinePunct w:val="0"/>
        <w:bidi w:val="0"/>
        <w:spacing w:line="500" w:lineRule="exact"/>
        <w:ind w:left="0" w:leftChars="0" w:right="0" w:rightChars="0" w:firstLine="472" w:firstLineChars="200"/>
        <w:rPr>
          <w:rFonts w:hint="default" w:eastAsia="宋体"/>
          <w:color w:val="auto"/>
          <w:spacing w:val="-2"/>
          <w:sz w:val="24"/>
          <w:szCs w:val="24"/>
          <w:highlight w:val="none"/>
          <w:lang w:val="en-US" w:eastAsia="zh-CN"/>
        </w:rPr>
      </w:pPr>
      <w:r>
        <w:rPr>
          <w:rFonts w:hint="eastAsia"/>
          <w:color w:val="auto"/>
          <w:spacing w:val="-2"/>
          <w:sz w:val="24"/>
          <w:szCs w:val="24"/>
          <w:lang w:val="en-US" w:eastAsia="zh-CN"/>
        </w:rPr>
        <w:t>4.2</w:t>
      </w:r>
      <w:r>
        <w:rPr>
          <w:rFonts w:hint="eastAsia" w:ascii="宋体" w:hAnsi="宋体" w:eastAsia="宋体" w:cs="宋体"/>
          <w:b/>
          <w:bCs/>
          <w:color w:val="auto"/>
          <w:sz w:val="24"/>
          <w:szCs w:val="24"/>
          <w:lang w:val="en-US" w:eastAsia="zh-CN"/>
        </w:rPr>
        <w:t>本项目合同包1和合同包4：大米单价最高限价为：4.78元/千克</w:t>
      </w:r>
      <w:r>
        <w:rPr>
          <w:rFonts w:hint="eastAsia" w:cs="宋体"/>
          <w:b/>
          <w:bCs/>
          <w:color w:val="auto"/>
          <w:sz w:val="24"/>
          <w:szCs w:val="24"/>
          <w:lang w:val="en-US" w:eastAsia="zh-CN"/>
        </w:rPr>
        <w:t>；</w:t>
      </w:r>
      <w:r>
        <w:rPr>
          <w:rFonts w:hint="eastAsia" w:ascii="宋体" w:hAnsi="宋体" w:eastAsia="宋体" w:cs="宋体"/>
          <w:b/>
          <w:bCs/>
          <w:color w:val="auto"/>
          <w:sz w:val="24"/>
          <w:szCs w:val="24"/>
          <w:lang w:val="en-US" w:eastAsia="zh-CN"/>
        </w:rPr>
        <w:t>面粉单价最高限价为：4.28元/千克</w:t>
      </w:r>
      <w:r>
        <w:rPr>
          <w:rFonts w:hint="eastAsia" w:cs="宋体"/>
          <w:b/>
          <w:bCs/>
          <w:color w:val="auto"/>
          <w:sz w:val="24"/>
          <w:szCs w:val="24"/>
          <w:lang w:val="en-US" w:eastAsia="zh-CN"/>
        </w:rPr>
        <w:t>；</w:t>
      </w:r>
      <w:r>
        <w:rPr>
          <w:rFonts w:hint="eastAsia" w:ascii="宋体" w:hAnsi="宋体" w:eastAsia="宋体" w:cs="宋体"/>
          <w:b/>
          <w:bCs/>
          <w:color w:val="auto"/>
          <w:sz w:val="24"/>
          <w:szCs w:val="24"/>
          <w:lang w:val="en-US" w:eastAsia="zh-CN"/>
        </w:rPr>
        <w:t>菜籽油单价最高限价为：14.31元/升</w:t>
      </w:r>
      <w:r>
        <w:rPr>
          <w:rFonts w:hint="eastAsia" w:cs="宋体"/>
          <w:b/>
          <w:bCs/>
          <w:color w:val="auto"/>
          <w:sz w:val="24"/>
          <w:szCs w:val="24"/>
          <w:lang w:val="en-US" w:eastAsia="zh-CN"/>
        </w:rPr>
        <w:t>；</w:t>
      </w:r>
      <w:r>
        <w:rPr>
          <w:rFonts w:hint="eastAsia" w:ascii="宋体" w:hAnsi="宋体" w:eastAsia="宋体" w:cs="宋体"/>
          <w:b/>
          <w:bCs/>
          <w:color w:val="auto"/>
          <w:sz w:val="24"/>
          <w:szCs w:val="24"/>
          <w:lang w:val="en-US" w:eastAsia="zh-CN"/>
        </w:rPr>
        <w:t>面制品</w:t>
      </w:r>
      <w:r>
        <w:rPr>
          <w:rFonts w:hint="eastAsia" w:cs="宋体"/>
          <w:b/>
          <w:bCs/>
          <w:color w:val="auto"/>
          <w:sz w:val="24"/>
          <w:szCs w:val="24"/>
          <w:lang w:val="en-US" w:eastAsia="zh-CN"/>
        </w:rPr>
        <w:t>按照优惠率报价计算作为实际结算单价，最终依据实际供货量据实结算；牛奶按照优惠率报价计算作为实际结算单价，最终依据实际供货量据实结算；</w:t>
      </w:r>
      <w:r>
        <w:rPr>
          <w:rFonts w:hint="eastAsia" w:ascii="宋体" w:hAnsi="宋体" w:eastAsia="宋体" w:cs="宋体"/>
          <w:b/>
          <w:bCs/>
          <w:color w:val="auto"/>
          <w:sz w:val="24"/>
          <w:szCs w:val="24"/>
          <w:lang w:val="en-US" w:eastAsia="zh-CN"/>
        </w:rPr>
        <w:t>杂粮按照优惠率报价计算作为实际结算单价，最终依据实际供货量据实结算</w:t>
      </w:r>
      <w:r>
        <w:rPr>
          <w:rFonts w:hint="eastAsia" w:cs="宋体"/>
          <w:b/>
          <w:bCs/>
          <w:color w:val="auto"/>
          <w:sz w:val="24"/>
          <w:szCs w:val="24"/>
          <w:lang w:val="en-US" w:eastAsia="zh-CN"/>
        </w:rPr>
        <w:t>。</w:t>
      </w:r>
      <w:r>
        <w:rPr>
          <w:rFonts w:hint="eastAsia" w:ascii="宋体" w:hAnsi="宋体" w:eastAsia="宋体" w:cs="宋体"/>
          <w:b/>
          <w:bCs/>
          <w:color w:val="auto"/>
          <w:sz w:val="24"/>
          <w:szCs w:val="24"/>
          <w:lang w:val="en-US" w:eastAsia="zh-CN"/>
        </w:rPr>
        <w:t>本项目合同包2和合同包5：肉蛋禽按照优惠率报价计算作为实际结算单价，依据实际供货量据实结算</w:t>
      </w:r>
      <w:r>
        <w:rPr>
          <w:rFonts w:hint="eastAsia" w:cs="宋体"/>
          <w:b/>
          <w:bCs/>
          <w:color w:val="auto"/>
          <w:sz w:val="24"/>
          <w:szCs w:val="24"/>
          <w:lang w:val="en-US" w:eastAsia="zh-CN"/>
        </w:rPr>
        <w:t>。</w:t>
      </w:r>
      <w:r>
        <w:rPr>
          <w:rFonts w:hint="eastAsia" w:ascii="宋体" w:hAnsi="宋体" w:eastAsia="宋体" w:cs="宋体"/>
          <w:b/>
          <w:bCs/>
          <w:color w:val="auto"/>
          <w:sz w:val="24"/>
          <w:szCs w:val="24"/>
          <w:lang w:val="en-US" w:eastAsia="zh-CN"/>
        </w:rPr>
        <w:t>合同包3和合同包6：</w:t>
      </w:r>
      <w:r>
        <w:rPr>
          <w:rFonts w:hint="eastAsia" w:cs="宋体"/>
          <w:b/>
          <w:bCs/>
          <w:color w:val="auto"/>
          <w:sz w:val="24"/>
          <w:szCs w:val="24"/>
          <w:lang w:val="en-US" w:eastAsia="zh-CN"/>
        </w:rPr>
        <w:t>营养午餐蔬菜、水果、干货及调味品</w:t>
      </w:r>
      <w:r>
        <w:rPr>
          <w:rFonts w:hint="eastAsia" w:ascii="宋体" w:hAnsi="宋体" w:eastAsia="宋体" w:cs="宋体"/>
          <w:b/>
          <w:bCs/>
          <w:color w:val="auto"/>
          <w:sz w:val="24"/>
          <w:szCs w:val="24"/>
          <w:lang w:val="en-US" w:eastAsia="zh-CN"/>
        </w:rPr>
        <w:t>按照优惠率报价计算作为实际结算单价，依据实际供货量据实结算</w:t>
      </w:r>
      <w:r>
        <w:rPr>
          <w:rFonts w:hint="eastAsia" w:cs="宋体"/>
          <w:b/>
          <w:bCs/>
          <w:color w:val="auto"/>
          <w:sz w:val="24"/>
          <w:szCs w:val="24"/>
          <w:highlight w:val="none"/>
          <w:lang w:val="en-US" w:eastAsia="zh-CN"/>
        </w:rPr>
        <w:t>。</w:t>
      </w:r>
      <w:r>
        <w:rPr>
          <w:rFonts w:hint="eastAsia"/>
          <w:b w:val="0"/>
          <w:bCs w:val="0"/>
          <w:color w:val="auto"/>
          <w:sz w:val="24"/>
          <w:szCs w:val="24"/>
          <w:highlight w:val="none"/>
          <w:lang w:val="en-US" w:eastAsia="zh-CN"/>
        </w:rPr>
        <w:t>为便于评审，以投标总报价作为评审依据，结算时将以中标单价或中标优惠率按实际采购数量据实结算，</w:t>
      </w:r>
      <w:r>
        <w:rPr>
          <w:rFonts w:hint="eastAsia" w:ascii="宋体" w:hAnsi="宋体" w:eastAsia="宋体" w:cs="宋体"/>
          <w:b/>
          <w:bCs/>
          <w:color w:val="auto"/>
          <w:sz w:val="24"/>
          <w:szCs w:val="24"/>
          <w:highlight w:val="none"/>
          <w:lang w:val="en-US" w:eastAsia="zh-CN"/>
        </w:rPr>
        <w:t>报价不得高于最高限价和单价，否则按废标处理。</w:t>
      </w:r>
    </w:p>
    <w:p w14:paraId="4A2C15A3">
      <w:pPr>
        <w:pageBreakBefore w:val="0"/>
        <w:topLinePunct w:val="0"/>
        <w:bidi w:val="0"/>
        <w:spacing w:line="500" w:lineRule="exact"/>
        <w:ind w:left="0" w:leftChars="0" w:right="0" w:rightChars="0" w:firstLine="472" w:firstLineChars="200"/>
        <w:rPr>
          <w:color w:val="auto"/>
          <w:spacing w:val="-2"/>
          <w:sz w:val="24"/>
          <w:szCs w:val="24"/>
        </w:rPr>
      </w:pPr>
      <w:r>
        <w:rPr>
          <w:rFonts w:hint="eastAsia"/>
          <w:color w:val="auto"/>
          <w:spacing w:val="-2"/>
          <w:sz w:val="24"/>
          <w:szCs w:val="24"/>
          <w:lang w:val="en-US"/>
        </w:rPr>
        <w:t>4</w:t>
      </w:r>
      <w:r>
        <w:rPr>
          <w:color w:val="auto"/>
          <w:spacing w:val="-2"/>
          <w:sz w:val="24"/>
          <w:szCs w:val="24"/>
        </w:rPr>
        <w:t>.</w:t>
      </w:r>
      <w:r>
        <w:rPr>
          <w:rFonts w:hint="eastAsia"/>
          <w:color w:val="auto"/>
          <w:spacing w:val="-2"/>
          <w:sz w:val="24"/>
          <w:szCs w:val="24"/>
          <w:lang w:val="en-US" w:eastAsia="zh-CN"/>
        </w:rPr>
        <w:t>3</w:t>
      </w:r>
      <w:r>
        <w:rPr>
          <w:color w:val="auto"/>
          <w:spacing w:val="-2"/>
          <w:sz w:val="24"/>
          <w:szCs w:val="24"/>
        </w:rPr>
        <w:t>投标报价（最终结算价）=</w:t>
      </w:r>
      <w:r>
        <w:rPr>
          <w:rFonts w:hint="eastAsia"/>
          <w:color w:val="auto"/>
          <w:spacing w:val="-2"/>
          <w:sz w:val="24"/>
          <w:szCs w:val="24"/>
          <w:lang w:val="en-US" w:eastAsia="zh-CN"/>
        </w:rPr>
        <w:t>食品采购、包装、运输、装卸、加工、供货服务期限、配送（配送到指定学校地点）、售后服务及国家按现行税收政策征收的一切税费等</w:t>
      </w:r>
      <w:r>
        <w:rPr>
          <w:color w:val="auto"/>
          <w:spacing w:val="-2"/>
          <w:sz w:val="24"/>
          <w:szCs w:val="24"/>
        </w:rPr>
        <w:t>。</w:t>
      </w:r>
    </w:p>
    <w:p w14:paraId="5EE7EBA6">
      <w:pPr>
        <w:pageBreakBefore w:val="0"/>
        <w:topLinePunct w:val="0"/>
        <w:bidi w:val="0"/>
        <w:spacing w:line="500" w:lineRule="exact"/>
        <w:ind w:left="0" w:leftChars="0" w:right="0" w:rightChars="0" w:firstLine="468" w:firstLineChars="200"/>
        <w:rPr>
          <w:color w:val="auto"/>
          <w:sz w:val="24"/>
          <w:szCs w:val="24"/>
        </w:rPr>
      </w:pPr>
      <w:r>
        <w:rPr>
          <w:rFonts w:hint="eastAsia"/>
          <w:color w:val="auto"/>
          <w:spacing w:val="-3"/>
          <w:sz w:val="24"/>
          <w:szCs w:val="24"/>
          <w:lang w:val="en-US"/>
        </w:rPr>
        <w:t>4</w:t>
      </w:r>
      <w:r>
        <w:rPr>
          <w:color w:val="auto"/>
          <w:spacing w:val="-3"/>
          <w:sz w:val="24"/>
          <w:szCs w:val="24"/>
        </w:rPr>
        <w:t>.</w:t>
      </w:r>
      <w:r>
        <w:rPr>
          <w:rFonts w:hint="eastAsia"/>
          <w:color w:val="auto"/>
          <w:spacing w:val="-3"/>
          <w:sz w:val="24"/>
          <w:szCs w:val="24"/>
          <w:lang w:val="en-US" w:eastAsia="zh-CN"/>
        </w:rPr>
        <w:t>4</w:t>
      </w:r>
      <w:r>
        <w:rPr>
          <w:color w:val="auto"/>
          <w:spacing w:val="-3"/>
          <w:sz w:val="24"/>
          <w:szCs w:val="24"/>
        </w:rPr>
        <w:t xml:space="preserve"> </w:t>
      </w:r>
      <w:r>
        <w:rPr>
          <w:rFonts w:hint="eastAsia"/>
          <w:color w:val="auto"/>
          <w:spacing w:val="-3"/>
          <w:sz w:val="24"/>
          <w:szCs w:val="24"/>
          <w:lang w:val="en-US" w:eastAsia="zh-CN"/>
        </w:rPr>
        <w:t>供应商</w:t>
      </w:r>
      <w:r>
        <w:rPr>
          <w:color w:val="auto"/>
          <w:spacing w:val="-3"/>
          <w:sz w:val="24"/>
          <w:szCs w:val="24"/>
        </w:rPr>
        <w:t xml:space="preserve">根据本须知第 </w:t>
      </w:r>
      <w:r>
        <w:rPr>
          <w:rFonts w:hint="eastAsia"/>
          <w:color w:val="auto"/>
          <w:spacing w:val="-3"/>
          <w:sz w:val="24"/>
          <w:szCs w:val="24"/>
          <w:lang w:val="en-US"/>
        </w:rPr>
        <w:t>4.2</w:t>
      </w:r>
      <w:r>
        <w:rPr>
          <w:color w:val="auto"/>
          <w:spacing w:val="-3"/>
          <w:sz w:val="24"/>
          <w:szCs w:val="24"/>
        </w:rPr>
        <w:t xml:space="preserve"> 条的规定将投标价分成几部分，只是为了方便招</w:t>
      </w:r>
      <w:r>
        <w:rPr>
          <w:color w:val="auto"/>
          <w:spacing w:val="-2"/>
          <w:sz w:val="24"/>
          <w:szCs w:val="24"/>
        </w:rPr>
        <w:t>标采购</w:t>
      </w:r>
      <w:r>
        <w:rPr>
          <w:rFonts w:hint="eastAsia"/>
          <w:color w:val="auto"/>
          <w:spacing w:val="-2"/>
          <w:sz w:val="24"/>
          <w:szCs w:val="24"/>
          <w:lang w:eastAsia="zh-CN"/>
        </w:rPr>
        <w:t>人</w:t>
      </w:r>
      <w:r>
        <w:rPr>
          <w:color w:val="auto"/>
          <w:spacing w:val="-2"/>
          <w:sz w:val="24"/>
          <w:szCs w:val="24"/>
        </w:rPr>
        <w:t>对投标文件进行比较，但在任何情况下并不限制采购人以上述任何条件订立合同的权利。</w:t>
      </w:r>
    </w:p>
    <w:p w14:paraId="6253E3D7">
      <w:pPr>
        <w:pageBreakBefore w:val="0"/>
        <w:topLinePunct w:val="0"/>
        <w:bidi w:val="0"/>
        <w:spacing w:line="500" w:lineRule="exact"/>
        <w:ind w:left="0" w:leftChars="0" w:right="0" w:rightChars="0" w:firstLine="468" w:firstLineChars="200"/>
        <w:rPr>
          <w:color w:val="auto"/>
          <w:spacing w:val="-3"/>
          <w:sz w:val="24"/>
          <w:szCs w:val="24"/>
          <w:highlight w:val="yellow"/>
          <w:lang w:val="en-US"/>
        </w:rPr>
      </w:pPr>
      <w:r>
        <w:rPr>
          <w:rFonts w:hint="eastAsia"/>
          <w:color w:val="auto"/>
          <w:spacing w:val="-3"/>
          <w:sz w:val="24"/>
          <w:szCs w:val="24"/>
          <w:lang w:val="en-US"/>
        </w:rPr>
        <w:t>4.</w:t>
      </w:r>
      <w:r>
        <w:rPr>
          <w:rFonts w:hint="eastAsia"/>
          <w:color w:val="auto"/>
          <w:spacing w:val="-3"/>
          <w:sz w:val="24"/>
          <w:szCs w:val="24"/>
          <w:lang w:val="en-US" w:eastAsia="zh-CN"/>
        </w:rPr>
        <w:t>5供应商</w:t>
      </w:r>
      <w:r>
        <w:rPr>
          <w:rFonts w:hint="eastAsia"/>
          <w:color w:val="auto"/>
          <w:spacing w:val="-3"/>
          <w:sz w:val="24"/>
          <w:szCs w:val="24"/>
          <w:lang w:val="en-US"/>
        </w:rPr>
        <w:t>所报的投标价在合同执行过程中原则上是固定不变的，不得以任何理由予以变更。任何包含价格调整要求的投标，将被认为是非响应性投标而予以拒绝。</w:t>
      </w:r>
    </w:p>
    <w:p w14:paraId="0C6C8B02">
      <w:pPr>
        <w:pageBreakBefore w:val="0"/>
        <w:topLinePunct w:val="0"/>
        <w:bidi w:val="0"/>
        <w:spacing w:line="500" w:lineRule="exact"/>
        <w:ind w:left="0" w:leftChars="0" w:right="0" w:rightChars="0" w:firstLine="472" w:firstLineChars="200"/>
        <w:rPr>
          <w:color w:val="auto"/>
          <w:sz w:val="24"/>
          <w:szCs w:val="24"/>
        </w:rPr>
      </w:pPr>
      <w:r>
        <w:rPr>
          <w:rFonts w:hint="eastAsia"/>
          <w:color w:val="auto"/>
          <w:spacing w:val="-2"/>
          <w:sz w:val="24"/>
          <w:szCs w:val="24"/>
          <w:lang w:val="en-US"/>
        </w:rPr>
        <w:t>4</w:t>
      </w:r>
      <w:r>
        <w:rPr>
          <w:color w:val="auto"/>
          <w:spacing w:val="-2"/>
          <w:sz w:val="24"/>
          <w:szCs w:val="24"/>
        </w:rPr>
        <w:t>.</w:t>
      </w:r>
      <w:r>
        <w:rPr>
          <w:rFonts w:hint="eastAsia"/>
          <w:color w:val="auto"/>
          <w:spacing w:val="-2"/>
          <w:sz w:val="24"/>
          <w:szCs w:val="24"/>
          <w:lang w:val="en-US" w:eastAsia="zh-CN"/>
        </w:rPr>
        <w:t>6</w:t>
      </w:r>
      <w:r>
        <w:rPr>
          <w:color w:val="auto"/>
          <w:spacing w:val="-2"/>
          <w:sz w:val="24"/>
          <w:szCs w:val="24"/>
        </w:rPr>
        <w:t xml:space="preserve"> </w:t>
      </w:r>
      <w:r>
        <w:rPr>
          <w:b/>
          <w:bCs/>
          <w:color w:val="auto"/>
          <w:spacing w:val="-2"/>
          <w:sz w:val="24"/>
          <w:szCs w:val="24"/>
        </w:rPr>
        <w:t>最低报价不是中标的唯一依据。</w:t>
      </w:r>
    </w:p>
    <w:p w14:paraId="5862CF6A">
      <w:pPr>
        <w:adjustRightInd w:val="0"/>
        <w:snapToGrid w:val="0"/>
        <w:spacing w:line="520" w:lineRule="exact"/>
        <w:ind w:firstLine="474" w:firstLineChars="196"/>
        <w:rPr>
          <w:rFonts w:hint="eastAsia"/>
          <w:color w:val="auto"/>
          <w:spacing w:val="1"/>
          <w:sz w:val="24"/>
          <w:szCs w:val="24"/>
          <w:lang w:val="en-US"/>
        </w:rPr>
      </w:pPr>
    </w:p>
    <w:p w14:paraId="19ED8F0A">
      <w:pPr>
        <w:adjustRightInd w:val="0"/>
        <w:snapToGrid w:val="0"/>
        <w:spacing w:line="520" w:lineRule="exact"/>
        <w:ind w:firstLine="474" w:firstLineChars="196"/>
        <w:rPr>
          <w:rFonts w:hint="eastAsia"/>
          <w:color w:val="auto"/>
          <w:spacing w:val="1"/>
          <w:sz w:val="24"/>
          <w:szCs w:val="24"/>
          <w:lang w:val="en-US"/>
        </w:rPr>
      </w:pPr>
    </w:p>
    <w:p w14:paraId="2CBA6AF1">
      <w:pPr>
        <w:adjustRightInd w:val="0"/>
        <w:snapToGrid w:val="0"/>
        <w:spacing w:line="520" w:lineRule="exact"/>
        <w:ind w:firstLine="474" w:firstLineChars="196"/>
        <w:rPr>
          <w:rFonts w:hint="eastAsia"/>
          <w:color w:val="auto"/>
          <w:spacing w:val="1"/>
          <w:sz w:val="24"/>
          <w:szCs w:val="24"/>
          <w:lang w:val="en-US"/>
        </w:rPr>
      </w:pPr>
    </w:p>
    <w:p w14:paraId="2ADDCB01">
      <w:pPr>
        <w:adjustRightInd w:val="0"/>
        <w:snapToGrid w:val="0"/>
        <w:spacing w:line="520" w:lineRule="exact"/>
        <w:ind w:firstLine="474" w:firstLineChars="196"/>
        <w:rPr>
          <w:rFonts w:hint="eastAsia"/>
          <w:color w:val="auto"/>
          <w:spacing w:val="1"/>
          <w:sz w:val="24"/>
          <w:szCs w:val="24"/>
          <w:lang w:val="en-US"/>
        </w:rPr>
      </w:pPr>
    </w:p>
    <w:p w14:paraId="61BF7A89">
      <w:pPr>
        <w:adjustRightInd w:val="0"/>
        <w:snapToGrid w:val="0"/>
        <w:spacing w:line="520" w:lineRule="exact"/>
        <w:ind w:firstLine="474" w:firstLineChars="196"/>
        <w:rPr>
          <w:rFonts w:hint="eastAsia"/>
          <w:color w:val="auto"/>
          <w:spacing w:val="1"/>
          <w:sz w:val="24"/>
          <w:szCs w:val="24"/>
          <w:lang w:val="en-US"/>
        </w:rPr>
      </w:pPr>
    </w:p>
    <w:p w14:paraId="2B09F6E2">
      <w:pPr>
        <w:adjustRightInd w:val="0"/>
        <w:snapToGrid w:val="0"/>
        <w:spacing w:line="520" w:lineRule="exact"/>
        <w:ind w:firstLine="474" w:firstLineChars="196"/>
        <w:rPr>
          <w:rFonts w:hint="eastAsia"/>
          <w:color w:val="auto"/>
          <w:spacing w:val="1"/>
          <w:sz w:val="24"/>
          <w:szCs w:val="24"/>
          <w:lang w:val="en-US"/>
        </w:rPr>
      </w:pPr>
    </w:p>
    <w:p w14:paraId="565521A8">
      <w:pPr>
        <w:adjustRightInd w:val="0"/>
        <w:snapToGrid w:val="0"/>
        <w:spacing w:line="520" w:lineRule="exact"/>
        <w:ind w:firstLine="474" w:firstLineChars="196"/>
        <w:rPr>
          <w:rFonts w:hint="eastAsia"/>
          <w:color w:val="auto"/>
          <w:spacing w:val="1"/>
          <w:sz w:val="24"/>
          <w:szCs w:val="24"/>
          <w:lang w:val="en-US"/>
        </w:rPr>
      </w:pPr>
    </w:p>
    <w:p w14:paraId="5B31AAC7">
      <w:pPr>
        <w:adjustRightInd w:val="0"/>
        <w:snapToGrid w:val="0"/>
        <w:spacing w:line="520" w:lineRule="exact"/>
        <w:ind w:firstLine="474" w:firstLineChars="196"/>
        <w:rPr>
          <w:rFonts w:hint="eastAsia"/>
          <w:color w:val="auto"/>
          <w:spacing w:val="1"/>
          <w:sz w:val="24"/>
          <w:szCs w:val="24"/>
          <w:lang w:val="en-US"/>
        </w:rPr>
      </w:pPr>
    </w:p>
    <w:p w14:paraId="1B482281">
      <w:pPr>
        <w:adjustRightInd w:val="0"/>
        <w:snapToGrid w:val="0"/>
        <w:spacing w:line="520" w:lineRule="exact"/>
        <w:ind w:firstLine="474" w:firstLineChars="196"/>
        <w:rPr>
          <w:rFonts w:hint="eastAsia"/>
          <w:color w:val="auto"/>
          <w:spacing w:val="1"/>
          <w:sz w:val="24"/>
          <w:szCs w:val="24"/>
          <w:lang w:val="en-US"/>
        </w:rPr>
      </w:pPr>
    </w:p>
    <w:p w14:paraId="1B9C2DAD">
      <w:pPr>
        <w:adjustRightInd w:val="0"/>
        <w:snapToGrid w:val="0"/>
        <w:spacing w:line="520" w:lineRule="exact"/>
        <w:ind w:firstLine="474" w:firstLineChars="196"/>
        <w:rPr>
          <w:rFonts w:hint="eastAsia"/>
          <w:color w:val="auto"/>
          <w:spacing w:val="1"/>
          <w:sz w:val="24"/>
          <w:szCs w:val="24"/>
          <w:lang w:val="en-US"/>
        </w:rPr>
      </w:pPr>
    </w:p>
    <w:p w14:paraId="4322C8B7">
      <w:pPr>
        <w:adjustRightInd w:val="0"/>
        <w:snapToGrid w:val="0"/>
        <w:spacing w:line="520" w:lineRule="exact"/>
        <w:ind w:firstLine="474" w:firstLineChars="196"/>
        <w:rPr>
          <w:rFonts w:hint="eastAsia"/>
          <w:color w:val="auto"/>
          <w:spacing w:val="1"/>
          <w:sz w:val="24"/>
          <w:szCs w:val="24"/>
          <w:lang w:val="en-US"/>
        </w:rPr>
      </w:pPr>
    </w:p>
    <w:p w14:paraId="26065289">
      <w:pPr>
        <w:adjustRightInd w:val="0"/>
        <w:snapToGrid w:val="0"/>
        <w:spacing w:line="520" w:lineRule="exact"/>
        <w:ind w:firstLine="474" w:firstLineChars="196"/>
        <w:rPr>
          <w:rFonts w:hint="eastAsia"/>
          <w:color w:val="auto"/>
          <w:spacing w:val="1"/>
          <w:sz w:val="24"/>
          <w:szCs w:val="24"/>
          <w:lang w:val="en-US"/>
        </w:rPr>
      </w:pPr>
    </w:p>
    <w:p w14:paraId="463AE131">
      <w:pPr>
        <w:adjustRightInd w:val="0"/>
        <w:snapToGrid w:val="0"/>
        <w:spacing w:line="520" w:lineRule="exact"/>
        <w:ind w:firstLine="474" w:firstLineChars="196"/>
        <w:rPr>
          <w:rFonts w:hint="eastAsia"/>
          <w:color w:val="auto"/>
          <w:spacing w:val="1"/>
          <w:sz w:val="24"/>
          <w:szCs w:val="24"/>
          <w:lang w:val="en-US"/>
        </w:rPr>
      </w:pPr>
    </w:p>
    <w:p w14:paraId="68386EBE">
      <w:pPr>
        <w:adjustRightInd w:val="0"/>
        <w:snapToGrid w:val="0"/>
        <w:spacing w:line="520" w:lineRule="exact"/>
        <w:ind w:firstLine="474" w:firstLineChars="196"/>
        <w:rPr>
          <w:rFonts w:hint="eastAsia"/>
          <w:color w:val="auto"/>
          <w:spacing w:val="1"/>
          <w:sz w:val="24"/>
          <w:szCs w:val="24"/>
          <w:lang w:val="en-US"/>
        </w:rPr>
      </w:pPr>
    </w:p>
    <w:p w14:paraId="3501646D">
      <w:pPr>
        <w:adjustRightInd w:val="0"/>
        <w:snapToGrid w:val="0"/>
        <w:spacing w:line="520" w:lineRule="exact"/>
        <w:ind w:firstLine="476" w:firstLineChars="196"/>
        <w:rPr>
          <w:rFonts w:hint="eastAsia" w:ascii="宋体" w:hAnsi="宋体" w:eastAsia="宋体" w:cs="宋体"/>
          <w:b/>
          <w:bCs/>
          <w:color w:val="auto"/>
          <w:sz w:val="24"/>
          <w:lang w:val="en-US" w:eastAsia="zh-CN"/>
        </w:rPr>
      </w:pPr>
      <w:r>
        <w:rPr>
          <w:rFonts w:hint="eastAsia"/>
          <w:b/>
          <w:bCs/>
          <w:color w:val="auto"/>
          <w:spacing w:val="1"/>
          <w:sz w:val="24"/>
          <w:szCs w:val="24"/>
          <w:lang w:val="en-US"/>
        </w:rPr>
        <w:t>4</w:t>
      </w:r>
      <w:r>
        <w:rPr>
          <w:b/>
          <w:bCs/>
          <w:color w:val="auto"/>
          <w:spacing w:val="1"/>
          <w:sz w:val="24"/>
          <w:szCs w:val="24"/>
        </w:rPr>
        <w:t>.</w:t>
      </w:r>
      <w:r>
        <w:rPr>
          <w:rFonts w:hint="eastAsia"/>
          <w:b/>
          <w:bCs/>
          <w:color w:val="auto"/>
          <w:spacing w:val="1"/>
          <w:sz w:val="24"/>
          <w:szCs w:val="24"/>
          <w:lang w:val="en-US" w:eastAsia="zh-CN"/>
        </w:rPr>
        <w:t>7</w:t>
      </w:r>
      <w:r>
        <w:rPr>
          <w:b/>
          <w:bCs/>
          <w:color w:val="auto"/>
          <w:spacing w:val="1"/>
          <w:sz w:val="24"/>
          <w:szCs w:val="24"/>
        </w:rPr>
        <w:t xml:space="preserve"> </w:t>
      </w:r>
      <w:r>
        <w:rPr>
          <w:rFonts w:hint="eastAsia" w:ascii="宋体" w:hAnsi="宋体" w:eastAsia="宋体" w:cs="宋体"/>
          <w:b/>
          <w:bCs/>
          <w:color w:val="auto"/>
          <w:sz w:val="24"/>
          <w:lang w:val="en-US" w:eastAsia="zh-CN"/>
        </w:rPr>
        <w:t>异常低价审查</w:t>
      </w:r>
    </w:p>
    <w:tbl>
      <w:tblPr>
        <w:tblStyle w:val="2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80"/>
        <w:gridCol w:w="2639"/>
        <w:gridCol w:w="5279"/>
      </w:tblGrid>
      <w:tr w14:paraId="13498E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40" w:hRule="atLeast"/>
        </w:trPr>
        <w:tc>
          <w:tcPr>
            <w:tcW w:w="880" w:type="dxa"/>
            <w:noWrap w:val="0"/>
            <w:vAlign w:val="top"/>
          </w:tcPr>
          <w:p w14:paraId="2736D444">
            <w:pPr>
              <w:pStyle w:val="52"/>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639" w:type="dxa"/>
            <w:noWrap w:val="0"/>
            <w:vAlign w:val="top"/>
          </w:tcPr>
          <w:p w14:paraId="1CEC529F">
            <w:pPr>
              <w:pStyle w:val="52"/>
              <w:jc w:val="center"/>
              <w:rPr>
                <w:rFonts w:hint="eastAsia" w:ascii="宋体" w:hAnsi="宋体" w:eastAsia="宋体" w:cs="宋体"/>
                <w:b/>
                <w:bCs/>
                <w:sz w:val="24"/>
                <w:szCs w:val="24"/>
              </w:rPr>
            </w:pPr>
            <w:r>
              <w:rPr>
                <w:rFonts w:hint="eastAsia" w:ascii="宋体" w:hAnsi="宋体" w:eastAsia="宋体" w:cs="宋体"/>
                <w:b/>
                <w:bCs/>
                <w:sz w:val="24"/>
                <w:szCs w:val="24"/>
              </w:rPr>
              <w:t>评审点要求概况</w:t>
            </w:r>
          </w:p>
        </w:tc>
        <w:tc>
          <w:tcPr>
            <w:tcW w:w="5279" w:type="dxa"/>
            <w:noWrap w:val="0"/>
            <w:vAlign w:val="top"/>
          </w:tcPr>
          <w:p w14:paraId="61326DB7">
            <w:pPr>
              <w:pStyle w:val="52"/>
              <w:jc w:val="center"/>
              <w:rPr>
                <w:rFonts w:hint="eastAsia" w:ascii="宋体" w:hAnsi="宋体" w:eastAsia="宋体" w:cs="宋体"/>
                <w:b/>
                <w:bCs/>
                <w:sz w:val="24"/>
                <w:szCs w:val="24"/>
              </w:rPr>
            </w:pPr>
            <w:r>
              <w:rPr>
                <w:rFonts w:hint="eastAsia" w:ascii="宋体" w:hAnsi="宋体" w:eastAsia="宋体" w:cs="宋体"/>
                <w:b/>
                <w:bCs/>
                <w:sz w:val="24"/>
                <w:szCs w:val="24"/>
              </w:rPr>
              <w:t>异常低价的情形</w:t>
            </w:r>
          </w:p>
        </w:tc>
      </w:tr>
      <w:tr w14:paraId="3F1882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827" w:hRule="atLeast"/>
        </w:trPr>
        <w:tc>
          <w:tcPr>
            <w:tcW w:w="880" w:type="dxa"/>
            <w:noWrap w:val="0"/>
            <w:vAlign w:val="center"/>
          </w:tcPr>
          <w:p w14:paraId="51143769">
            <w:pPr>
              <w:pStyle w:val="52"/>
              <w:jc w:val="center"/>
              <w:rPr>
                <w:rFonts w:hint="eastAsia" w:ascii="宋体" w:hAnsi="宋体" w:eastAsia="宋体" w:cs="宋体"/>
                <w:b/>
                <w:bCs/>
                <w:sz w:val="24"/>
                <w:szCs w:val="24"/>
              </w:rPr>
            </w:pPr>
            <w:r>
              <w:rPr>
                <w:rFonts w:hint="eastAsia" w:ascii="宋体" w:hAnsi="宋体" w:eastAsia="宋体" w:cs="宋体"/>
                <w:b/>
                <w:bCs/>
                <w:sz w:val="24"/>
                <w:szCs w:val="24"/>
              </w:rPr>
              <w:t>1</w:t>
            </w:r>
          </w:p>
        </w:tc>
        <w:tc>
          <w:tcPr>
            <w:tcW w:w="2639" w:type="dxa"/>
            <w:noWrap w:val="0"/>
            <w:vAlign w:val="center"/>
          </w:tcPr>
          <w:p w14:paraId="6A4EC338">
            <w:pPr>
              <w:pStyle w:val="52"/>
              <w:jc w:val="center"/>
              <w:rPr>
                <w:rFonts w:hint="eastAsia" w:ascii="宋体" w:hAnsi="宋体" w:eastAsia="宋体" w:cs="宋体"/>
                <w:b/>
                <w:bCs/>
                <w:sz w:val="24"/>
                <w:szCs w:val="24"/>
              </w:rPr>
            </w:pPr>
            <w:r>
              <w:rPr>
                <w:rFonts w:hint="eastAsia" w:ascii="宋体" w:hAnsi="宋体" w:eastAsia="宋体" w:cs="宋体"/>
                <w:b/>
                <w:bCs/>
                <w:sz w:val="24"/>
                <w:szCs w:val="24"/>
              </w:rPr>
              <w:t>异常低价审查</w:t>
            </w:r>
          </w:p>
        </w:tc>
        <w:tc>
          <w:tcPr>
            <w:tcW w:w="5279" w:type="dxa"/>
            <w:noWrap w:val="0"/>
            <w:vAlign w:val="top"/>
          </w:tcPr>
          <w:p w14:paraId="22032A1E">
            <w:pPr>
              <w:pStyle w:val="52"/>
              <w:rPr>
                <w:rFonts w:hint="eastAsia" w:ascii="宋体" w:hAnsi="宋体" w:eastAsia="宋体" w:cs="宋体"/>
                <w:b/>
                <w:bCs/>
                <w:sz w:val="24"/>
                <w:szCs w:val="24"/>
              </w:rPr>
            </w:pPr>
            <w:r>
              <w:rPr>
                <w:rFonts w:hint="eastAsia" w:ascii="宋体" w:hAnsi="宋体" w:eastAsia="宋体" w:cs="宋体"/>
                <w:b/>
                <w:bCs/>
                <w:sz w:val="24"/>
                <w:szCs w:val="24"/>
              </w:rPr>
              <w:t>根据《关于推动解决政府采购异常低价问题的通知》（财库〔2026〕2号）等相关规定，政府采购评审中出现下列情形之一的，评审委员会应当启动异常低价投标（响应）审查程序：</w:t>
            </w:r>
            <w:r>
              <w:rPr>
                <w:rFonts w:hint="eastAsia" w:ascii="宋体" w:hAnsi="宋体" w:eastAsia="宋体" w:cs="宋体"/>
                <w:b/>
                <w:bCs/>
                <w:sz w:val="24"/>
                <w:szCs w:val="24"/>
              </w:rPr>
              <w:br w:type="textWrapping"/>
            </w:r>
            <w:r>
              <w:rPr>
                <w:rFonts w:hint="eastAsia" w:ascii="宋体" w:hAnsi="宋体" w:eastAsia="宋体" w:cs="宋体"/>
                <w:b/>
                <w:bCs/>
                <w:sz w:val="24"/>
                <w:szCs w:val="24"/>
              </w:rPr>
              <w:t>（1）投标（响应）报价低于全部通过符合性审查供应商投标（响应）报价平均值50%的，即投标（响应）报价&lt;全部通过符合性审查供应商投标（响应）报价平均值×50%。</w:t>
            </w:r>
            <w:r>
              <w:rPr>
                <w:rFonts w:hint="eastAsia" w:ascii="宋体" w:hAnsi="宋体" w:eastAsia="宋体" w:cs="宋体"/>
                <w:b/>
                <w:bCs/>
                <w:sz w:val="24"/>
                <w:szCs w:val="24"/>
              </w:rPr>
              <w:br w:type="textWrapping"/>
            </w:r>
            <w:r>
              <w:rPr>
                <w:rFonts w:hint="eastAsia" w:ascii="宋体" w:hAnsi="宋体" w:eastAsia="宋体" w:cs="宋体"/>
                <w:b/>
                <w:bCs/>
                <w:sz w:val="24"/>
                <w:szCs w:val="24"/>
              </w:rPr>
              <w:t>（2）投标（响应）报价低于通过符合性审查且报价次低供应商投标（响应）报价50%的，即投标（响应）报价&lt;通过符合性审查且报价次低供应商投标（响应）报价×50%。</w:t>
            </w:r>
            <w:r>
              <w:rPr>
                <w:rFonts w:hint="eastAsia" w:ascii="宋体" w:hAnsi="宋体" w:eastAsia="宋体" w:cs="宋体"/>
                <w:b/>
                <w:bCs/>
                <w:sz w:val="24"/>
                <w:szCs w:val="24"/>
              </w:rPr>
              <w:br w:type="textWrapping"/>
            </w:r>
            <w:r>
              <w:rPr>
                <w:rFonts w:hint="eastAsia" w:ascii="宋体" w:hAnsi="宋体" w:eastAsia="宋体" w:cs="宋体"/>
                <w:b/>
                <w:bCs/>
                <w:sz w:val="24"/>
                <w:szCs w:val="24"/>
              </w:rPr>
              <w:t>（3）投标（响应）报价低于最高限价45%的，即投标（响应）报价&lt;最高限价×45%。</w:t>
            </w:r>
            <w:r>
              <w:rPr>
                <w:rFonts w:hint="eastAsia" w:ascii="宋体" w:hAnsi="宋体" w:eastAsia="宋体" w:cs="宋体"/>
                <w:b/>
                <w:bCs/>
                <w:sz w:val="24"/>
                <w:szCs w:val="24"/>
              </w:rPr>
              <w:br w:type="textWrapping"/>
            </w:r>
            <w:r>
              <w:rPr>
                <w:rFonts w:hint="eastAsia" w:ascii="宋体" w:hAnsi="宋体" w:eastAsia="宋体" w:cs="宋体"/>
                <w:b/>
                <w:bCs/>
                <w:sz w:val="24"/>
                <w:szCs w:val="24"/>
              </w:rPr>
              <w:t>（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b/>
                <w:bCs/>
                <w:sz w:val="24"/>
                <w:szCs w:val="24"/>
              </w:rPr>
              <w:br w:type="textWrapping"/>
            </w:r>
            <w:r>
              <w:rPr>
                <w:rFonts w:hint="eastAsia" w:ascii="宋体" w:hAnsi="宋体" w:eastAsia="宋体" w:cs="宋体"/>
                <w:b/>
                <w:bCs/>
                <w:sz w:val="24"/>
                <w:szCs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bl>
    <w:p w14:paraId="23E6E918">
      <w:pPr>
        <w:adjustRightInd w:val="0"/>
        <w:snapToGrid w:val="0"/>
        <w:spacing w:line="520" w:lineRule="exact"/>
        <w:ind w:firstLine="472" w:firstLineChars="196"/>
        <w:rPr>
          <w:rFonts w:ascii="宋体" w:hAnsi="宋体" w:eastAsia="宋体" w:cs="宋体"/>
          <w:color w:val="auto"/>
          <w:spacing w:val="-2"/>
          <w:sz w:val="24"/>
          <w:szCs w:val="24"/>
        </w:rPr>
      </w:pPr>
      <w:r>
        <w:rPr>
          <w:rFonts w:hint="default" w:ascii="宋体" w:hAnsi="宋体" w:eastAsia="宋体" w:cs="宋体"/>
          <w:b/>
          <w:bCs/>
          <w:color w:val="auto"/>
          <w:sz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B90F8F6">
      <w:pPr>
        <w:pageBreakBefore w:val="0"/>
        <w:topLinePunct w:val="0"/>
        <w:bidi w:val="0"/>
        <w:spacing w:line="500" w:lineRule="exact"/>
        <w:ind w:left="0" w:leftChars="0" w:right="0" w:rightChars="0" w:firstLine="472" w:firstLineChars="200"/>
        <w:rPr>
          <w:rFonts w:ascii="宋体" w:hAnsi="宋体" w:eastAsia="宋体" w:cs="宋体"/>
          <w:color w:val="auto"/>
          <w:spacing w:val="-2"/>
          <w:sz w:val="24"/>
          <w:szCs w:val="24"/>
        </w:rPr>
      </w:pPr>
      <w:r>
        <w:rPr>
          <w:rFonts w:hint="eastAsia" w:ascii="宋体" w:hAnsi="宋体" w:eastAsia="宋体" w:cs="宋体"/>
          <w:color w:val="auto"/>
          <w:spacing w:val="-2"/>
          <w:sz w:val="24"/>
          <w:szCs w:val="24"/>
          <w:lang w:val="en-US"/>
        </w:rPr>
        <w:t>4</w:t>
      </w:r>
      <w:r>
        <w:rPr>
          <w:rFonts w:ascii="宋体" w:hAnsi="宋体" w:eastAsia="宋体" w:cs="宋体"/>
          <w:color w:val="auto"/>
          <w:spacing w:val="-2"/>
          <w:sz w:val="24"/>
          <w:szCs w:val="24"/>
        </w:rPr>
        <w:t>.</w:t>
      </w:r>
      <w:r>
        <w:rPr>
          <w:rFonts w:hint="eastAsia" w:cs="宋体"/>
          <w:color w:val="auto"/>
          <w:spacing w:val="-2"/>
          <w:sz w:val="24"/>
          <w:szCs w:val="24"/>
          <w:lang w:val="en-US" w:eastAsia="zh-CN"/>
        </w:rPr>
        <w:t>8</w:t>
      </w:r>
      <w:r>
        <w:rPr>
          <w:rFonts w:ascii="宋体" w:hAnsi="宋体" w:eastAsia="宋体" w:cs="宋体"/>
          <w:color w:val="auto"/>
          <w:spacing w:val="-2"/>
          <w:sz w:val="24"/>
          <w:szCs w:val="24"/>
        </w:rPr>
        <w:t xml:space="preserve"> 凡因对招标文件阅读不深、理解不透、误解、疏漏或因对市场行情了解不清而造成的后果和风险均由投标单位自负。</w:t>
      </w:r>
    </w:p>
    <w:p w14:paraId="04A6E5F5">
      <w:pPr>
        <w:pageBreakBefore w:val="0"/>
        <w:topLinePunct w:val="0"/>
        <w:bidi w:val="0"/>
        <w:spacing w:line="500" w:lineRule="exact"/>
        <w:ind w:left="0" w:leftChars="0" w:right="0" w:rightChars="0" w:firstLine="472" w:firstLineChars="200"/>
        <w:rPr>
          <w:color w:val="auto"/>
          <w:sz w:val="24"/>
          <w:szCs w:val="24"/>
        </w:rPr>
      </w:pPr>
      <w:r>
        <w:rPr>
          <w:rFonts w:hint="eastAsia"/>
          <w:color w:val="auto"/>
          <w:spacing w:val="-2"/>
          <w:sz w:val="24"/>
          <w:szCs w:val="24"/>
          <w:lang w:val="en-US"/>
        </w:rPr>
        <w:t>4</w:t>
      </w:r>
      <w:r>
        <w:rPr>
          <w:color w:val="auto"/>
          <w:spacing w:val="-2"/>
          <w:sz w:val="24"/>
          <w:szCs w:val="24"/>
        </w:rPr>
        <w:t>.</w:t>
      </w:r>
      <w:r>
        <w:rPr>
          <w:rFonts w:hint="eastAsia"/>
          <w:color w:val="auto"/>
          <w:spacing w:val="-2"/>
          <w:sz w:val="24"/>
          <w:szCs w:val="24"/>
          <w:lang w:val="en-US" w:eastAsia="zh-CN"/>
        </w:rPr>
        <w:t>9</w:t>
      </w:r>
      <w:r>
        <w:rPr>
          <w:color w:val="auto"/>
          <w:spacing w:val="-2"/>
          <w:sz w:val="24"/>
          <w:szCs w:val="24"/>
        </w:rPr>
        <w:t xml:space="preserve"> 报价货币：人民币，单位：元（最多保留</w:t>
      </w:r>
      <w:r>
        <w:rPr>
          <w:color w:val="auto"/>
          <w:spacing w:val="-40"/>
          <w:sz w:val="24"/>
          <w:szCs w:val="24"/>
        </w:rPr>
        <w:t xml:space="preserve"> </w:t>
      </w:r>
      <w:r>
        <w:rPr>
          <w:color w:val="auto"/>
          <w:spacing w:val="-2"/>
          <w:sz w:val="24"/>
          <w:szCs w:val="24"/>
        </w:rPr>
        <w:t>2</w:t>
      </w:r>
      <w:r>
        <w:rPr>
          <w:color w:val="auto"/>
          <w:spacing w:val="-51"/>
          <w:sz w:val="24"/>
          <w:szCs w:val="24"/>
        </w:rPr>
        <w:t xml:space="preserve"> </w:t>
      </w:r>
      <w:r>
        <w:rPr>
          <w:color w:val="auto"/>
          <w:spacing w:val="-2"/>
          <w:sz w:val="24"/>
          <w:szCs w:val="24"/>
        </w:rPr>
        <w:t>位小数）。</w:t>
      </w:r>
    </w:p>
    <w:p w14:paraId="5DBC4B13">
      <w:pPr>
        <w:pStyle w:val="12"/>
        <w:pageBreakBefore w:val="0"/>
        <w:topLinePunct w:val="0"/>
        <w:bidi w:val="0"/>
        <w:spacing w:line="500" w:lineRule="exact"/>
        <w:ind w:left="0" w:leftChars="0" w:right="0" w:rightChars="0" w:firstLine="640" w:firstLineChars="200"/>
        <w:rPr>
          <w:color w:val="auto"/>
          <w:sz w:val="32"/>
        </w:rPr>
      </w:pPr>
    </w:p>
    <w:p w14:paraId="189EBAF0">
      <w:pPr>
        <w:pStyle w:val="5"/>
        <w:pageBreakBefore w:val="0"/>
        <w:numPr>
          <w:ilvl w:val="0"/>
          <w:numId w:val="7"/>
        </w:numPr>
        <w:topLinePunct w:val="0"/>
        <w:bidi w:val="0"/>
        <w:spacing w:line="500" w:lineRule="exact"/>
        <w:ind w:left="0" w:leftChars="0" w:right="0" w:rightChars="0" w:firstLine="562" w:firstLineChars="200"/>
        <w:rPr>
          <w:color w:val="auto"/>
        </w:rPr>
      </w:pPr>
      <w:bookmarkStart w:id="7" w:name="五、投标文件的递交"/>
      <w:bookmarkEnd w:id="7"/>
      <w:r>
        <w:rPr>
          <w:color w:val="auto"/>
        </w:rPr>
        <w:t>投标文件的</w:t>
      </w:r>
      <w:r>
        <w:rPr>
          <w:rFonts w:hint="eastAsia"/>
          <w:color w:val="auto"/>
          <w:lang w:val="en-US"/>
        </w:rPr>
        <w:t>递</w:t>
      </w:r>
      <w:r>
        <w:rPr>
          <w:color w:val="auto"/>
        </w:rPr>
        <w:t>交</w:t>
      </w:r>
    </w:p>
    <w:p w14:paraId="130B3F6F">
      <w:pPr>
        <w:pageBreakBefore w:val="0"/>
        <w:topLinePunct w:val="0"/>
        <w:bidi w:val="0"/>
        <w:spacing w:line="500" w:lineRule="exact"/>
        <w:ind w:left="0" w:leftChars="0" w:right="0" w:rightChars="0" w:firstLine="440" w:firstLineChars="200"/>
        <w:rPr>
          <w:color w:val="auto"/>
        </w:rPr>
      </w:pPr>
    </w:p>
    <w:p w14:paraId="01A63CC6">
      <w:pPr>
        <w:pStyle w:val="7"/>
        <w:pageBreakBefore w:val="0"/>
        <w:tabs>
          <w:tab w:val="left" w:pos="0"/>
        </w:tabs>
        <w:topLinePunct w:val="0"/>
        <w:bidi w:val="0"/>
        <w:spacing w:line="500" w:lineRule="exact"/>
        <w:ind w:left="0" w:leftChars="0" w:right="0" w:rightChars="0" w:firstLine="482" w:firstLineChars="200"/>
        <w:rPr>
          <w:color w:val="auto"/>
          <w:lang w:val="en-US"/>
        </w:rPr>
      </w:pPr>
      <w:r>
        <w:rPr>
          <w:rFonts w:hint="eastAsia"/>
          <w:color w:val="auto"/>
          <w:lang w:val="en-US"/>
        </w:rPr>
        <w:t>1．</w:t>
      </w:r>
      <w:r>
        <w:rPr>
          <w:rFonts w:hint="eastAsia"/>
          <w:color w:val="auto"/>
          <w:lang w:val="en-US" w:eastAsia="zh-CN"/>
        </w:rPr>
        <w:t>投标文件</w:t>
      </w:r>
      <w:r>
        <w:rPr>
          <w:color w:val="auto"/>
          <w:lang w:val="en-US"/>
        </w:rPr>
        <w:t>的</w:t>
      </w:r>
      <w:r>
        <w:rPr>
          <w:rFonts w:hint="eastAsia"/>
          <w:color w:val="auto"/>
          <w:lang w:val="en-US"/>
        </w:rPr>
        <w:t>加密、解密</w:t>
      </w:r>
    </w:p>
    <w:p w14:paraId="5D2FC27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1.1 本项目采用电子化投标的方式。</w:t>
      </w:r>
      <w:r>
        <w:rPr>
          <w:rFonts w:hint="eastAsia"/>
          <w:color w:val="auto"/>
          <w:sz w:val="24"/>
          <w:szCs w:val="24"/>
          <w:lang w:val="en-US" w:eastAsia="zh-CN"/>
        </w:rPr>
        <w:t>供应商</w:t>
      </w:r>
      <w:r>
        <w:rPr>
          <w:rFonts w:hint="eastAsia"/>
          <w:color w:val="auto"/>
          <w:sz w:val="24"/>
          <w:szCs w:val="24"/>
          <w:lang w:val="en-US"/>
        </w:rPr>
        <w:t>须使用数字认证证书对电子投标进行签章、加密、递交及开标时解密等相关招投标事宜。采购代理机构将在招标公告规定的时间和地点组织开标大会。</w:t>
      </w:r>
    </w:p>
    <w:p w14:paraId="781F7E8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1.2 本项目采用</w:t>
      </w:r>
      <w:r>
        <w:rPr>
          <w:rStyle w:val="26"/>
          <w:rFonts w:hint="eastAsia" w:ascii="宋体" w:hAnsi="宋体" w:eastAsia="宋体" w:cs="宋体"/>
          <w:b/>
          <w:bCs/>
          <w:i w:val="0"/>
          <w:iCs w:val="0"/>
          <w:caps w:val="0"/>
          <w:color w:val="auto"/>
          <w:spacing w:val="0"/>
          <w:sz w:val="24"/>
          <w:szCs w:val="24"/>
          <w:highlight w:val="none"/>
          <w:shd w:val="clear" w:fill="FFFFFF"/>
        </w:rPr>
        <w:t>不见面开标：电子化投标方式投标</w:t>
      </w:r>
      <w:r>
        <w:rPr>
          <w:rStyle w:val="26"/>
          <w:rFonts w:hint="eastAsia" w:cs="宋体"/>
          <w:b/>
          <w:bCs/>
          <w:i w:val="0"/>
          <w:iCs w:val="0"/>
          <w:caps w:val="0"/>
          <w:color w:val="auto"/>
          <w:spacing w:val="0"/>
          <w:sz w:val="24"/>
          <w:szCs w:val="24"/>
          <w:highlight w:val="none"/>
          <w:shd w:val="clear" w:fill="FFFFFF"/>
          <w:lang w:eastAsia="zh-CN"/>
        </w:rPr>
        <w:t>，</w:t>
      </w:r>
      <w:r>
        <w:rPr>
          <w:rFonts w:hint="eastAsia"/>
          <w:color w:val="auto"/>
          <w:sz w:val="24"/>
          <w:szCs w:val="24"/>
          <w:lang w:val="en-US" w:eastAsia="zh-CN"/>
        </w:rPr>
        <w:t>供应商</w:t>
      </w:r>
      <w:r>
        <w:rPr>
          <w:rFonts w:hint="eastAsia"/>
          <w:color w:val="auto"/>
          <w:sz w:val="24"/>
          <w:szCs w:val="24"/>
          <w:lang w:val="en-US"/>
        </w:rPr>
        <w:t>递交的投标文件中电子印章与纸质印章影印件，电子签名与手写签名影印件，证明材料的复印件与扫描件均具备同等法律效力。</w:t>
      </w:r>
    </w:p>
    <w:p w14:paraId="669D1357">
      <w:pPr>
        <w:pStyle w:val="7"/>
        <w:pageBreakBefore w:val="0"/>
        <w:tabs>
          <w:tab w:val="left" w:pos="0"/>
        </w:tabs>
        <w:topLinePunct w:val="0"/>
        <w:bidi w:val="0"/>
        <w:spacing w:line="500" w:lineRule="exact"/>
        <w:ind w:left="0" w:leftChars="0" w:right="0" w:rightChars="0" w:firstLine="482" w:firstLineChars="200"/>
        <w:rPr>
          <w:color w:val="auto"/>
          <w:lang w:val="en-US"/>
        </w:rPr>
      </w:pPr>
      <w:r>
        <w:rPr>
          <w:rFonts w:hint="eastAsia"/>
          <w:color w:val="auto"/>
          <w:lang w:val="en-US"/>
        </w:rPr>
        <w:t>2．</w:t>
      </w:r>
      <w:r>
        <w:rPr>
          <w:rFonts w:hint="eastAsia"/>
          <w:color w:val="auto"/>
          <w:lang w:val="en-US" w:eastAsia="zh-CN"/>
        </w:rPr>
        <w:t>投标文件</w:t>
      </w:r>
      <w:r>
        <w:rPr>
          <w:color w:val="auto"/>
          <w:lang w:val="en-US"/>
        </w:rPr>
        <w:t>的修改和撤回</w:t>
      </w:r>
    </w:p>
    <w:p w14:paraId="2563B27F">
      <w:pPr>
        <w:pageBreakBefore w:val="0"/>
        <w:topLinePunct w:val="0"/>
        <w:bidi w:val="0"/>
        <w:spacing w:line="500" w:lineRule="exact"/>
        <w:ind w:left="0" w:leftChars="0" w:right="0" w:rightChars="0" w:firstLine="480" w:firstLineChars="200"/>
        <w:rPr>
          <w:color w:val="auto"/>
          <w:sz w:val="24"/>
        </w:rPr>
      </w:pPr>
      <w:r>
        <w:rPr>
          <w:rFonts w:hint="eastAsia"/>
          <w:color w:val="auto"/>
          <w:sz w:val="24"/>
          <w:lang w:val="en-US"/>
        </w:rPr>
        <w:t>2</w:t>
      </w:r>
      <w:r>
        <w:rPr>
          <w:rFonts w:hint="eastAsia"/>
          <w:color w:val="auto"/>
          <w:sz w:val="24"/>
        </w:rPr>
        <w:t>.1</w:t>
      </w:r>
      <w:r>
        <w:rPr>
          <w:color w:val="auto"/>
          <w:sz w:val="24"/>
        </w:rPr>
        <w:t xml:space="preserve"> </w:t>
      </w:r>
      <w:r>
        <w:rPr>
          <w:rFonts w:hint="eastAsia"/>
          <w:color w:val="auto"/>
          <w:sz w:val="24"/>
          <w:lang w:eastAsia="zh-CN"/>
        </w:rPr>
        <w:t>供应商</w:t>
      </w:r>
      <w:r>
        <w:rPr>
          <w:color w:val="auto"/>
          <w:sz w:val="24"/>
        </w:rPr>
        <w:t>在递交</w:t>
      </w:r>
      <w:r>
        <w:rPr>
          <w:rFonts w:hint="eastAsia"/>
          <w:color w:val="auto"/>
          <w:sz w:val="24"/>
          <w:lang w:eastAsia="zh-CN"/>
        </w:rPr>
        <w:t>投标文件</w:t>
      </w:r>
      <w:r>
        <w:rPr>
          <w:color w:val="auto"/>
          <w:sz w:val="24"/>
        </w:rPr>
        <w:t>后，</w:t>
      </w:r>
      <w:r>
        <w:rPr>
          <w:rFonts w:hint="eastAsia"/>
          <w:color w:val="auto"/>
          <w:sz w:val="24"/>
          <w:lang w:val="en-US"/>
        </w:rPr>
        <w:t>在开标</w:t>
      </w:r>
      <w:r>
        <w:rPr>
          <w:rFonts w:hint="eastAsia"/>
          <w:color w:val="auto"/>
          <w:sz w:val="24"/>
        </w:rPr>
        <w:t>截止时</w:t>
      </w:r>
      <w:r>
        <w:rPr>
          <w:rFonts w:hint="eastAsia"/>
          <w:color w:val="auto"/>
          <w:sz w:val="24"/>
          <w:lang w:eastAsia="zh-CN"/>
        </w:rPr>
        <w:t>间之</w:t>
      </w:r>
      <w:r>
        <w:rPr>
          <w:rFonts w:hint="eastAsia"/>
          <w:color w:val="auto"/>
          <w:sz w:val="24"/>
        </w:rPr>
        <w:t>前，</w:t>
      </w:r>
      <w:r>
        <w:rPr>
          <w:color w:val="auto"/>
          <w:sz w:val="24"/>
        </w:rPr>
        <w:t>可以修改或撤回其</w:t>
      </w:r>
      <w:r>
        <w:rPr>
          <w:rFonts w:hint="eastAsia"/>
          <w:color w:val="auto"/>
          <w:sz w:val="24"/>
          <w:lang w:eastAsia="zh-CN"/>
        </w:rPr>
        <w:t>投标文件</w:t>
      </w:r>
      <w:r>
        <w:rPr>
          <w:rFonts w:hint="eastAsia"/>
          <w:color w:val="auto"/>
          <w:sz w:val="24"/>
        </w:rPr>
        <w:t>，并在规定的</w:t>
      </w:r>
      <w:r>
        <w:rPr>
          <w:rFonts w:hint="eastAsia"/>
          <w:color w:val="auto"/>
          <w:sz w:val="24"/>
          <w:lang w:val="en-US"/>
        </w:rPr>
        <w:t>开标</w:t>
      </w:r>
      <w:r>
        <w:rPr>
          <w:rFonts w:hint="eastAsia"/>
          <w:color w:val="auto"/>
          <w:sz w:val="24"/>
        </w:rPr>
        <w:t>截止期之前，将修改或撤回的</w:t>
      </w:r>
      <w:r>
        <w:rPr>
          <w:rFonts w:hint="eastAsia"/>
          <w:color w:val="auto"/>
          <w:sz w:val="24"/>
          <w:lang w:eastAsia="zh-CN"/>
        </w:rPr>
        <w:t>投标文件</w:t>
      </w:r>
      <w:r>
        <w:rPr>
          <w:rFonts w:hint="eastAsia"/>
          <w:color w:val="auto"/>
          <w:sz w:val="24"/>
        </w:rPr>
        <w:t>上传到交易平台，逾期递交的</w:t>
      </w:r>
      <w:r>
        <w:rPr>
          <w:rFonts w:hint="eastAsia"/>
          <w:color w:val="auto"/>
          <w:sz w:val="24"/>
          <w:lang w:eastAsia="zh-CN"/>
        </w:rPr>
        <w:t>投标文件</w:t>
      </w:r>
      <w:r>
        <w:rPr>
          <w:rFonts w:hint="eastAsia"/>
          <w:color w:val="auto"/>
          <w:sz w:val="24"/>
        </w:rPr>
        <w:t>将不予受理。</w:t>
      </w:r>
    </w:p>
    <w:p w14:paraId="2A7ECB72">
      <w:pPr>
        <w:pageBreakBefore w:val="0"/>
        <w:topLinePunct w:val="0"/>
        <w:bidi w:val="0"/>
        <w:spacing w:line="500" w:lineRule="exact"/>
        <w:ind w:left="0" w:leftChars="0" w:right="0" w:rightChars="0" w:firstLine="480" w:firstLineChars="200"/>
        <w:rPr>
          <w:color w:val="auto"/>
          <w:sz w:val="24"/>
        </w:rPr>
      </w:pPr>
      <w:r>
        <w:rPr>
          <w:rFonts w:hint="eastAsia"/>
          <w:color w:val="auto"/>
          <w:sz w:val="24"/>
          <w:lang w:val="en-US"/>
        </w:rPr>
        <w:t>2</w:t>
      </w:r>
      <w:r>
        <w:rPr>
          <w:rFonts w:hint="eastAsia"/>
          <w:color w:val="auto"/>
          <w:sz w:val="24"/>
        </w:rPr>
        <w:t>.2</w:t>
      </w:r>
      <w:r>
        <w:rPr>
          <w:color w:val="auto"/>
          <w:sz w:val="24"/>
        </w:rPr>
        <w:t xml:space="preserve"> 在</w:t>
      </w:r>
      <w:r>
        <w:rPr>
          <w:rFonts w:hint="eastAsia"/>
          <w:color w:val="auto"/>
          <w:sz w:val="24"/>
          <w:lang w:val="en-US"/>
        </w:rPr>
        <w:t>开标</w:t>
      </w:r>
      <w:r>
        <w:rPr>
          <w:color w:val="auto"/>
          <w:sz w:val="24"/>
        </w:rPr>
        <w:t>截</w:t>
      </w:r>
      <w:r>
        <w:rPr>
          <w:rFonts w:hint="eastAsia"/>
          <w:color w:val="auto"/>
          <w:sz w:val="24"/>
        </w:rPr>
        <w:t>止日</w:t>
      </w:r>
      <w:r>
        <w:rPr>
          <w:color w:val="auto"/>
          <w:sz w:val="24"/>
        </w:rPr>
        <w:t>期之后，</w:t>
      </w:r>
      <w:r>
        <w:rPr>
          <w:rFonts w:hint="eastAsia"/>
          <w:color w:val="auto"/>
          <w:sz w:val="24"/>
          <w:lang w:eastAsia="zh-CN"/>
        </w:rPr>
        <w:t>供应商</w:t>
      </w:r>
      <w:r>
        <w:rPr>
          <w:color w:val="auto"/>
          <w:sz w:val="24"/>
        </w:rPr>
        <w:t>不得对其</w:t>
      </w:r>
      <w:r>
        <w:rPr>
          <w:rFonts w:hint="eastAsia"/>
          <w:color w:val="auto"/>
          <w:sz w:val="24"/>
          <w:lang w:eastAsia="zh-CN"/>
        </w:rPr>
        <w:t>投标文件</w:t>
      </w:r>
      <w:r>
        <w:rPr>
          <w:color w:val="auto"/>
          <w:sz w:val="24"/>
        </w:rPr>
        <w:t>做任何修改。</w:t>
      </w:r>
    </w:p>
    <w:p w14:paraId="1005840A">
      <w:pPr>
        <w:pageBreakBefore w:val="0"/>
        <w:topLinePunct w:val="0"/>
        <w:bidi w:val="0"/>
        <w:spacing w:line="500" w:lineRule="exact"/>
        <w:ind w:left="0" w:leftChars="0" w:right="0" w:rightChars="0" w:firstLine="480" w:firstLineChars="200"/>
        <w:rPr>
          <w:color w:val="auto"/>
          <w:sz w:val="24"/>
        </w:rPr>
      </w:pPr>
      <w:r>
        <w:rPr>
          <w:rFonts w:hint="eastAsia"/>
          <w:color w:val="auto"/>
          <w:sz w:val="24"/>
          <w:lang w:val="en-US"/>
        </w:rPr>
        <w:t>2</w:t>
      </w:r>
      <w:r>
        <w:rPr>
          <w:rFonts w:hint="eastAsia"/>
          <w:color w:val="auto"/>
          <w:sz w:val="24"/>
        </w:rPr>
        <w:t>.3 从</w:t>
      </w:r>
      <w:r>
        <w:rPr>
          <w:rFonts w:hint="eastAsia"/>
          <w:color w:val="auto"/>
          <w:sz w:val="24"/>
          <w:lang w:val="en-US"/>
        </w:rPr>
        <w:t>开标</w:t>
      </w:r>
      <w:r>
        <w:rPr>
          <w:rFonts w:hint="eastAsia"/>
          <w:color w:val="auto"/>
          <w:sz w:val="24"/>
        </w:rPr>
        <w:t>截止期始至</w:t>
      </w:r>
      <w:r>
        <w:rPr>
          <w:rFonts w:hint="eastAsia"/>
          <w:color w:val="auto"/>
          <w:sz w:val="24"/>
          <w:lang w:val="en-US"/>
        </w:rPr>
        <w:t>招标</w:t>
      </w:r>
      <w:r>
        <w:rPr>
          <w:rFonts w:hint="eastAsia"/>
          <w:color w:val="auto"/>
          <w:sz w:val="24"/>
        </w:rPr>
        <w:t>文件确定的</w:t>
      </w:r>
      <w:r>
        <w:rPr>
          <w:rFonts w:hint="eastAsia"/>
          <w:color w:val="auto"/>
          <w:sz w:val="24"/>
          <w:lang w:eastAsia="zh-CN"/>
        </w:rPr>
        <w:t>投标文件</w:t>
      </w:r>
      <w:r>
        <w:rPr>
          <w:rFonts w:hint="eastAsia"/>
          <w:color w:val="auto"/>
          <w:sz w:val="24"/>
        </w:rPr>
        <w:t>有效期期满这段时间内，</w:t>
      </w:r>
      <w:r>
        <w:rPr>
          <w:rFonts w:hint="eastAsia"/>
          <w:color w:val="auto"/>
          <w:sz w:val="24"/>
          <w:lang w:eastAsia="zh-CN"/>
        </w:rPr>
        <w:t>供应商</w:t>
      </w:r>
      <w:r>
        <w:rPr>
          <w:rFonts w:hint="eastAsia"/>
          <w:color w:val="auto"/>
          <w:sz w:val="24"/>
        </w:rPr>
        <w:t>不得撤回其</w:t>
      </w:r>
      <w:r>
        <w:rPr>
          <w:rFonts w:hint="eastAsia"/>
          <w:color w:val="auto"/>
          <w:sz w:val="24"/>
          <w:lang w:eastAsia="zh-CN"/>
        </w:rPr>
        <w:t>投标文件</w:t>
      </w:r>
      <w:r>
        <w:rPr>
          <w:rFonts w:hint="eastAsia"/>
          <w:color w:val="auto"/>
          <w:sz w:val="24"/>
        </w:rPr>
        <w:t>，否则后果自负。</w:t>
      </w:r>
    </w:p>
    <w:p w14:paraId="15277F4D">
      <w:pPr>
        <w:pStyle w:val="7"/>
        <w:pageBreakBefore w:val="0"/>
        <w:tabs>
          <w:tab w:val="left" w:pos="0"/>
        </w:tabs>
        <w:topLinePunct w:val="0"/>
        <w:bidi w:val="0"/>
        <w:spacing w:line="500" w:lineRule="exact"/>
        <w:ind w:left="0" w:leftChars="0" w:right="0" w:rightChars="0" w:firstLine="482" w:firstLineChars="200"/>
        <w:rPr>
          <w:color w:val="auto"/>
          <w:lang w:val="en-US"/>
        </w:rPr>
      </w:pPr>
      <w:r>
        <w:rPr>
          <w:color w:val="auto"/>
          <w:lang w:val="en-US"/>
        </w:rPr>
        <w:t>3</w:t>
      </w:r>
      <w:r>
        <w:rPr>
          <w:rFonts w:hint="eastAsia"/>
          <w:color w:val="auto"/>
          <w:lang w:val="en-US" w:eastAsia="zh-CN"/>
        </w:rPr>
        <w:t>.</w:t>
      </w:r>
      <w:r>
        <w:rPr>
          <w:color w:val="auto"/>
          <w:lang w:val="en-US"/>
        </w:rPr>
        <w:t>投标有效期</w:t>
      </w:r>
    </w:p>
    <w:p w14:paraId="30B72BE5">
      <w:pPr>
        <w:pageBreakBefore w:val="0"/>
        <w:topLinePunct w:val="0"/>
        <w:bidi w:val="0"/>
        <w:spacing w:line="500" w:lineRule="exact"/>
        <w:ind w:left="0" w:leftChars="0" w:right="0" w:rightChars="0" w:firstLine="480" w:firstLineChars="200"/>
        <w:rPr>
          <w:color w:val="auto"/>
          <w:sz w:val="24"/>
          <w:lang w:val="en-US"/>
        </w:rPr>
      </w:pPr>
      <w:r>
        <w:rPr>
          <w:color w:val="auto"/>
          <w:sz w:val="24"/>
          <w:lang w:val="en-US"/>
        </w:rPr>
        <w:t>3</w:t>
      </w:r>
      <w:r>
        <w:rPr>
          <w:rFonts w:hint="eastAsia"/>
          <w:color w:val="auto"/>
          <w:sz w:val="24"/>
          <w:lang w:val="en-US"/>
        </w:rPr>
        <w:t>.1</w:t>
      </w:r>
      <w:r>
        <w:rPr>
          <w:rFonts w:hint="eastAsia"/>
          <w:color w:val="auto"/>
          <w:sz w:val="24"/>
          <w:lang w:val="en-US" w:eastAsia="zh-CN"/>
        </w:rPr>
        <w:t>投标文件</w:t>
      </w:r>
      <w:r>
        <w:rPr>
          <w:rFonts w:hint="eastAsia"/>
          <w:color w:val="auto"/>
          <w:sz w:val="24"/>
          <w:lang w:val="en-US"/>
        </w:rPr>
        <w:t>有效期为开标之日起九十（90）天。</w:t>
      </w:r>
      <w:r>
        <w:rPr>
          <w:rFonts w:hint="eastAsia"/>
          <w:color w:val="auto"/>
          <w:sz w:val="24"/>
          <w:lang w:val="en-US" w:eastAsia="zh-CN"/>
        </w:rPr>
        <w:t>供应商</w:t>
      </w:r>
      <w:r>
        <w:rPr>
          <w:rFonts w:hint="eastAsia"/>
          <w:color w:val="auto"/>
          <w:sz w:val="24"/>
          <w:lang w:val="en-US"/>
        </w:rPr>
        <w:t>的</w:t>
      </w:r>
      <w:r>
        <w:rPr>
          <w:rFonts w:hint="eastAsia"/>
          <w:color w:val="auto"/>
          <w:sz w:val="24"/>
          <w:lang w:val="en-US" w:eastAsia="zh-CN"/>
        </w:rPr>
        <w:t>投标文件</w:t>
      </w:r>
      <w:r>
        <w:rPr>
          <w:rFonts w:hint="eastAsia"/>
          <w:color w:val="auto"/>
          <w:sz w:val="24"/>
          <w:lang w:val="en-US"/>
        </w:rPr>
        <w:t>有效期比招标文件规定短的将被视为非响应性投标，按无效投标处理。</w:t>
      </w:r>
    </w:p>
    <w:p w14:paraId="7257B77C">
      <w:pPr>
        <w:pageBreakBefore w:val="0"/>
        <w:topLinePunct w:val="0"/>
        <w:bidi w:val="0"/>
        <w:spacing w:line="500" w:lineRule="exact"/>
        <w:ind w:left="0" w:leftChars="0" w:right="0" w:rightChars="0" w:firstLine="480" w:firstLineChars="200"/>
        <w:rPr>
          <w:color w:val="auto"/>
          <w:sz w:val="24"/>
          <w:lang w:val="en-US"/>
        </w:rPr>
      </w:pPr>
      <w:r>
        <w:rPr>
          <w:color w:val="auto"/>
          <w:sz w:val="24"/>
          <w:lang w:val="en-US"/>
        </w:rPr>
        <w:t>3</w:t>
      </w:r>
      <w:r>
        <w:rPr>
          <w:rFonts w:hint="eastAsia"/>
          <w:color w:val="auto"/>
          <w:sz w:val="24"/>
          <w:lang w:val="en-US"/>
        </w:rPr>
        <w:t>.2在特殊情况下，在原</w:t>
      </w:r>
      <w:r>
        <w:rPr>
          <w:rFonts w:hint="eastAsia"/>
          <w:color w:val="auto"/>
          <w:sz w:val="24"/>
          <w:lang w:val="en-US" w:eastAsia="zh-CN"/>
        </w:rPr>
        <w:t>投标文件</w:t>
      </w:r>
      <w:r>
        <w:rPr>
          <w:rFonts w:hint="eastAsia"/>
          <w:color w:val="auto"/>
          <w:sz w:val="24"/>
          <w:lang w:val="en-US"/>
        </w:rPr>
        <w:t>有效期期满之前，</w:t>
      </w:r>
      <w:r>
        <w:rPr>
          <w:rFonts w:hint="eastAsia"/>
          <w:color w:val="auto"/>
          <w:sz w:val="24"/>
          <w:lang w:val="en-US" w:eastAsia="zh-CN"/>
        </w:rPr>
        <w:t>采购人</w:t>
      </w:r>
      <w:r>
        <w:rPr>
          <w:rFonts w:hint="eastAsia"/>
          <w:color w:val="auto"/>
          <w:sz w:val="24"/>
          <w:lang w:val="en-US"/>
        </w:rPr>
        <w:t>可征得</w:t>
      </w:r>
      <w:r>
        <w:rPr>
          <w:rFonts w:hint="eastAsia"/>
          <w:color w:val="auto"/>
          <w:sz w:val="24"/>
          <w:lang w:val="en-US" w:eastAsia="zh-CN"/>
        </w:rPr>
        <w:t>供应商</w:t>
      </w:r>
      <w:r>
        <w:rPr>
          <w:rFonts w:hint="eastAsia"/>
          <w:color w:val="auto"/>
          <w:sz w:val="24"/>
          <w:lang w:val="en-US"/>
        </w:rPr>
        <w:t>同意延长</w:t>
      </w:r>
      <w:r>
        <w:rPr>
          <w:rFonts w:hint="eastAsia"/>
          <w:color w:val="auto"/>
          <w:sz w:val="24"/>
          <w:lang w:val="en-US" w:eastAsia="zh-CN"/>
        </w:rPr>
        <w:t>投标</w:t>
      </w:r>
      <w:r>
        <w:rPr>
          <w:rFonts w:hint="eastAsia"/>
          <w:color w:val="auto"/>
          <w:sz w:val="24"/>
          <w:lang w:val="en-US"/>
        </w:rPr>
        <w:t>文件有效期。这种要求与答复均应为书面形式提交。</w:t>
      </w:r>
    </w:p>
    <w:p w14:paraId="346B48BB">
      <w:pPr>
        <w:pStyle w:val="7"/>
        <w:pageBreakBefore w:val="0"/>
        <w:topLinePunct w:val="0"/>
        <w:bidi w:val="0"/>
        <w:spacing w:line="500" w:lineRule="exact"/>
        <w:ind w:left="0" w:leftChars="0" w:right="0" w:rightChars="0" w:firstLine="482" w:firstLineChars="200"/>
        <w:rPr>
          <w:color w:val="auto"/>
          <w:lang w:val="en-US"/>
        </w:rPr>
      </w:pPr>
      <w:r>
        <w:rPr>
          <w:color w:val="auto"/>
          <w:lang w:val="en-US"/>
        </w:rPr>
        <w:t>4</w:t>
      </w:r>
      <w:r>
        <w:rPr>
          <w:rFonts w:hint="eastAsia"/>
          <w:color w:val="auto"/>
          <w:lang w:val="en-US" w:eastAsia="zh-CN"/>
        </w:rPr>
        <w:t>.供应商</w:t>
      </w:r>
      <w:r>
        <w:rPr>
          <w:rFonts w:hint="eastAsia"/>
          <w:color w:val="auto"/>
          <w:lang w:val="en-US"/>
        </w:rPr>
        <w:t>有下列情形之一的，属于恶意串通，对其依照</w:t>
      </w:r>
      <w:r>
        <w:rPr>
          <w:rFonts w:hint="eastAsia"/>
          <w:color w:val="auto"/>
          <w:lang w:val="en-US" w:eastAsia="zh-CN"/>
        </w:rPr>
        <w:t>《中华人民共和国政府采购法》及其实施条例、《政府采购货物和服务招标投标管理办法》（财政部令第87号）</w:t>
      </w:r>
      <w:r>
        <w:rPr>
          <w:rFonts w:hint="eastAsia"/>
          <w:color w:val="auto"/>
          <w:lang w:val="en-US"/>
        </w:rPr>
        <w:t>第七十七条第一款的规定追究法律责任，投标无效</w:t>
      </w:r>
      <w:r>
        <w:rPr>
          <w:rFonts w:hint="eastAsia"/>
          <w:b w:val="0"/>
          <w:bCs w:val="0"/>
          <w:color w:val="auto"/>
          <w:lang w:val="en-US"/>
        </w:rPr>
        <w:t>。</w:t>
      </w:r>
    </w:p>
    <w:p w14:paraId="3206ABAB">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4</w:t>
      </w:r>
      <w:r>
        <w:rPr>
          <w:rFonts w:hint="eastAsia"/>
          <w:color w:val="auto"/>
          <w:sz w:val="24"/>
          <w:szCs w:val="24"/>
          <w:lang w:val="en-US"/>
        </w:rPr>
        <w:t>.1</w:t>
      </w:r>
      <w:r>
        <w:rPr>
          <w:rFonts w:hint="eastAsia"/>
          <w:color w:val="auto"/>
          <w:sz w:val="24"/>
          <w:szCs w:val="24"/>
          <w:lang w:val="en-US" w:eastAsia="zh-CN"/>
        </w:rPr>
        <w:t>供应商</w:t>
      </w:r>
      <w:r>
        <w:rPr>
          <w:rFonts w:hint="eastAsia"/>
          <w:color w:val="auto"/>
          <w:sz w:val="24"/>
          <w:szCs w:val="24"/>
          <w:lang w:val="en-US"/>
        </w:rPr>
        <w:t>直接或者间接从采购人或采购代理机构处获得其他</w:t>
      </w:r>
      <w:r>
        <w:rPr>
          <w:rFonts w:hint="eastAsia"/>
          <w:color w:val="auto"/>
          <w:sz w:val="24"/>
          <w:szCs w:val="24"/>
          <w:lang w:val="en-US" w:eastAsia="zh-CN"/>
        </w:rPr>
        <w:t>供应商</w:t>
      </w:r>
      <w:r>
        <w:rPr>
          <w:rFonts w:hint="eastAsia"/>
          <w:color w:val="auto"/>
          <w:sz w:val="24"/>
          <w:szCs w:val="24"/>
          <w:lang w:val="en-US"/>
        </w:rPr>
        <w:t>的相关情况并修改其投标文件；</w:t>
      </w:r>
    </w:p>
    <w:p w14:paraId="3B262801">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4</w:t>
      </w:r>
      <w:r>
        <w:rPr>
          <w:rFonts w:hint="eastAsia"/>
          <w:color w:val="auto"/>
          <w:sz w:val="24"/>
          <w:szCs w:val="24"/>
          <w:lang w:val="en-US"/>
        </w:rPr>
        <w:t>.2</w:t>
      </w:r>
      <w:r>
        <w:rPr>
          <w:rFonts w:hint="eastAsia"/>
          <w:color w:val="auto"/>
          <w:sz w:val="24"/>
          <w:szCs w:val="24"/>
          <w:lang w:val="en-US" w:eastAsia="zh-CN"/>
        </w:rPr>
        <w:t>供应商</w:t>
      </w:r>
      <w:r>
        <w:rPr>
          <w:rFonts w:hint="eastAsia"/>
          <w:color w:val="auto"/>
          <w:sz w:val="24"/>
          <w:szCs w:val="24"/>
          <w:lang w:val="en-US"/>
        </w:rPr>
        <w:t>按照采购人或采购代理机构的授意撤换、修改投标文件；</w:t>
      </w:r>
    </w:p>
    <w:p w14:paraId="66EC97BD">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4</w:t>
      </w:r>
      <w:r>
        <w:rPr>
          <w:rFonts w:hint="eastAsia"/>
          <w:color w:val="auto"/>
          <w:sz w:val="24"/>
          <w:szCs w:val="24"/>
          <w:lang w:val="en-US"/>
        </w:rPr>
        <w:t>.3</w:t>
      </w:r>
      <w:r>
        <w:rPr>
          <w:rFonts w:hint="eastAsia"/>
          <w:color w:val="auto"/>
          <w:sz w:val="24"/>
          <w:szCs w:val="24"/>
          <w:lang w:val="en-US" w:eastAsia="zh-CN"/>
        </w:rPr>
        <w:t>供应商</w:t>
      </w:r>
      <w:r>
        <w:rPr>
          <w:rFonts w:hint="eastAsia"/>
          <w:color w:val="auto"/>
          <w:sz w:val="24"/>
          <w:szCs w:val="24"/>
          <w:lang w:val="en-US"/>
        </w:rPr>
        <w:t>之间协商报价、技术方案等投标文件的实质性内容；</w:t>
      </w:r>
    </w:p>
    <w:p w14:paraId="087839B9">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4</w:t>
      </w:r>
      <w:r>
        <w:rPr>
          <w:rFonts w:hint="eastAsia"/>
          <w:color w:val="auto"/>
          <w:sz w:val="24"/>
          <w:szCs w:val="24"/>
          <w:lang w:val="en-US"/>
        </w:rPr>
        <w:t>.4属于同一集团、协会、商会等组织成员的</w:t>
      </w:r>
      <w:r>
        <w:rPr>
          <w:rFonts w:hint="eastAsia"/>
          <w:color w:val="auto"/>
          <w:sz w:val="24"/>
          <w:szCs w:val="24"/>
          <w:lang w:val="en-US" w:eastAsia="zh-CN"/>
        </w:rPr>
        <w:t>供应商</w:t>
      </w:r>
      <w:r>
        <w:rPr>
          <w:rFonts w:hint="eastAsia"/>
          <w:color w:val="auto"/>
          <w:sz w:val="24"/>
          <w:szCs w:val="24"/>
          <w:lang w:val="en-US"/>
        </w:rPr>
        <w:t>按照该组织要求协同参加政府采购活动；</w:t>
      </w:r>
    </w:p>
    <w:p w14:paraId="0F96E673">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4</w:t>
      </w:r>
      <w:r>
        <w:rPr>
          <w:rFonts w:hint="eastAsia"/>
          <w:color w:val="auto"/>
          <w:sz w:val="24"/>
          <w:szCs w:val="24"/>
          <w:lang w:val="en-US"/>
        </w:rPr>
        <w:t>.5</w:t>
      </w:r>
      <w:r>
        <w:rPr>
          <w:rFonts w:hint="eastAsia"/>
          <w:color w:val="auto"/>
          <w:sz w:val="24"/>
          <w:szCs w:val="24"/>
          <w:lang w:val="en-US" w:eastAsia="zh-CN"/>
        </w:rPr>
        <w:t>供应商</w:t>
      </w:r>
      <w:r>
        <w:rPr>
          <w:rFonts w:hint="eastAsia"/>
          <w:color w:val="auto"/>
          <w:sz w:val="24"/>
          <w:szCs w:val="24"/>
          <w:lang w:val="en-US"/>
        </w:rPr>
        <w:t>之间事先约定由某一特定</w:t>
      </w:r>
      <w:r>
        <w:rPr>
          <w:rFonts w:hint="eastAsia"/>
          <w:color w:val="auto"/>
          <w:sz w:val="24"/>
          <w:szCs w:val="24"/>
          <w:lang w:val="en-US" w:eastAsia="zh-CN"/>
        </w:rPr>
        <w:t>供应商</w:t>
      </w:r>
      <w:r>
        <w:rPr>
          <w:rFonts w:hint="eastAsia"/>
          <w:color w:val="auto"/>
          <w:sz w:val="24"/>
          <w:szCs w:val="24"/>
          <w:lang w:val="en-US"/>
        </w:rPr>
        <w:t>中标；</w:t>
      </w:r>
    </w:p>
    <w:p w14:paraId="3068F5A6">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4</w:t>
      </w:r>
      <w:r>
        <w:rPr>
          <w:rFonts w:hint="eastAsia"/>
          <w:color w:val="auto"/>
          <w:sz w:val="24"/>
          <w:szCs w:val="24"/>
          <w:lang w:val="en-US"/>
        </w:rPr>
        <w:t>.6</w:t>
      </w:r>
      <w:r>
        <w:rPr>
          <w:rFonts w:hint="eastAsia"/>
          <w:color w:val="auto"/>
          <w:sz w:val="24"/>
          <w:szCs w:val="24"/>
          <w:lang w:val="en-US" w:eastAsia="zh-CN"/>
        </w:rPr>
        <w:t>供应商</w:t>
      </w:r>
      <w:r>
        <w:rPr>
          <w:rFonts w:hint="eastAsia"/>
          <w:color w:val="auto"/>
          <w:sz w:val="24"/>
          <w:szCs w:val="24"/>
          <w:lang w:val="en-US"/>
        </w:rPr>
        <w:t>之间商定部分</w:t>
      </w:r>
      <w:r>
        <w:rPr>
          <w:rFonts w:hint="eastAsia"/>
          <w:color w:val="auto"/>
          <w:sz w:val="24"/>
          <w:szCs w:val="24"/>
          <w:lang w:val="en-US" w:eastAsia="zh-CN"/>
        </w:rPr>
        <w:t>供应商</w:t>
      </w:r>
      <w:r>
        <w:rPr>
          <w:rFonts w:hint="eastAsia"/>
          <w:color w:val="auto"/>
          <w:sz w:val="24"/>
          <w:szCs w:val="24"/>
          <w:lang w:val="en-US"/>
        </w:rPr>
        <w:t>放弃参加政府采购活动或放弃中标；</w:t>
      </w:r>
    </w:p>
    <w:p w14:paraId="111646BD">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4</w:t>
      </w:r>
      <w:r>
        <w:rPr>
          <w:rFonts w:hint="eastAsia"/>
          <w:color w:val="auto"/>
          <w:sz w:val="24"/>
          <w:szCs w:val="24"/>
          <w:lang w:val="en-US"/>
        </w:rPr>
        <w:t>.7</w:t>
      </w:r>
      <w:r>
        <w:rPr>
          <w:rFonts w:hint="eastAsia"/>
          <w:color w:val="auto"/>
          <w:sz w:val="24"/>
          <w:szCs w:val="24"/>
          <w:lang w:val="en-US" w:eastAsia="zh-CN"/>
        </w:rPr>
        <w:t>供应商</w:t>
      </w:r>
      <w:r>
        <w:rPr>
          <w:rFonts w:hint="eastAsia"/>
          <w:color w:val="auto"/>
          <w:sz w:val="24"/>
          <w:szCs w:val="24"/>
          <w:lang w:val="en-US"/>
        </w:rPr>
        <w:t>相互之间，为谋求特定</w:t>
      </w:r>
      <w:r>
        <w:rPr>
          <w:rFonts w:hint="eastAsia"/>
          <w:color w:val="auto"/>
          <w:sz w:val="24"/>
          <w:szCs w:val="24"/>
          <w:lang w:val="en-US" w:eastAsia="zh-CN"/>
        </w:rPr>
        <w:t>供应商</w:t>
      </w:r>
      <w:r>
        <w:rPr>
          <w:rFonts w:hint="eastAsia"/>
          <w:color w:val="auto"/>
          <w:sz w:val="24"/>
          <w:szCs w:val="24"/>
          <w:lang w:val="en-US"/>
        </w:rPr>
        <w:t>中标或排斥其他</w:t>
      </w:r>
      <w:r>
        <w:rPr>
          <w:rFonts w:hint="eastAsia"/>
          <w:color w:val="auto"/>
          <w:sz w:val="24"/>
          <w:szCs w:val="24"/>
          <w:lang w:val="en-US" w:eastAsia="zh-CN"/>
        </w:rPr>
        <w:t>供应商</w:t>
      </w:r>
      <w:r>
        <w:rPr>
          <w:rFonts w:hint="eastAsia"/>
          <w:color w:val="auto"/>
          <w:sz w:val="24"/>
          <w:szCs w:val="24"/>
          <w:lang w:val="en-US"/>
        </w:rPr>
        <w:t>的其他串通行为。</w:t>
      </w:r>
    </w:p>
    <w:p w14:paraId="29A3672D">
      <w:pPr>
        <w:pStyle w:val="7"/>
        <w:pageBreakBefore w:val="0"/>
        <w:topLinePunct w:val="0"/>
        <w:bidi w:val="0"/>
        <w:spacing w:line="500" w:lineRule="exact"/>
        <w:ind w:left="0" w:leftChars="0" w:right="0" w:rightChars="0" w:firstLine="482" w:firstLineChars="200"/>
        <w:rPr>
          <w:color w:val="auto"/>
        </w:rPr>
      </w:pPr>
      <w:r>
        <w:rPr>
          <w:color w:val="auto"/>
        </w:rPr>
        <w:t>5</w:t>
      </w:r>
      <w:r>
        <w:rPr>
          <w:rFonts w:hint="eastAsia"/>
          <w:color w:val="auto"/>
          <w:lang w:val="en-US" w:eastAsia="zh-CN"/>
        </w:rPr>
        <w:t>.</w:t>
      </w:r>
      <w:r>
        <w:rPr>
          <w:color w:val="auto"/>
        </w:rPr>
        <w:t>有下列情形之一的，视为</w:t>
      </w:r>
      <w:r>
        <w:rPr>
          <w:rFonts w:hint="eastAsia"/>
          <w:color w:val="auto"/>
          <w:lang w:eastAsia="zh-CN"/>
        </w:rPr>
        <w:t>供应商</w:t>
      </w:r>
      <w:r>
        <w:rPr>
          <w:color w:val="auto"/>
        </w:rPr>
        <w:t>串通投标，其投标无效：</w:t>
      </w:r>
    </w:p>
    <w:p w14:paraId="7F8102F7">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5</w:t>
      </w:r>
      <w:r>
        <w:rPr>
          <w:rFonts w:hint="eastAsia"/>
          <w:color w:val="auto"/>
          <w:sz w:val="24"/>
          <w:szCs w:val="24"/>
          <w:lang w:val="en-US"/>
        </w:rPr>
        <w:t>.1不同</w:t>
      </w:r>
      <w:r>
        <w:rPr>
          <w:rFonts w:hint="eastAsia"/>
          <w:color w:val="auto"/>
          <w:sz w:val="24"/>
          <w:szCs w:val="24"/>
          <w:lang w:val="en-US" w:eastAsia="zh-CN"/>
        </w:rPr>
        <w:t>供应商</w:t>
      </w:r>
      <w:r>
        <w:rPr>
          <w:rFonts w:hint="eastAsia"/>
          <w:color w:val="auto"/>
          <w:sz w:val="24"/>
          <w:szCs w:val="24"/>
          <w:lang w:val="en-US"/>
        </w:rPr>
        <w:t>的投标文件由同一单位或者个人编制；</w:t>
      </w:r>
    </w:p>
    <w:p w14:paraId="5F88A3A0">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5</w:t>
      </w:r>
      <w:r>
        <w:rPr>
          <w:rFonts w:hint="eastAsia"/>
          <w:color w:val="auto"/>
          <w:sz w:val="24"/>
          <w:szCs w:val="24"/>
          <w:lang w:val="en-US"/>
        </w:rPr>
        <w:t>.2不同</w:t>
      </w:r>
      <w:r>
        <w:rPr>
          <w:rFonts w:hint="eastAsia"/>
          <w:color w:val="auto"/>
          <w:sz w:val="24"/>
          <w:szCs w:val="24"/>
          <w:lang w:val="en-US" w:eastAsia="zh-CN"/>
        </w:rPr>
        <w:t>供应商</w:t>
      </w:r>
      <w:r>
        <w:rPr>
          <w:rFonts w:hint="eastAsia"/>
          <w:color w:val="auto"/>
          <w:sz w:val="24"/>
          <w:szCs w:val="24"/>
          <w:lang w:val="en-US"/>
        </w:rPr>
        <w:t>委托同一单位或者个人办理投标事宜；</w:t>
      </w:r>
    </w:p>
    <w:p w14:paraId="2BDB87F5">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5</w:t>
      </w:r>
      <w:r>
        <w:rPr>
          <w:rFonts w:hint="eastAsia"/>
          <w:color w:val="auto"/>
          <w:sz w:val="24"/>
          <w:szCs w:val="24"/>
          <w:lang w:val="en-US"/>
        </w:rPr>
        <w:t>.3不同</w:t>
      </w:r>
      <w:r>
        <w:rPr>
          <w:rFonts w:hint="eastAsia"/>
          <w:color w:val="auto"/>
          <w:sz w:val="24"/>
          <w:szCs w:val="24"/>
          <w:lang w:val="en-US" w:eastAsia="zh-CN"/>
        </w:rPr>
        <w:t>供应商</w:t>
      </w:r>
      <w:r>
        <w:rPr>
          <w:rFonts w:hint="eastAsia"/>
          <w:color w:val="auto"/>
          <w:sz w:val="24"/>
          <w:szCs w:val="24"/>
          <w:lang w:val="en-US"/>
        </w:rPr>
        <w:t>的投标文件载明的项目管理成员或者联系人为同一人；</w:t>
      </w:r>
    </w:p>
    <w:p w14:paraId="70DB346A">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5</w:t>
      </w:r>
      <w:r>
        <w:rPr>
          <w:rFonts w:hint="eastAsia"/>
          <w:color w:val="auto"/>
          <w:sz w:val="24"/>
          <w:szCs w:val="24"/>
          <w:lang w:val="en-US"/>
        </w:rPr>
        <w:t>.4不同</w:t>
      </w:r>
      <w:r>
        <w:rPr>
          <w:rFonts w:hint="eastAsia"/>
          <w:color w:val="auto"/>
          <w:sz w:val="24"/>
          <w:szCs w:val="24"/>
          <w:lang w:val="en-US" w:eastAsia="zh-CN"/>
        </w:rPr>
        <w:t>供应商</w:t>
      </w:r>
      <w:r>
        <w:rPr>
          <w:rFonts w:hint="eastAsia"/>
          <w:color w:val="auto"/>
          <w:sz w:val="24"/>
          <w:szCs w:val="24"/>
          <w:lang w:val="en-US"/>
        </w:rPr>
        <w:t>的投标文件异常一致或者投标报价呈现规律性差异；</w:t>
      </w:r>
    </w:p>
    <w:p w14:paraId="438C75E3">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5</w:t>
      </w:r>
      <w:r>
        <w:rPr>
          <w:rFonts w:hint="eastAsia"/>
          <w:color w:val="auto"/>
          <w:sz w:val="24"/>
          <w:szCs w:val="24"/>
          <w:lang w:val="en-US"/>
        </w:rPr>
        <w:t>.5不同</w:t>
      </w:r>
      <w:r>
        <w:rPr>
          <w:rFonts w:hint="eastAsia"/>
          <w:color w:val="auto"/>
          <w:sz w:val="24"/>
          <w:szCs w:val="24"/>
          <w:lang w:val="en-US" w:eastAsia="zh-CN"/>
        </w:rPr>
        <w:t>供应商</w:t>
      </w:r>
      <w:r>
        <w:rPr>
          <w:rFonts w:hint="eastAsia"/>
          <w:color w:val="auto"/>
          <w:sz w:val="24"/>
          <w:szCs w:val="24"/>
          <w:lang w:val="en-US"/>
        </w:rPr>
        <w:t>的投标文件相互混装；</w:t>
      </w:r>
    </w:p>
    <w:p w14:paraId="136A10A2">
      <w:pPr>
        <w:pageBreakBefore w:val="0"/>
        <w:topLinePunct w:val="0"/>
        <w:bidi w:val="0"/>
        <w:spacing w:line="500" w:lineRule="exact"/>
        <w:ind w:left="0" w:leftChars="0" w:right="0" w:rightChars="0" w:firstLine="480" w:firstLineChars="200"/>
        <w:rPr>
          <w:color w:val="auto"/>
          <w:sz w:val="9"/>
        </w:rPr>
      </w:pPr>
      <w:r>
        <w:rPr>
          <w:color w:val="auto"/>
          <w:sz w:val="24"/>
          <w:szCs w:val="24"/>
          <w:lang w:val="en-US"/>
        </w:rPr>
        <w:t>5</w:t>
      </w:r>
      <w:r>
        <w:rPr>
          <w:rFonts w:hint="eastAsia"/>
          <w:color w:val="auto"/>
          <w:sz w:val="24"/>
          <w:szCs w:val="24"/>
          <w:lang w:val="en-US"/>
        </w:rPr>
        <w:t>.6不同</w:t>
      </w:r>
      <w:r>
        <w:rPr>
          <w:rFonts w:hint="eastAsia"/>
          <w:color w:val="auto"/>
          <w:sz w:val="24"/>
          <w:szCs w:val="24"/>
          <w:lang w:val="en-US" w:eastAsia="zh-CN"/>
        </w:rPr>
        <w:t>供应商</w:t>
      </w:r>
      <w:r>
        <w:rPr>
          <w:rFonts w:hint="eastAsia"/>
          <w:color w:val="auto"/>
          <w:sz w:val="24"/>
          <w:szCs w:val="24"/>
          <w:lang w:val="en-US"/>
        </w:rPr>
        <w:t>的投标保证金从同一单位或者个人的账户转出。</w:t>
      </w:r>
    </w:p>
    <w:p w14:paraId="03B3C8F9">
      <w:pPr>
        <w:pStyle w:val="5"/>
        <w:pageBreakBefore w:val="0"/>
        <w:topLinePunct w:val="0"/>
        <w:bidi w:val="0"/>
        <w:spacing w:line="500" w:lineRule="exact"/>
        <w:ind w:left="0" w:leftChars="0" w:right="0" w:rightChars="0" w:firstLine="562" w:firstLineChars="200"/>
        <w:rPr>
          <w:color w:val="auto"/>
        </w:rPr>
      </w:pPr>
      <w:bookmarkStart w:id="8" w:name="六、开标、评标及资格审查"/>
      <w:bookmarkEnd w:id="8"/>
    </w:p>
    <w:p w14:paraId="75CCF8E0">
      <w:pPr>
        <w:pStyle w:val="5"/>
        <w:pageBreakBefore w:val="0"/>
        <w:topLinePunct w:val="0"/>
        <w:bidi w:val="0"/>
        <w:spacing w:line="500" w:lineRule="exact"/>
        <w:ind w:left="0" w:leftChars="0" w:right="0" w:rightChars="0" w:firstLine="562" w:firstLineChars="200"/>
        <w:rPr>
          <w:color w:val="auto"/>
          <w:sz w:val="40"/>
        </w:rPr>
      </w:pPr>
      <w:r>
        <w:rPr>
          <w:color w:val="auto"/>
        </w:rPr>
        <w:t>六、开标、评标及资格审查</w:t>
      </w:r>
    </w:p>
    <w:p w14:paraId="6BCC8886">
      <w:pPr>
        <w:pStyle w:val="7"/>
        <w:pageBreakBefore w:val="0"/>
        <w:topLinePunct w:val="0"/>
        <w:bidi w:val="0"/>
        <w:spacing w:line="500" w:lineRule="exact"/>
        <w:ind w:left="0" w:leftChars="0" w:right="0" w:rightChars="0" w:firstLine="482" w:firstLineChars="200"/>
        <w:rPr>
          <w:color w:val="auto"/>
        </w:rPr>
      </w:pPr>
      <w:r>
        <w:rPr>
          <w:rFonts w:hint="eastAsia"/>
          <w:color w:val="auto"/>
        </w:rPr>
        <w:t>1．</w:t>
      </w:r>
      <w:r>
        <w:rPr>
          <w:rFonts w:hint="eastAsia"/>
          <w:color w:val="auto"/>
          <w:lang w:eastAsia="zh-CN"/>
        </w:rPr>
        <w:t>投标文件</w:t>
      </w:r>
      <w:r>
        <w:rPr>
          <w:rFonts w:hint="eastAsia"/>
          <w:color w:val="auto"/>
        </w:rPr>
        <w:t>开启和评审</w:t>
      </w:r>
    </w:p>
    <w:p w14:paraId="3DADC54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1.1 采购代理机构组织开标、文件</w:t>
      </w:r>
      <w:r>
        <w:rPr>
          <w:rFonts w:hint="eastAsia"/>
          <w:color w:val="auto"/>
          <w:sz w:val="24"/>
          <w:szCs w:val="24"/>
          <w:lang w:val="en-US" w:eastAsia="zh-CN"/>
        </w:rPr>
        <w:t>解密</w:t>
      </w:r>
      <w:r>
        <w:rPr>
          <w:rFonts w:hint="eastAsia"/>
          <w:color w:val="auto"/>
          <w:sz w:val="24"/>
          <w:szCs w:val="24"/>
          <w:lang w:val="en-US"/>
        </w:rPr>
        <w:t>、评审工作，开标的整个过程接受监督部门的监督。</w:t>
      </w:r>
    </w:p>
    <w:p w14:paraId="7379FD3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1</w:t>
      </w:r>
      <w:r>
        <w:rPr>
          <w:rFonts w:hint="eastAsia"/>
          <w:color w:val="auto"/>
          <w:sz w:val="24"/>
          <w:szCs w:val="24"/>
          <w:lang w:val="en-US"/>
        </w:rPr>
        <w:t>.2 采购代理机构将在招标公告规定的时间和地点组织开标。所有</w:t>
      </w:r>
      <w:r>
        <w:rPr>
          <w:rFonts w:hint="eastAsia"/>
          <w:color w:val="auto"/>
          <w:sz w:val="24"/>
          <w:szCs w:val="24"/>
          <w:lang w:val="en-US" w:eastAsia="zh-CN"/>
        </w:rPr>
        <w:t>供应商</w:t>
      </w:r>
      <w:r>
        <w:rPr>
          <w:rFonts w:hint="eastAsia"/>
          <w:color w:val="auto"/>
          <w:sz w:val="24"/>
          <w:szCs w:val="24"/>
          <w:lang w:val="en-US"/>
        </w:rPr>
        <w:t>应按时参加开标会议，必须由法定代表人或其授权委托代理人出席开标会议，授权委托代理人出席的需和法</w:t>
      </w:r>
      <w:r>
        <w:rPr>
          <w:rFonts w:hint="eastAsia"/>
          <w:color w:val="auto"/>
          <w:sz w:val="24"/>
          <w:szCs w:val="24"/>
          <w:lang w:val="en-US" w:eastAsia="zh-CN"/>
        </w:rPr>
        <w:t>定代表</w:t>
      </w:r>
      <w:r>
        <w:rPr>
          <w:rFonts w:hint="eastAsia"/>
          <w:color w:val="auto"/>
          <w:sz w:val="24"/>
          <w:szCs w:val="24"/>
          <w:lang w:val="en-US"/>
        </w:rPr>
        <w:t>人授权委托书所述人员一致。</w:t>
      </w:r>
    </w:p>
    <w:p w14:paraId="49B07A8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1</w:t>
      </w:r>
      <w:r>
        <w:rPr>
          <w:rFonts w:hint="eastAsia"/>
          <w:color w:val="auto"/>
          <w:sz w:val="24"/>
          <w:szCs w:val="24"/>
          <w:lang w:val="en-US"/>
        </w:rPr>
        <w:t>.3 开标时，按照工作人员要求进行解密，如因</w:t>
      </w:r>
      <w:r>
        <w:rPr>
          <w:rFonts w:hint="eastAsia"/>
          <w:color w:val="auto"/>
          <w:sz w:val="24"/>
          <w:szCs w:val="24"/>
          <w:lang w:val="en-US" w:eastAsia="zh-CN"/>
        </w:rPr>
        <w:t>供应商</w:t>
      </w:r>
      <w:r>
        <w:rPr>
          <w:rFonts w:hint="eastAsia"/>
          <w:color w:val="auto"/>
          <w:sz w:val="24"/>
          <w:szCs w:val="24"/>
          <w:lang w:val="en-US"/>
        </w:rPr>
        <w:t>自身原因造成无法解密投标文件，按无效投标对待。</w:t>
      </w:r>
    </w:p>
    <w:p w14:paraId="75578F3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1</w:t>
      </w:r>
      <w:r>
        <w:rPr>
          <w:rFonts w:hint="eastAsia"/>
          <w:color w:val="auto"/>
          <w:sz w:val="24"/>
          <w:szCs w:val="24"/>
          <w:lang w:val="en-US"/>
        </w:rPr>
        <w:t>.4 解密成功后，依次导入</w:t>
      </w:r>
      <w:r>
        <w:rPr>
          <w:rFonts w:hint="eastAsia"/>
          <w:color w:val="auto"/>
          <w:sz w:val="24"/>
          <w:szCs w:val="24"/>
          <w:lang w:val="en-US" w:eastAsia="zh-CN"/>
        </w:rPr>
        <w:t>供应商</w:t>
      </w:r>
      <w:r>
        <w:rPr>
          <w:rFonts w:hint="eastAsia"/>
          <w:color w:val="auto"/>
          <w:sz w:val="24"/>
          <w:szCs w:val="24"/>
          <w:lang w:val="en-US"/>
        </w:rPr>
        <w:t>电子投标文件。</w:t>
      </w:r>
    </w:p>
    <w:p w14:paraId="3F8D8071">
      <w:pPr>
        <w:pageBreakBefore w:val="0"/>
        <w:topLinePunct w:val="0"/>
        <w:bidi w:val="0"/>
        <w:spacing w:line="500" w:lineRule="exact"/>
        <w:ind w:left="0" w:leftChars="0" w:right="0" w:rightChars="0" w:firstLine="480" w:firstLineChars="200"/>
        <w:rPr>
          <w:color w:val="auto"/>
          <w:sz w:val="24"/>
        </w:rPr>
      </w:pPr>
      <w:r>
        <w:rPr>
          <w:rFonts w:hint="eastAsia"/>
          <w:color w:val="auto"/>
          <w:sz w:val="24"/>
          <w:szCs w:val="24"/>
          <w:lang w:val="en-US" w:eastAsia="zh-CN"/>
        </w:rPr>
        <w:t>1</w:t>
      </w:r>
      <w:r>
        <w:rPr>
          <w:rFonts w:hint="eastAsia"/>
          <w:color w:val="auto"/>
          <w:sz w:val="24"/>
          <w:szCs w:val="24"/>
          <w:lang w:val="en-US"/>
        </w:rPr>
        <w:t>.5</w:t>
      </w:r>
      <w:r>
        <w:rPr>
          <w:rFonts w:hint="eastAsia"/>
          <w:color w:val="auto"/>
          <w:sz w:val="24"/>
          <w:szCs w:val="24"/>
          <w:lang w:val="en-US" w:eastAsia="zh-CN"/>
        </w:rPr>
        <w:t xml:space="preserve"> </w:t>
      </w:r>
      <w:r>
        <w:rPr>
          <w:rFonts w:hint="eastAsia"/>
          <w:color w:val="auto"/>
          <w:sz w:val="24"/>
          <w:szCs w:val="24"/>
          <w:lang w:val="en-US"/>
        </w:rPr>
        <w:t>采购代理机构将在开标会议现场做会议记录，会议记录</w:t>
      </w:r>
      <w:r>
        <w:rPr>
          <w:rFonts w:hint="eastAsia"/>
          <w:color w:val="auto"/>
          <w:sz w:val="24"/>
          <w:szCs w:val="24"/>
          <w:lang w:val="en-US" w:eastAsia="zh-CN"/>
        </w:rPr>
        <w:t>包括</w:t>
      </w:r>
      <w:r>
        <w:rPr>
          <w:rFonts w:hint="eastAsia"/>
          <w:color w:val="auto"/>
          <w:sz w:val="24"/>
          <w:szCs w:val="24"/>
          <w:lang w:val="en-US"/>
        </w:rPr>
        <w:t>本项目开标会议的全部内容</w:t>
      </w:r>
      <w:r>
        <w:rPr>
          <w:rFonts w:hint="eastAsia"/>
          <w:color w:val="auto"/>
          <w:sz w:val="24"/>
        </w:rPr>
        <w:t>。</w:t>
      </w:r>
    </w:p>
    <w:p w14:paraId="641C242B">
      <w:pPr>
        <w:pStyle w:val="7"/>
        <w:pageBreakBefore w:val="0"/>
        <w:topLinePunct w:val="0"/>
        <w:bidi w:val="0"/>
        <w:spacing w:line="500" w:lineRule="exact"/>
        <w:ind w:left="0" w:leftChars="0" w:right="0" w:rightChars="0" w:firstLine="482" w:firstLineChars="200"/>
        <w:rPr>
          <w:color w:val="auto"/>
        </w:rPr>
      </w:pPr>
      <w:r>
        <w:rPr>
          <w:rFonts w:hint="eastAsia"/>
          <w:color w:val="auto"/>
        </w:rPr>
        <w:t>2</w:t>
      </w:r>
      <w:r>
        <w:rPr>
          <w:rFonts w:hint="eastAsia"/>
          <w:color w:val="auto"/>
          <w:lang w:val="en-US" w:eastAsia="zh-CN"/>
        </w:rPr>
        <w:t>.</w:t>
      </w:r>
      <w:r>
        <w:rPr>
          <w:rFonts w:hint="eastAsia"/>
          <w:color w:val="auto"/>
        </w:rPr>
        <w:t>评标委员会</w:t>
      </w:r>
    </w:p>
    <w:p w14:paraId="3401E1A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2.1评标委员会</w:t>
      </w:r>
    </w:p>
    <w:p w14:paraId="64677A9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2.2采购代理机构根据</w:t>
      </w:r>
      <w:r>
        <w:rPr>
          <w:rFonts w:hint="eastAsia"/>
          <w:color w:val="auto"/>
          <w:sz w:val="24"/>
          <w:szCs w:val="24"/>
          <w:lang w:val="en-US" w:eastAsia="zh-CN"/>
        </w:rPr>
        <w:t>《中华人民共和国政府采购法》及其实施条例、《政府采购货物和服务招标投标管理办法》（财政部令第87号）</w:t>
      </w:r>
      <w:r>
        <w:rPr>
          <w:rFonts w:hint="eastAsia"/>
          <w:color w:val="auto"/>
          <w:sz w:val="24"/>
          <w:szCs w:val="24"/>
          <w:lang w:val="en-US"/>
        </w:rPr>
        <w:t>等规定，依法组建评标委员会。</w:t>
      </w:r>
    </w:p>
    <w:p w14:paraId="0703021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2.3评标委员会由采购人代表和评审专家组成，成员人数应当为</w:t>
      </w:r>
      <w:r>
        <w:rPr>
          <w:rFonts w:hint="eastAsia"/>
          <w:color w:val="auto"/>
          <w:sz w:val="24"/>
          <w:szCs w:val="24"/>
          <w:highlight w:val="none"/>
          <w:lang w:val="en-US" w:eastAsia="zh-CN"/>
        </w:rPr>
        <w:t>7</w:t>
      </w:r>
      <w:r>
        <w:rPr>
          <w:rFonts w:hint="eastAsia"/>
          <w:color w:val="auto"/>
          <w:sz w:val="24"/>
          <w:szCs w:val="24"/>
          <w:highlight w:val="none"/>
          <w:lang w:val="en-US"/>
        </w:rPr>
        <w:t>人</w:t>
      </w:r>
      <w:r>
        <w:rPr>
          <w:rFonts w:hint="eastAsia"/>
          <w:color w:val="auto"/>
          <w:sz w:val="24"/>
          <w:szCs w:val="24"/>
          <w:lang w:val="en-US" w:eastAsia="zh-CN"/>
        </w:rPr>
        <w:t>及</w:t>
      </w:r>
      <w:r>
        <w:rPr>
          <w:rFonts w:hint="eastAsia"/>
          <w:color w:val="auto"/>
          <w:sz w:val="24"/>
          <w:szCs w:val="24"/>
          <w:lang w:val="en-US"/>
        </w:rPr>
        <w:t>以上单数，其中评审专家不得少于成员总数的三分之二</w:t>
      </w:r>
      <w:r>
        <w:rPr>
          <w:rFonts w:hint="eastAsia"/>
          <w:color w:val="auto"/>
          <w:sz w:val="24"/>
          <w:szCs w:val="24"/>
          <w:lang w:val="en-US" w:eastAsia="zh-CN"/>
        </w:rPr>
        <w:t>，</w:t>
      </w:r>
      <w:r>
        <w:rPr>
          <w:rFonts w:hint="eastAsia"/>
          <w:color w:val="auto"/>
          <w:sz w:val="24"/>
          <w:szCs w:val="24"/>
          <w:lang w:val="en-US"/>
        </w:rPr>
        <w:t>评标专家从政府采购评审专家库内相关专业的专家名单中随机抽取。</w:t>
      </w:r>
    </w:p>
    <w:p w14:paraId="56931A3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2.4评标委员会应推荐一名评审专家担任评审组长，并由评审组长牵头组织该项目评审工作，采购人授权的评审专家，不得担任评审组长。</w:t>
      </w:r>
    </w:p>
    <w:p w14:paraId="7534807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2.5评标委员会成员不得参加开标活动。</w:t>
      </w:r>
    </w:p>
    <w:p w14:paraId="279D99C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2.6评标委员会成员应当遵守并履行下列职责义务：</w:t>
      </w:r>
    </w:p>
    <w:p w14:paraId="5DF4581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a</w:t>
      </w:r>
      <w:r>
        <w:rPr>
          <w:rFonts w:hint="eastAsia"/>
          <w:color w:val="auto"/>
          <w:sz w:val="24"/>
          <w:szCs w:val="24"/>
          <w:lang w:val="en-US" w:eastAsia="zh-CN"/>
        </w:rPr>
        <w:t>.</w:t>
      </w:r>
      <w:r>
        <w:rPr>
          <w:rFonts w:hint="eastAsia"/>
          <w:color w:val="auto"/>
          <w:sz w:val="24"/>
          <w:szCs w:val="24"/>
          <w:lang w:val="en-US"/>
        </w:rPr>
        <w:t>遵纪守法，客观、公正、认真负责地履行职责，根据招标文件规定的评标程序、评标方法和评标标准审查投标文件；</w:t>
      </w:r>
    </w:p>
    <w:p w14:paraId="767B73C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b</w:t>
      </w:r>
      <w:r>
        <w:rPr>
          <w:rFonts w:hint="eastAsia"/>
          <w:color w:val="auto"/>
          <w:sz w:val="24"/>
          <w:szCs w:val="24"/>
          <w:lang w:val="en-US" w:eastAsia="zh-CN"/>
        </w:rPr>
        <w:t>.</w:t>
      </w:r>
      <w:r>
        <w:rPr>
          <w:rFonts w:hint="eastAsia"/>
          <w:color w:val="auto"/>
          <w:sz w:val="24"/>
          <w:szCs w:val="24"/>
          <w:lang w:val="en-US"/>
        </w:rPr>
        <w:t>审查、评价投标文件是否符合招标文件的商务、技术等实质性要求；</w:t>
      </w:r>
    </w:p>
    <w:p w14:paraId="2321095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c</w:t>
      </w:r>
      <w:r>
        <w:rPr>
          <w:rFonts w:hint="eastAsia"/>
          <w:color w:val="auto"/>
          <w:sz w:val="24"/>
          <w:szCs w:val="24"/>
          <w:lang w:val="en-US" w:eastAsia="zh-CN"/>
        </w:rPr>
        <w:t>.</w:t>
      </w:r>
      <w:r>
        <w:rPr>
          <w:rFonts w:hint="eastAsia"/>
          <w:color w:val="auto"/>
          <w:sz w:val="24"/>
          <w:szCs w:val="24"/>
          <w:lang w:val="en-US"/>
        </w:rPr>
        <w:t>要求</w:t>
      </w:r>
      <w:r>
        <w:rPr>
          <w:rFonts w:hint="eastAsia"/>
          <w:color w:val="auto"/>
          <w:sz w:val="24"/>
          <w:szCs w:val="24"/>
          <w:lang w:val="en-US" w:eastAsia="zh-CN"/>
        </w:rPr>
        <w:t>供应商</w:t>
      </w:r>
      <w:r>
        <w:rPr>
          <w:rFonts w:hint="eastAsia"/>
          <w:color w:val="auto"/>
          <w:sz w:val="24"/>
          <w:szCs w:val="24"/>
          <w:lang w:val="en-US"/>
        </w:rPr>
        <w:t>对投标文件有关事项作出澄清或者说明；</w:t>
      </w:r>
    </w:p>
    <w:p w14:paraId="134F6D6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d</w:t>
      </w:r>
      <w:r>
        <w:rPr>
          <w:rFonts w:hint="eastAsia"/>
          <w:color w:val="auto"/>
          <w:sz w:val="24"/>
          <w:szCs w:val="24"/>
          <w:lang w:val="en-US" w:eastAsia="zh-CN"/>
        </w:rPr>
        <w:t>.</w:t>
      </w:r>
      <w:r>
        <w:rPr>
          <w:rFonts w:hint="eastAsia"/>
          <w:color w:val="auto"/>
          <w:sz w:val="24"/>
          <w:szCs w:val="24"/>
          <w:lang w:val="en-US"/>
        </w:rPr>
        <w:t>对投标文件进行比较和评价；</w:t>
      </w:r>
    </w:p>
    <w:p w14:paraId="1D481E0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e</w:t>
      </w:r>
      <w:r>
        <w:rPr>
          <w:rFonts w:hint="eastAsia"/>
          <w:color w:val="auto"/>
          <w:sz w:val="24"/>
          <w:szCs w:val="24"/>
          <w:lang w:val="en-US" w:eastAsia="zh-CN"/>
        </w:rPr>
        <w:t>.</w:t>
      </w:r>
      <w:r>
        <w:rPr>
          <w:rFonts w:hint="eastAsia"/>
          <w:color w:val="auto"/>
          <w:sz w:val="24"/>
          <w:szCs w:val="24"/>
          <w:lang w:val="en-US"/>
        </w:rPr>
        <w:t>确定中标候选人名单，以及根据采购人委托直接确定中标人；</w:t>
      </w:r>
    </w:p>
    <w:p w14:paraId="1061FDD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f</w:t>
      </w:r>
      <w:r>
        <w:rPr>
          <w:rFonts w:hint="eastAsia"/>
          <w:color w:val="auto"/>
          <w:sz w:val="24"/>
          <w:szCs w:val="24"/>
          <w:lang w:val="en-US" w:eastAsia="zh-CN"/>
        </w:rPr>
        <w:t>.</w:t>
      </w:r>
      <w:r>
        <w:rPr>
          <w:rFonts w:hint="eastAsia"/>
          <w:color w:val="auto"/>
          <w:sz w:val="24"/>
          <w:szCs w:val="24"/>
          <w:lang w:val="en-US"/>
        </w:rPr>
        <w:t>向采购人、采购代理机构或者有关部门报告评标中发现的违法行为；</w:t>
      </w:r>
    </w:p>
    <w:p w14:paraId="4D3D89B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g</w:t>
      </w:r>
      <w:r>
        <w:rPr>
          <w:rFonts w:hint="eastAsia"/>
          <w:color w:val="auto"/>
          <w:sz w:val="24"/>
          <w:szCs w:val="24"/>
          <w:lang w:val="en-US" w:eastAsia="zh-CN"/>
        </w:rPr>
        <w:t>.</w:t>
      </w:r>
      <w:r>
        <w:rPr>
          <w:rFonts w:hint="eastAsia"/>
          <w:color w:val="auto"/>
          <w:sz w:val="24"/>
          <w:szCs w:val="24"/>
          <w:lang w:val="en-US"/>
        </w:rPr>
        <w:t>对评标过程及各</w:t>
      </w:r>
      <w:r>
        <w:rPr>
          <w:rFonts w:hint="eastAsia"/>
          <w:color w:val="auto"/>
          <w:sz w:val="24"/>
          <w:szCs w:val="24"/>
          <w:lang w:val="en-US" w:eastAsia="zh-CN"/>
        </w:rPr>
        <w:t>供应商</w:t>
      </w:r>
      <w:r>
        <w:rPr>
          <w:rFonts w:hint="eastAsia"/>
          <w:color w:val="auto"/>
          <w:sz w:val="24"/>
          <w:szCs w:val="24"/>
          <w:lang w:val="en-US"/>
        </w:rPr>
        <w:t>的商业机密予以保密；</w:t>
      </w:r>
    </w:p>
    <w:p w14:paraId="038B62DF">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h</w:t>
      </w:r>
      <w:r>
        <w:rPr>
          <w:rFonts w:hint="eastAsia"/>
          <w:color w:val="auto"/>
          <w:sz w:val="24"/>
          <w:szCs w:val="24"/>
          <w:lang w:val="en-US" w:eastAsia="zh-CN"/>
        </w:rPr>
        <w:t>.</w:t>
      </w:r>
      <w:r>
        <w:rPr>
          <w:rFonts w:hint="eastAsia"/>
          <w:color w:val="auto"/>
          <w:sz w:val="24"/>
          <w:szCs w:val="24"/>
          <w:lang w:val="en-US"/>
        </w:rPr>
        <w:t>配合采购人、采购代理机构答复各</w:t>
      </w:r>
      <w:r>
        <w:rPr>
          <w:rFonts w:hint="eastAsia"/>
          <w:color w:val="auto"/>
          <w:sz w:val="24"/>
          <w:szCs w:val="24"/>
          <w:lang w:val="en-US" w:eastAsia="zh-CN"/>
        </w:rPr>
        <w:t>供应商</w:t>
      </w:r>
      <w:r>
        <w:rPr>
          <w:rFonts w:hint="eastAsia"/>
          <w:color w:val="auto"/>
          <w:sz w:val="24"/>
          <w:szCs w:val="24"/>
          <w:lang w:val="en-US"/>
        </w:rPr>
        <w:t>提出的质疑；</w:t>
      </w:r>
    </w:p>
    <w:p w14:paraId="50E6D89E">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i</w:t>
      </w:r>
      <w:r>
        <w:rPr>
          <w:rFonts w:hint="eastAsia"/>
          <w:color w:val="auto"/>
          <w:sz w:val="24"/>
          <w:szCs w:val="24"/>
          <w:lang w:val="en-US" w:eastAsia="zh-CN"/>
        </w:rPr>
        <w:t>.</w:t>
      </w:r>
      <w:r>
        <w:rPr>
          <w:rFonts w:hint="eastAsia"/>
          <w:color w:val="auto"/>
          <w:sz w:val="24"/>
          <w:szCs w:val="24"/>
          <w:lang w:val="en-US"/>
        </w:rPr>
        <w:t>配合各部门的投诉处理和监督检查工作。</w:t>
      </w:r>
    </w:p>
    <w:p w14:paraId="5ACD8DE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2.7评标原则：坚持公平、公正、科学、择优原则，禁止不正当竞争。</w:t>
      </w:r>
    </w:p>
    <w:p w14:paraId="47ACE88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2.8评标办法及内容：</w:t>
      </w:r>
    </w:p>
    <w:p w14:paraId="7F66CCD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2.8.1评审内容为投标文件是否符合招标文件的要求，内容是否完整，价格构成有无计算错误，文件签署是否符合要求、技术方案是否齐全等。</w:t>
      </w:r>
    </w:p>
    <w:p w14:paraId="0B22994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2.8.2评审中，对价格的计算错误按下述原则修正：</w:t>
      </w:r>
    </w:p>
    <w:p w14:paraId="10EE79D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（1）单价乘数量不等于总价，以单价为准修正总价。</w:t>
      </w:r>
    </w:p>
    <w:p w14:paraId="65E3F08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（2）文字表示的数据与相应阿拉伯数字不符，以文字所示为准，修正数字。</w:t>
      </w:r>
    </w:p>
    <w:p w14:paraId="4368654E">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w:t>
      </w:r>
      <w:r>
        <w:rPr>
          <w:rFonts w:hint="eastAsia"/>
          <w:color w:val="auto"/>
          <w:sz w:val="24"/>
          <w:szCs w:val="24"/>
          <w:lang w:val="en-US" w:eastAsia="zh-CN"/>
        </w:rPr>
        <w:t>供应商</w:t>
      </w:r>
      <w:r>
        <w:rPr>
          <w:rFonts w:hint="eastAsia"/>
          <w:color w:val="auto"/>
          <w:sz w:val="24"/>
          <w:szCs w:val="24"/>
          <w:lang w:val="en-US"/>
        </w:rPr>
        <w:t>不同意以上修正，则其投标将被拒绝。</w:t>
      </w:r>
    </w:p>
    <w:p w14:paraId="0433C64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与招标文件有重大偏离的投标文件将被拒绝。重大偏离系指投标所报货物的质量、数量性能指标及资格证明文件中明显不能满足招标文件的要求。这些偏离不允许在开标后修正。但允许修改不构成重大偏离的、微小的、非正规的不一致或不规则的地方。</w:t>
      </w:r>
    </w:p>
    <w:p w14:paraId="4AE3F65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（5）对投标文件的判定，只依据投标文件所具内容，不依靠开标后的任何外来证明。</w:t>
      </w:r>
    </w:p>
    <w:p w14:paraId="3733228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2.8.3资格性审查</w:t>
      </w:r>
    </w:p>
    <w:p w14:paraId="75AF2B60">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由</w:t>
      </w:r>
      <w:r>
        <w:rPr>
          <w:rFonts w:hint="eastAsia"/>
          <w:color w:val="auto"/>
          <w:sz w:val="24"/>
          <w:szCs w:val="24"/>
          <w:lang w:val="en-US" w:eastAsia="zh-CN"/>
        </w:rPr>
        <w:t>采购人或代理机构</w:t>
      </w:r>
      <w:r>
        <w:rPr>
          <w:rFonts w:hint="eastAsia"/>
          <w:color w:val="auto"/>
          <w:sz w:val="24"/>
          <w:szCs w:val="24"/>
          <w:lang w:val="en-US"/>
        </w:rPr>
        <w:t>依法对</w:t>
      </w:r>
      <w:r>
        <w:rPr>
          <w:rFonts w:hint="eastAsia"/>
          <w:color w:val="auto"/>
          <w:sz w:val="24"/>
          <w:szCs w:val="24"/>
          <w:lang w:val="en-US" w:eastAsia="zh-CN"/>
        </w:rPr>
        <w:t>供应商</w:t>
      </w:r>
      <w:r>
        <w:rPr>
          <w:rFonts w:hint="eastAsia"/>
          <w:color w:val="auto"/>
          <w:sz w:val="24"/>
          <w:szCs w:val="24"/>
          <w:lang w:val="en-US"/>
        </w:rPr>
        <w:t>的资格进行审查，审查合格的</w:t>
      </w:r>
      <w:r>
        <w:rPr>
          <w:rFonts w:hint="eastAsia"/>
          <w:color w:val="auto"/>
          <w:sz w:val="24"/>
          <w:szCs w:val="24"/>
          <w:lang w:val="en-US" w:eastAsia="zh-CN"/>
        </w:rPr>
        <w:t>供应商</w:t>
      </w:r>
      <w:r>
        <w:rPr>
          <w:rFonts w:hint="eastAsia"/>
          <w:color w:val="auto"/>
          <w:sz w:val="24"/>
          <w:szCs w:val="24"/>
          <w:lang w:val="en-US"/>
        </w:rPr>
        <w:t>方可进入评标阶段，不合格的</w:t>
      </w:r>
      <w:r>
        <w:rPr>
          <w:rFonts w:hint="eastAsia"/>
          <w:color w:val="auto"/>
          <w:sz w:val="24"/>
          <w:szCs w:val="24"/>
          <w:lang w:val="en-US" w:eastAsia="zh-CN"/>
        </w:rPr>
        <w:t>供应商</w:t>
      </w:r>
      <w:r>
        <w:rPr>
          <w:rFonts w:hint="eastAsia"/>
          <w:color w:val="auto"/>
          <w:sz w:val="24"/>
          <w:szCs w:val="24"/>
          <w:lang w:val="en-US"/>
        </w:rPr>
        <w:t>其投标无效。</w:t>
      </w:r>
    </w:p>
    <w:p w14:paraId="321A341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2.8.4</w:t>
      </w:r>
      <w:r>
        <w:rPr>
          <w:rFonts w:hint="eastAsia"/>
          <w:color w:val="auto"/>
          <w:sz w:val="24"/>
          <w:szCs w:val="24"/>
          <w:lang w:val="en-US" w:eastAsia="zh-CN"/>
        </w:rPr>
        <w:t>供应商</w:t>
      </w:r>
      <w:r>
        <w:rPr>
          <w:rFonts w:hint="eastAsia"/>
          <w:color w:val="auto"/>
          <w:sz w:val="24"/>
          <w:szCs w:val="24"/>
          <w:lang w:val="en-US"/>
        </w:rPr>
        <w:t>及投标文件有效性和符合性审查，出现下列情况之一者（但不限于），按无效标处理。</w:t>
      </w:r>
    </w:p>
    <w:p w14:paraId="4793B97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（1）本次投标所要求的必备资格证明文件，缺其中一项或某项达不到要求，均按无效文件处理。</w:t>
      </w:r>
    </w:p>
    <w:p w14:paraId="5462307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（2）各</w:t>
      </w:r>
      <w:r>
        <w:rPr>
          <w:rFonts w:hint="eastAsia"/>
          <w:color w:val="auto"/>
          <w:sz w:val="24"/>
          <w:szCs w:val="24"/>
          <w:lang w:val="en-US" w:eastAsia="zh-CN"/>
        </w:rPr>
        <w:t>供应商</w:t>
      </w:r>
      <w:r>
        <w:rPr>
          <w:rFonts w:hint="eastAsia"/>
          <w:color w:val="auto"/>
          <w:sz w:val="24"/>
          <w:szCs w:val="24"/>
          <w:lang w:val="en-US"/>
        </w:rPr>
        <w:t xml:space="preserve">未经过正常渠道获取招标文件。 </w:t>
      </w:r>
    </w:p>
    <w:p w14:paraId="40FD33E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w:t>
      </w:r>
      <w:r>
        <w:rPr>
          <w:rFonts w:hint="eastAsia"/>
          <w:color w:val="auto"/>
          <w:sz w:val="24"/>
          <w:szCs w:val="24"/>
          <w:lang w:val="en-US" w:eastAsia="zh-CN"/>
        </w:rPr>
        <w:t>供应商</w:t>
      </w:r>
      <w:r>
        <w:rPr>
          <w:rFonts w:hint="eastAsia"/>
          <w:color w:val="auto"/>
          <w:sz w:val="24"/>
          <w:szCs w:val="24"/>
          <w:lang w:val="en-US"/>
        </w:rPr>
        <w:t>未提供法定代表人授权书（法定代表人直接参加投标的除外）或授权书不符合招标文件要求的。</w:t>
      </w:r>
    </w:p>
    <w:p w14:paraId="2A114A5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 xml:space="preserve">（4）提供虚假证明（包括第三方提供的虚假证明、证件），开具虚假业绩，除按无效文件处理外，按有关规定进行相应的处罚。 </w:t>
      </w:r>
    </w:p>
    <w:p w14:paraId="69331AB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 xml:space="preserve">（5）投标方案出现严重漏项，造成系统缺陷，已影响到该项目的实施。 </w:t>
      </w:r>
    </w:p>
    <w:p w14:paraId="3D5D816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（6）在重大项目履约过程中有不良记录，不能按期履约的。</w:t>
      </w:r>
    </w:p>
    <w:p w14:paraId="4D8E399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（7）对招标文件商务要求是否</w:t>
      </w:r>
      <w:r>
        <w:rPr>
          <w:rFonts w:hint="eastAsia"/>
          <w:color w:val="auto"/>
          <w:sz w:val="24"/>
          <w:szCs w:val="24"/>
          <w:lang w:val="en-US" w:eastAsia="zh-CN"/>
        </w:rPr>
        <w:t>做</w:t>
      </w:r>
      <w:r>
        <w:rPr>
          <w:rFonts w:hint="eastAsia"/>
          <w:color w:val="auto"/>
          <w:sz w:val="24"/>
          <w:szCs w:val="24"/>
          <w:lang w:val="en-US"/>
        </w:rPr>
        <w:t>了明确且实质性响应；</w:t>
      </w:r>
    </w:p>
    <w:p w14:paraId="324399C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（8）投标文件是否含有采购人不能接受的附件条件；</w:t>
      </w:r>
    </w:p>
    <w:p w14:paraId="2DE6E76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（9）是否符合法律、法规和招标文件规定的其他无效投标情形。</w:t>
      </w:r>
    </w:p>
    <w:p w14:paraId="679DC9F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（10）投标项目出现产品数量与要求不符，出现负偏差。</w:t>
      </w:r>
    </w:p>
    <w:p w14:paraId="6137FCF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（11）投标内容的技术要求</w:t>
      </w:r>
      <w:r>
        <w:rPr>
          <w:rFonts w:hint="eastAsia"/>
          <w:color w:val="auto"/>
          <w:sz w:val="24"/>
          <w:szCs w:val="24"/>
          <w:lang w:val="en-US" w:eastAsia="zh-CN"/>
        </w:rPr>
        <w:t>达</w:t>
      </w:r>
      <w:r>
        <w:rPr>
          <w:rFonts w:hint="eastAsia"/>
          <w:color w:val="auto"/>
          <w:sz w:val="24"/>
          <w:szCs w:val="24"/>
          <w:lang w:val="en-US"/>
        </w:rPr>
        <w:t>不到招标文件要求，降低了产品档次或影响了性能、功能。</w:t>
      </w:r>
    </w:p>
    <w:p w14:paraId="5092B11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2.8.5在政府采购活动中，采购人员及相关人员（包括评标委员会）与</w:t>
      </w:r>
      <w:r>
        <w:rPr>
          <w:rFonts w:hint="eastAsia"/>
          <w:color w:val="auto"/>
          <w:sz w:val="24"/>
          <w:szCs w:val="24"/>
          <w:lang w:val="en-US" w:eastAsia="zh-CN"/>
        </w:rPr>
        <w:t>供应商</w:t>
      </w:r>
      <w:r>
        <w:rPr>
          <w:rFonts w:hint="eastAsia"/>
          <w:color w:val="auto"/>
          <w:sz w:val="24"/>
          <w:szCs w:val="24"/>
          <w:lang w:val="en-US"/>
        </w:rPr>
        <w:t>有下列利害关系之一的，应当回避：</w:t>
      </w:r>
    </w:p>
    <w:p w14:paraId="1695B5F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（1）参加采购活动前 3 年内与</w:t>
      </w:r>
      <w:r>
        <w:rPr>
          <w:rFonts w:hint="eastAsia"/>
          <w:color w:val="auto"/>
          <w:sz w:val="24"/>
          <w:szCs w:val="24"/>
          <w:lang w:val="en-US" w:eastAsia="zh-CN"/>
        </w:rPr>
        <w:t>供应商</w:t>
      </w:r>
      <w:r>
        <w:rPr>
          <w:rFonts w:hint="eastAsia"/>
          <w:color w:val="auto"/>
          <w:sz w:val="24"/>
          <w:szCs w:val="24"/>
          <w:lang w:val="en-US"/>
        </w:rPr>
        <w:t>存在劳动关系；</w:t>
      </w:r>
    </w:p>
    <w:p w14:paraId="0D10FEF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（2）参加采购活动前 3 年内担任</w:t>
      </w:r>
      <w:r>
        <w:rPr>
          <w:rFonts w:hint="eastAsia"/>
          <w:color w:val="auto"/>
          <w:sz w:val="24"/>
          <w:szCs w:val="24"/>
          <w:lang w:val="en-US" w:eastAsia="zh-CN"/>
        </w:rPr>
        <w:t>供应商</w:t>
      </w:r>
      <w:r>
        <w:rPr>
          <w:rFonts w:hint="eastAsia"/>
          <w:color w:val="auto"/>
          <w:sz w:val="24"/>
          <w:szCs w:val="24"/>
          <w:lang w:val="en-US"/>
        </w:rPr>
        <w:t>的董事、监事；</w:t>
      </w:r>
    </w:p>
    <w:p w14:paraId="02FFD6A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（3）参加采购活动前 3 年内是</w:t>
      </w:r>
      <w:r>
        <w:rPr>
          <w:rFonts w:hint="eastAsia"/>
          <w:color w:val="auto"/>
          <w:sz w:val="24"/>
          <w:szCs w:val="24"/>
          <w:lang w:val="en-US" w:eastAsia="zh-CN"/>
        </w:rPr>
        <w:t>供应商</w:t>
      </w:r>
      <w:r>
        <w:rPr>
          <w:rFonts w:hint="eastAsia"/>
          <w:color w:val="auto"/>
          <w:sz w:val="24"/>
          <w:szCs w:val="24"/>
          <w:lang w:val="en-US"/>
        </w:rPr>
        <w:t>的控股股东或者实际控制人；</w:t>
      </w:r>
    </w:p>
    <w:p w14:paraId="3A10099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（4）与</w:t>
      </w:r>
      <w:r>
        <w:rPr>
          <w:rFonts w:hint="eastAsia"/>
          <w:color w:val="auto"/>
          <w:sz w:val="24"/>
          <w:szCs w:val="24"/>
          <w:lang w:val="en-US" w:eastAsia="zh-CN"/>
        </w:rPr>
        <w:t>供应商</w:t>
      </w:r>
      <w:r>
        <w:rPr>
          <w:rFonts w:hint="eastAsia"/>
          <w:color w:val="auto"/>
          <w:sz w:val="24"/>
          <w:szCs w:val="24"/>
          <w:lang w:val="en-US"/>
        </w:rPr>
        <w:t>的法定代表人或者负责人有夫妻、直系血亲、三代以内旁系血亲或者近姻亲关系；</w:t>
      </w:r>
    </w:p>
    <w:p w14:paraId="3F238AB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（5）与</w:t>
      </w:r>
      <w:r>
        <w:rPr>
          <w:rFonts w:hint="eastAsia"/>
          <w:color w:val="auto"/>
          <w:sz w:val="24"/>
          <w:szCs w:val="24"/>
          <w:lang w:val="en-US" w:eastAsia="zh-CN"/>
        </w:rPr>
        <w:t>供应商</w:t>
      </w:r>
      <w:r>
        <w:rPr>
          <w:rFonts w:hint="eastAsia"/>
          <w:color w:val="auto"/>
          <w:sz w:val="24"/>
          <w:szCs w:val="24"/>
          <w:lang w:val="en-US"/>
        </w:rPr>
        <w:t>有其他可能影响政府采购活动公平、公正进行的关系。</w:t>
      </w:r>
    </w:p>
    <w:p w14:paraId="49B2E8D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2.8.6投标的澄清</w:t>
      </w:r>
    </w:p>
    <w:p w14:paraId="29A0A48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2.8.6.1在评标期间</w:t>
      </w:r>
      <w:r>
        <w:rPr>
          <w:rFonts w:hint="eastAsia"/>
          <w:color w:val="auto"/>
          <w:sz w:val="24"/>
          <w:szCs w:val="24"/>
          <w:lang w:val="en-US" w:eastAsia="zh-CN"/>
        </w:rPr>
        <w:t>，</w:t>
      </w:r>
      <w:r>
        <w:rPr>
          <w:rFonts w:hint="eastAsia"/>
          <w:color w:val="auto"/>
          <w:sz w:val="24"/>
          <w:szCs w:val="24"/>
          <w:lang w:val="en-US"/>
        </w:rPr>
        <w:t>对于投标文件中含义不明确、同类问题表述不一致或者有明显文字和计算错误的内容，评标委员会应当以书面形式要求</w:t>
      </w:r>
      <w:r>
        <w:rPr>
          <w:rFonts w:hint="eastAsia"/>
          <w:color w:val="auto"/>
          <w:sz w:val="24"/>
          <w:szCs w:val="24"/>
          <w:lang w:val="en-US" w:eastAsia="zh-CN"/>
        </w:rPr>
        <w:t>供应商</w:t>
      </w:r>
      <w:r>
        <w:rPr>
          <w:rFonts w:hint="eastAsia"/>
          <w:color w:val="auto"/>
          <w:sz w:val="24"/>
          <w:szCs w:val="24"/>
          <w:lang w:val="en-US"/>
        </w:rPr>
        <w:t>作出必要的澄清、说明或者补正。</w:t>
      </w:r>
      <w:r>
        <w:rPr>
          <w:rFonts w:hint="eastAsia"/>
          <w:color w:val="auto"/>
          <w:sz w:val="24"/>
          <w:szCs w:val="24"/>
          <w:lang w:val="en-US" w:eastAsia="zh-CN"/>
        </w:rPr>
        <w:t>供应商</w:t>
      </w:r>
      <w:r>
        <w:rPr>
          <w:rFonts w:hint="eastAsia"/>
          <w:color w:val="auto"/>
          <w:sz w:val="24"/>
          <w:szCs w:val="24"/>
          <w:lang w:val="en-US"/>
        </w:rPr>
        <w:t>的澄清、说明或者补正应当采用书面形式，并加盖公章，或者由法定代表人或被授权人签字。</w:t>
      </w:r>
      <w:r>
        <w:rPr>
          <w:rFonts w:hint="eastAsia"/>
          <w:color w:val="auto"/>
          <w:sz w:val="24"/>
          <w:szCs w:val="24"/>
          <w:lang w:val="en-US" w:eastAsia="zh-CN"/>
        </w:rPr>
        <w:t>供应商</w:t>
      </w:r>
      <w:r>
        <w:rPr>
          <w:rFonts w:hint="eastAsia"/>
          <w:color w:val="auto"/>
          <w:sz w:val="24"/>
          <w:szCs w:val="24"/>
          <w:lang w:val="en-US"/>
        </w:rPr>
        <w:t>的澄清、说明或者补正不得超出投标文件的范围或者改变投标文件的实质性内容。</w:t>
      </w:r>
    </w:p>
    <w:p w14:paraId="1213EFC5">
      <w:pPr>
        <w:pStyle w:val="7"/>
        <w:pageBreakBefore w:val="0"/>
        <w:topLinePunct w:val="0"/>
        <w:bidi w:val="0"/>
        <w:spacing w:line="500" w:lineRule="exact"/>
        <w:ind w:left="0" w:leftChars="0" w:right="0" w:rightChars="0" w:firstLine="482" w:firstLineChars="200"/>
        <w:rPr>
          <w:color w:val="auto"/>
        </w:rPr>
      </w:pPr>
      <w:r>
        <w:rPr>
          <w:rFonts w:hint="eastAsia"/>
          <w:color w:val="auto"/>
        </w:rPr>
        <w:t>3</w:t>
      </w:r>
      <w:r>
        <w:rPr>
          <w:rFonts w:hint="eastAsia"/>
          <w:color w:val="auto"/>
          <w:lang w:val="en-US" w:eastAsia="zh-CN"/>
        </w:rPr>
        <w:t>.</w:t>
      </w:r>
      <w:r>
        <w:rPr>
          <w:color w:val="auto"/>
        </w:rPr>
        <w:t>评标</w:t>
      </w:r>
    </w:p>
    <w:p w14:paraId="48C433B0">
      <w:pPr>
        <w:pStyle w:val="39"/>
        <w:pageBreakBefore w:val="0"/>
        <w:tabs>
          <w:tab w:val="left" w:pos="1640"/>
        </w:tabs>
        <w:topLinePunct w:val="0"/>
        <w:bidi w:val="0"/>
        <w:spacing w:line="500" w:lineRule="exact"/>
        <w:ind w:left="0" w:leftChars="0" w:right="0" w:rightChars="0" w:firstLine="480" w:firstLineChars="200"/>
        <w:jc w:val="both"/>
        <w:rPr>
          <w:color w:val="auto"/>
          <w:sz w:val="24"/>
        </w:rPr>
      </w:pPr>
      <w:r>
        <w:rPr>
          <w:rFonts w:hint="eastAsia"/>
          <w:color w:val="auto"/>
          <w:sz w:val="24"/>
          <w:lang w:val="en-US"/>
        </w:rPr>
        <w:t xml:space="preserve">3.1 </w:t>
      </w:r>
      <w:r>
        <w:rPr>
          <w:color w:val="auto"/>
          <w:sz w:val="24"/>
        </w:rPr>
        <w:t>采购人根据招标参数和技术要求等特点组建评标委员会，评标委员会由采购人、技术和其他有关方面专家组成。评标委员会负责对具备实质性响应的投标文件进行评</w:t>
      </w:r>
      <w:r>
        <w:rPr>
          <w:rFonts w:hint="eastAsia"/>
          <w:color w:val="auto"/>
          <w:sz w:val="24"/>
          <w:lang w:val="en-US" w:eastAsia="zh-CN"/>
        </w:rPr>
        <w:t>审</w:t>
      </w:r>
      <w:r>
        <w:rPr>
          <w:color w:val="auto"/>
          <w:sz w:val="24"/>
        </w:rPr>
        <w:t>和比较。</w:t>
      </w:r>
    </w:p>
    <w:p w14:paraId="48D82E41">
      <w:pPr>
        <w:pStyle w:val="39"/>
        <w:pageBreakBefore w:val="0"/>
        <w:tabs>
          <w:tab w:val="left" w:pos="1640"/>
        </w:tabs>
        <w:topLinePunct w:val="0"/>
        <w:bidi w:val="0"/>
        <w:spacing w:line="500" w:lineRule="exact"/>
        <w:ind w:left="0" w:leftChars="0" w:right="0" w:rightChars="0" w:firstLine="480" w:firstLineChars="200"/>
        <w:jc w:val="both"/>
        <w:rPr>
          <w:color w:val="auto"/>
          <w:sz w:val="24"/>
        </w:rPr>
      </w:pPr>
      <w:r>
        <w:rPr>
          <w:rFonts w:hint="eastAsia"/>
          <w:color w:val="auto"/>
          <w:sz w:val="24"/>
          <w:lang w:val="en-US"/>
        </w:rPr>
        <w:t xml:space="preserve">3.2 </w:t>
      </w:r>
      <w:r>
        <w:rPr>
          <w:color w:val="auto"/>
          <w:sz w:val="24"/>
        </w:rPr>
        <w:t>评标委员会采用“以能够最大限度满足招标文件中规定的各项综合评价标准进行综合打分”的方法，依次对各个</w:t>
      </w:r>
      <w:r>
        <w:rPr>
          <w:rFonts w:hint="eastAsia"/>
          <w:color w:val="auto"/>
          <w:sz w:val="24"/>
          <w:lang w:eastAsia="zh-CN"/>
        </w:rPr>
        <w:t>供应商</w:t>
      </w:r>
      <w:r>
        <w:rPr>
          <w:color w:val="auto"/>
          <w:sz w:val="24"/>
        </w:rPr>
        <w:t>进行评审。</w:t>
      </w:r>
    </w:p>
    <w:p w14:paraId="08139A1E">
      <w:pPr>
        <w:pStyle w:val="39"/>
        <w:pageBreakBefore w:val="0"/>
        <w:tabs>
          <w:tab w:val="left" w:pos="1640"/>
        </w:tabs>
        <w:topLinePunct w:val="0"/>
        <w:bidi w:val="0"/>
        <w:spacing w:line="500" w:lineRule="exact"/>
        <w:ind w:left="0" w:leftChars="0" w:right="0" w:rightChars="0" w:firstLine="480" w:firstLineChars="200"/>
        <w:jc w:val="both"/>
        <w:rPr>
          <w:color w:val="auto"/>
          <w:sz w:val="24"/>
        </w:rPr>
      </w:pPr>
      <w:r>
        <w:rPr>
          <w:rFonts w:hint="eastAsia"/>
          <w:color w:val="auto"/>
          <w:sz w:val="24"/>
          <w:lang w:val="en-US"/>
        </w:rPr>
        <w:t xml:space="preserve">3.3 </w:t>
      </w:r>
      <w:r>
        <w:rPr>
          <w:color w:val="auto"/>
          <w:sz w:val="24"/>
        </w:rPr>
        <w:t>评标原则</w:t>
      </w:r>
    </w:p>
    <w:p w14:paraId="2A952A92">
      <w:pPr>
        <w:pStyle w:val="12"/>
        <w:pageBreakBefore w:val="0"/>
        <w:topLinePunct w:val="0"/>
        <w:bidi w:val="0"/>
        <w:spacing w:line="500" w:lineRule="exact"/>
        <w:ind w:left="0" w:leftChars="0" w:right="0" w:rightChars="0" w:firstLine="480" w:firstLineChars="200"/>
        <w:rPr>
          <w:color w:val="auto"/>
        </w:rPr>
      </w:pPr>
      <w:r>
        <w:rPr>
          <w:color w:val="auto"/>
        </w:rPr>
        <w:t>严格按照招标文件的要求和内容进行评标，同时考虑以下因素：</w:t>
      </w:r>
    </w:p>
    <w:p w14:paraId="594EE8CB">
      <w:pPr>
        <w:pStyle w:val="39"/>
        <w:pageBreakBefore w:val="0"/>
        <w:tabs>
          <w:tab w:val="left" w:pos="1979"/>
        </w:tabs>
        <w:topLinePunct w:val="0"/>
        <w:bidi w:val="0"/>
        <w:spacing w:line="500" w:lineRule="exact"/>
        <w:ind w:left="0" w:leftChars="0" w:right="0" w:rightChars="0" w:firstLine="480" w:firstLineChars="200"/>
        <w:rPr>
          <w:color w:val="auto"/>
          <w:sz w:val="24"/>
        </w:rPr>
      </w:pPr>
      <w:r>
        <w:rPr>
          <w:rFonts w:hint="eastAsia"/>
          <w:color w:val="auto"/>
          <w:sz w:val="24"/>
          <w:lang w:val="en-US"/>
        </w:rPr>
        <w:t xml:space="preserve">3.3.1 </w:t>
      </w:r>
      <w:r>
        <w:rPr>
          <w:color w:val="auto"/>
          <w:sz w:val="24"/>
        </w:rPr>
        <w:t>投标产品质量；</w:t>
      </w:r>
    </w:p>
    <w:p w14:paraId="63E41B33">
      <w:pPr>
        <w:pStyle w:val="39"/>
        <w:pageBreakBefore w:val="0"/>
        <w:tabs>
          <w:tab w:val="left" w:pos="1979"/>
        </w:tabs>
        <w:topLinePunct w:val="0"/>
        <w:bidi w:val="0"/>
        <w:spacing w:line="500" w:lineRule="exact"/>
        <w:ind w:left="0" w:leftChars="0" w:right="0" w:rightChars="0" w:firstLine="480" w:firstLineChars="200"/>
        <w:rPr>
          <w:color w:val="auto"/>
          <w:sz w:val="24"/>
        </w:rPr>
      </w:pPr>
      <w:r>
        <w:rPr>
          <w:rFonts w:hint="eastAsia"/>
          <w:color w:val="auto"/>
          <w:sz w:val="24"/>
          <w:lang w:val="en-US"/>
        </w:rPr>
        <w:t xml:space="preserve">3.3.2 </w:t>
      </w:r>
      <w:r>
        <w:rPr>
          <w:color w:val="auto"/>
          <w:sz w:val="24"/>
        </w:rPr>
        <w:t>价格；</w:t>
      </w:r>
    </w:p>
    <w:p w14:paraId="7C73B10C">
      <w:pPr>
        <w:pStyle w:val="39"/>
        <w:pageBreakBefore w:val="0"/>
        <w:tabs>
          <w:tab w:val="left" w:pos="1979"/>
        </w:tabs>
        <w:topLinePunct w:val="0"/>
        <w:bidi w:val="0"/>
        <w:spacing w:line="500" w:lineRule="exact"/>
        <w:ind w:left="0" w:leftChars="0" w:right="0" w:rightChars="0" w:firstLine="480" w:firstLineChars="200"/>
        <w:rPr>
          <w:color w:val="auto"/>
          <w:sz w:val="24"/>
        </w:rPr>
      </w:pPr>
      <w:r>
        <w:rPr>
          <w:rFonts w:hint="eastAsia"/>
          <w:color w:val="auto"/>
          <w:sz w:val="24"/>
          <w:lang w:val="en-US"/>
        </w:rPr>
        <w:t xml:space="preserve">3.3.3 </w:t>
      </w:r>
      <w:r>
        <w:rPr>
          <w:color w:val="auto"/>
          <w:sz w:val="24"/>
        </w:rPr>
        <w:t>企业的资信及资质情况；</w:t>
      </w:r>
    </w:p>
    <w:p w14:paraId="3503A0F1">
      <w:pPr>
        <w:pStyle w:val="39"/>
        <w:pageBreakBefore w:val="0"/>
        <w:tabs>
          <w:tab w:val="left" w:pos="1979"/>
        </w:tabs>
        <w:topLinePunct w:val="0"/>
        <w:bidi w:val="0"/>
        <w:spacing w:line="500" w:lineRule="exact"/>
        <w:ind w:left="0" w:leftChars="0" w:right="0" w:rightChars="0" w:firstLine="480" w:firstLineChars="200"/>
        <w:rPr>
          <w:color w:val="auto"/>
          <w:sz w:val="24"/>
        </w:rPr>
      </w:pPr>
      <w:r>
        <w:rPr>
          <w:rFonts w:hint="eastAsia"/>
          <w:color w:val="auto"/>
          <w:sz w:val="24"/>
          <w:lang w:val="en-US"/>
        </w:rPr>
        <w:t xml:space="preserve">3.3.4 </w:t>
      </w:r>
      <w:r>
        <w:rPr>
          <w:color w:val="auto"/>
          <w:sz w:val="24"/>
        </w:rPr>
        <w:t>技术服务措施、质量保证措施，售后服务措施等；</w:t>
      </w:r>
    </w:p>
    <w:p w14:paraId="4FC15B77">
      <w:pPr>
        <w:pStyle w:val="39"/>
        <w:pageBreakBefore w:val="0"/>
        <w:tabs>
          <w:tab w:val="left" w:pos="1979"/>
        </w:tabs>
        <w:topLinePunct w:val="0"/>
        <w:bidi w:val="0"/>
        <w:spacing w:line="500" w:lineRule="exact"/>
        <w:ind w:left="0" w:leftChars="0" w:right="0" w:rightChars="0" w:firstLine="480" w:firstLineChars="200"/>
        <w:rPr>
          <w:color w:val="auto"/>
          <w:sz w:val="24"/>
        </w:rPr>
      </w:pPr>
      <w:r>
        <w:rPr>
          <w:rFonts w:hint="eastAsia"/>
          <w:color w:val="auto"/>
          <w:sz w:val="24"/>
          <w:lang w:val="en-US"/>
        </w:rPr>
        <w:t>3.3.5</w:t>
      </w:r>
      <w:r>
        <w:rPr>
          <w:rFonts w:hint="eastAsia"/>
          <w:color w:val="auto"/>
          <w:sz w:val="24"/>
          <w:lang w:val="en-US" w:eastAsia="zh-CN"/>
        </w:rPr>
        <w:t xml:space="preserve"> </w:t>
      </w:r>
      <w:r>
        <w:rPr>
          <w:color w:val="auto"/>
          <w:sz w:val="24"/>
        </w:rPr>
        <w:t>投标方案说明；</w:t>
      </w:r>
    </w:p>
    <w:p w14:paraId="1F44ABBD">
      <w:pPr>
        <w:pStyle w:val="39"/>
        <w:pageBreakBefore w:val="0"/>
        <w:tabs>
          <w:tab w:val="left" w:pos="1979"/>
        </w:tabs>
        <w:topLinePunct w:val="0"/>
        <w:bidi w:val="0"/>
        <w:spacing w:line="500" w:lineRule="exact"/>
        <w:ind w:left="0" w:leftChars="0" w:right="0" w:rightChars="0" w:firstLine="480" w:firstLineChars="200"/>
        <w:rPr>
          <w:color w:val="auto"/>
          <w:sz w:val="24"/>
        </w:rPr>
      </w:pPr>
      <w:r>
        <w:rPr>
          <w:rFonts w:hint="eastAsia"/>
          <w:color w:val="auto"/>
          <w:sz w:val="24"/>
          <w:lang w:val="en-US"/>
        </w:rPr>
        <w:t>3.3.6</w:t>
      </w:r>
      <w:r>
        <w:rPr>
          <w:rFonts w:hint="eastAsia"/>
          <w:color w:val="auto"/>
          <w:sz w:val="24"/>
          <w:lang w:val="en-US" w:eastAsia="zh-CN"/>
        </w:rPr>
        <w:t xml:space="preserve"> </w:t>
      </w:r>
      <w:r>
        <w:rPr>
          <w:color w:val="auto"/>
          <w:sz w:val="24"/>
        </w:rPr>
        <w:t>供货期及交货方式；</w:t>
      </w:r>
    </w:p>
    <w:p w14:paraId="452C0750">
      <w:pPr>
        <w:pStyle w:val="39"/>
        <w:pageBreakBefore w:val="0"/>
        <w:tabs>
          <w:tab w:val="left" w:pos="1640"/>
        </w:tabs>
        <w:topLinePunct w:val="0"/>
        <w:bidi w:val="0"/>
        <w:spacing w:line="500" w:lineRule="exact"/>
        <w:ind w:left="0" w:leftChars="0" w:right="0" w:rightChars="0" w:firstLine="480" w:firstLineChars="200"/>
        <w:rPr>
          <w:color w:val="auto"/>
          <w:sz w:val="24"/>
        </w:rPr>
      </w:pPr>
      <w:r>
        <w:rPr>
          <w:rFonts w:hint="eastAsia"/>
          <w:color w:val="auto"/>
          <w:sz w:val="24"/>
          <w:lang w:val="en-US"/>
        </w:rPr>
        <w:t xml:space="preserve">3.4 </w:t>
      </w:r>
      <w:r>
        <w:rPr>
          <w:color w:val="auto"/>
          <w:sz w:val="24"/>
        </w:rPr>
        <w:t>评标办法</w:t>
      </w:r>
    </w:p>
    <w:p w14:paraId="49340339">
      <w:pPr>
        <w:pStyle w:val="39"/>
        <w:pageBreakBefore w:val="0"/>
        <w:tabs>
          <w:tab w:val="left" w:pos="1880"/>
        </w:tabs>
        <w:topLinePunct w:val="0"/>
        <w:bidi w:val="0"/>
        <w:spacing w:line="500" w:lineRule="exact"/>
        <w:ind w:left="0" w:leftChars="0" w:right="0" w:rightChars="0" w:firstLine="480" w:firstLineChars="200"/>
        <w:rPr>
          <w:color w:val="auto"/>
          <w:sz w:val="24"/>
        </w:rPr>
      </w:pPr>
      <w:r>
        <w:rPr>
          <w:rFonts w:hint="eastAsia"/>
          <w:color w:val="auto"/>
          <w:sz w:val="24"/>
          <w:lang w:val="en-US"/>
        </w:rPr>
        <w:t xml:space="preserve">3.4.1 </w:t>
      </w:r>
      <w:r>
        <w:rPr>
          <w:color w:val="auto"/>
          <w:sz w:val="24"/>
        </w:rPr>
        <w:t>评标委员会评审投标文件符合性只根据投标文件本身的内容，而不寻求其他外部证据。</w:t>
      </w:r>
    </w:p>
    <w:p w14:paraId="17EB8570">
      <w:pPr>
        <w:pStyle w:val="39"/>
        <w:pageBreakBefore w:val="0"/>
        <w:tabs>
          <w:tab w:val="left" w:pos="1880"/>
        </w:tabs>
        <w:topLinePunct w:val="0"/>
        <w:bidi w:val="0"/>
        <w:spacing w:line="500" w:lineRule="exact"/>
        <w:ind w:left="0" w:leftChars="0" w:right="0" w:rightChars="0" w:firstLine="480" w:firstLineChars="200"/>
        <w:rPr>
          <w:color w:val="auto"/>
          <w:sz w:val="24"/>
        </w:rPr>
      </w:pPr>
      <w:r>
        <w:rPr>
          <w:rFonts w:hint="eastAsia"/>
          <w:color w:val="auto"/>
          <w:sz w:val="24"/>
          <w:lang w:val="en-US"/>
        </w:rPr>
        <w:t xml:space="preserve">3.4.2 </w:t>
      </w:r>
      <w:r>
        <w:rPr>
          <w:color w:val="auto"/>
          <w:sz w:val="24"/>
        </w:rPr>
        <w:t>评标采取逐项分步评审方式，每一步评审不符合者，不进入下一步评审，全部评审合格的</w:t>
      </w:r>
      <w:r>
        <w:rPr>
          <w:rFonts w:hint="eastAsia"/>
          <w:color w:val="auto"/>
          <w:sz w:val="24"/>
          <w:lang w:eastAsia="zh-CN"/>
        </w:rPr>
        <w:t>供应商</w:t>
      </w:r>
      <w:r>
        <w:rPr>
          <w:color w:val="auto"/>
          <w:sz w:val="24"/>
        </w:rPr>
        <w:t>进行最后的综合评审和打分，按最后得分由高向低排序，推荐中标候选人。</w:t>
      </w:r>
    </w:p>
    <w:p w14:paraId="263E0DA8">
      <w:pPr>
        <w:pStyle w:val="39"/>
        <w:pageBreakBefore w:val="0"/>
        <w:tabs>
          <w:tab w:val="left" w:pos="1880"/>
        </w:tabs>
        <w:topLinePunct w:val="0"/>
        <w:bidi w:val="0"/>
        <w:spacing w:line="500" w:lineRule="exact"/>
        <w:ind w:left="0" w:leftChars="0" w:right="0" w:rightChars="0" w:firstLine="480" w:firstLineChars="200"/>
        <w:rPr>
          <w:color w:val="auto"/>
          <w:sz w:val="24"/>
        </w:rPr>
      </w:pPr>
      <w:r>
        <w:rPr>
          <w:rFonts w:hint="eastAsia"/>
          <w:color w:val="auto"/>
          <w:sz w:val="24"/>
          <w:lang w:val="en-US"/>
        </w:rPr>
        <w:t xml:space="preserve">3.4.3 </w:t>
      </w:r>
      <w:r>
        <w:rPr>
          <w:color w:val="auto"/>
          <w:sz w:val="24"/>
        </w:rPr>
        <w:t>其他需说明的情况：</w:t>
      </w:r>
    </w:p>
    <w:p w14:paraId="0AEBF2A5">
      <w:pPr>
        <w:pStyle w:val="12"/>
        <w:pageBreakBefore w:val="0"/>
        <w:topLinePunct w:val="0"/>
        <w:bidi w:val="0"/>
        <w:spacing w:line="500" w:lineRule="exact"/>
        <w:ind w:left="0" w:leftChars="0" w:right="0" w:rightChars="0" w:firstLine="480" w:firstLineChars="200"/>
        <w:rPr>
          <w:color w:val="auto"/>
        </w:rPr>
      </w:pPr>
      <w:r>
        <w:rPr>
          <w:color w:val="auto"/>
        </w:rPr>
        <w:t>a</w:t>
      </w:r>
      <w:r>
        <w:rPr>
          <w:rFonts w:hint="eastAsia"/>
          <w:color w:val="auto"/>
          <w:lang w:eastAsia="zh-CN"/>
        </w:rPr>
        <w:t>.</w:t>
      </w:r>
      <w:r>
        <w:rPr>
          <w:color w:val="auto"/>
        </w:rPr>
        <w:t>对于投标文件中不构成实质性偏差的，采购人可以接受，但这种接受不能损害或影响任何</w:t>
      </w:r>
      <w:r>
        <w:rPr>
          <w:rFonts w:hint="eastAsia"/>
          <w:color w:val="auto"/>
          <w:lang w:eastAsia="zh-CN"/>
        </w:rPr>
        <w:t>供应商</w:t>
      </w:r>
      <w:r>
        <w:rPr>
          <w:color w:val="auto"/>
        </w:rPr>
        <w:t>的相对排序；</w:t>
      </w:r>
    </w:p>
    <w:p w14:paraId="186580AA">
      <w:pPr>
        <w:pStyle w:val="12"/>
        <w:pageBreakBefore w:val="0"/>
        <w:topLinePunct w:val="0"/>
        <w:bidi w:val="0"/>
        <w:spacing w:line="500" w:lineRule="exact"/>
        <w:ind w:left="0" w:leftChars="0" w:right="0" w:rightChars="0" w:firstLine="480" w:firstLineChars="200"/>
        <w:rPr>
          <w:color w:val="auto"/>
        </w:rPr>
      </w:pPr>
      <w:r>
        <w:rPr>
          <w:color w:val="auto"/>
        </w:rPr>
        <w:t>b</w:t>
      </w:r>
      <w:r>
        <w:rPr>
          <w:rFonts w:hint="eastAsia"/>
          <w:color w:val="auto"/>
          <w:lang w:eastAsia="zh-CN"/>
        </w:rPr>
        <w:t>.</w:t>
      </w:r>
      <w:r>
        <w:rPr>
          <w:color w:val="auto"/>
        </w:rPr>
        <w:t>最低报价不是中标的唯一条件；</w:t>
      </w:r>
    </w:p>
    <w:p w14:paraId="41A8DE49">
      <w:pPr>
        <w:pStyle w:val="12"/>
        <w:pageBreakBefore w:val="0"/>
        <w:topLinePunct w:val="0"/>
        <w:bidi w:val="0"/>
        <w:spacing w:line="500" w:lineRule="exact"/>
        <w:ind w:left="0" w:leftChars="0" w:right="0" w:rightChars="0" w:firstLine="480" w:firstLineChars="200"/>
        <w:rPr>
          <w:color w:val="auto"/>
        </w:rPr>
      </w:pPr>
      <w:r>
        <w:rPr>
          <w:color w:val="auto"/>
        </w:rPr>
        <w:t>c</w:t>
      </w:r>
      <w:r>
        <w:rPr>
          <w:rFonts w:hint="eastAsia"/>
          <w:color w:val="auto"/>
          <w:lang w:eastAsia="zh-CN"/>
        </w:rPr>
        <w:t>.</w:t>
      </w:r>
      <w:r>
        <w:rPr>
          <w:color w:val="auto"/>
        </w:rPr>
        <w:t>如果投标实质上没有响应招标文件的要求，其投标将被拒绝，</w:t>
      </w:r>
      <w:r>
        <w:rPr>
          <w:rFonts w:hint="eastAsia"/>
          <w:color w:val="auto"/>
          <w:lang w:eastAsia="zh-CN"/>
        </w:rPr>
        <w:t>供应商</w:t>
      </w:r>
      <w:r>
        <w:rPr>
          <w:color w:val="auto"/>
        </w:rPr>
        <w:t>不得通过修正或撤消</w:t>
      </w:r>
      <w:r>
        <w:rPr>
          <w:rFonts w:hint="eastAsia"/>
          <w:color w:val="auto"/>
          <w:lang w:eastAsia="zh-CN"/>
        </w:rPr>
        <w:t>不符</w:t>
      </w:r>
      <w:r>
        <w:rPr>
          <w:color w:val="auto"/>
        </w:rPr>
        <w:t>合要求的偏离或保留从而使其投标成为实质上响应的投标。</w:t>
      </w:r>
    </w:p>
    <w:p w14:paraId="3689E0EC">
      <w:pPr>
        <w:pStyle w:val="12"/>
        <w:pageBreakBefore w:val="0"/>
        <w:topLinePunct w:val="0"/>
        <w:bidi w:val="0"/>
        <w:spacing w:line="500" w:lineRule="exact"/>
        <w:ind w:left="0" w:leftChars="0" w:right="0" w:rightChars="0" w:firstLine="480" w:firstLineChars="200"/>
        <w:rPr>
          <w:color w:val="auto"/>
        </w:rPr>
      </w:pPr>
      <w:r>
        <w:rPr>
          <w:color w:val="auto"/>
        </w:rPr>
        <w:t>d</w:t>
      </w:r>
      <w:r>
        <w:rPr>
          <w:rFonts w:hint="eastAsia"/>
          <w:color w:val="auto"/>
          <w:lang w:eastAsia="zh-CN"/>
        </w:rPr>
        <w:t>.</w:t>
      </w:r>
      <w:r>
        <w:rPr>
          <w:color w:val="auto"/>
        </w:rPr>
        <w:t>无论投标的结果如何，投标期间一切费用自理。</w:t>
      </w:r>
    </w:p>
    <w:p w14:paraId="3597D90E">
      <w:pPr>
        <w:pStyle w:val="21"/>
        <w:pageBreakBefore w:val="0"/>
        <w:topLinePunct w:val="0"/>
        <w:bidi w:val="0"/>
        <w:spacing w:line="500" w:lineRule="exact"/>
        <w:ind w:left="0" w:leftChars="0" w:right="0" w:rightChars="0" w:firstLine="480" w:firstLineChars="200"/>
        <w:rPr>
          <w:color w:val="auto"/>
        </w:rPr>
      </w:pPr>
      <w:r>
        <w:rPr>
          <w:rFonts w:hint="eastAsia"/>
          <w:color w:val="auto"/>
          <w:lang w:val="en-US"/>
        </w:rPr>
        <w:t>3.5</w:t>
      </w:r>
      <w:r>
        <w:rPr>
          <w:color w:val="auto"/>
        </w:rPr>
        <w:t>评议内容及赋分方式：</w:t>
      </w:r>
      <w:bookmarkStart w:id="9" w:name="_Toc24934"/>
    </w:p>
    <w:p w14:paraId="173A82F1">
      <w:pPr>
        <w:pStyle w:val="7"/>
        <w:pageBreakBefore w:val="0"/>
        <w:topLinePunct w:val="0"/>
        <w:bidi w:val="0"/>
        <w:spacing w:line="500" w:lineRule="exact"/>
        <w:ind w:left="0" w:leftChars="0" w:right="0" w:rightChars="0" w:firstLine="482" w:firstLineChars="200"/>
        <w:rPr>
          <w:color w:val="auto"/>
        </w:rPr>
      </w:pPr>
      <w:r>
        <w:rPr>
          <w:rFonts w:hint="eastAsia"/>
          <w:color w:val="auto"/>
        </w:rPr>
        <w:t>（一）初步审查要素表</w:t>
      </w:r>
      <w:bookmarkEnd w:id="9"/>
    </w:p>
    <w:tbl>
      <w:tblPr>
        <w:tblStyle w:val="23"/>
        <w:tblW w:w="10644" w:type="dxa"/>
        <w:tblInd w:w="-3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
        <w:gridCol w:w="840"/>
        <w:gridCol w:w="2580"/>
        <w:gridCol w:w="6636"/>
      </w:tblGrid>
      <w:tr w14:paraId="59D0E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blHeader/>
        </w:trPr>
        <w:tc>
          <w:tcPr>
            <w:tcW w:w="1428" w:type="dxa"/>
            <w:gridSpan w:val="2"/>
            <w:tcBorders>
              <w:top w:val="single" w:color="auto" w:sz="4" w:space="0"/>
              <w:left w:val="single" w:color="auto" w:sz="4" w:space="0"/>
              <w:right w:val="single" w:color="auto" w:sz="4" w:space="0"/>
            </w:tcBorders>
            <w:vAlign w:val="center"/>
          </w:tcPr>
          <w:p w14:paraId="379D8574">
            <w:pPr>
              <w:pageBreakBefore w:val="0"/>
              <w:widowControl/>
              <w:topLinePunct w:val="0"/>
              <w:bidi w:val="0"/>
              <w:spacing w:line="500" w:lineRule="exact"/>
              <w:ind w:left="0" w:leftChars="0" w:right="0" w:rightChars="0" w:firstLine="422" w:firstLineChars="200"/>
              <w:jc w:val="center"/>
              <w:rPr>
                <w:rFonts w:hint="eastAsia" w:ascii="宋体" w:hAnsi="宋体"/>
                <w:b/>
                <w:bCs/>
                <w:color w:val="auto"/>
                <w:sz w:val="21"/>
                <w:szCs w:val="21"/>
                <w:lang w:val="en-US" w:eastAsia="zh-CN"/>
              </w:rPr>
            </w:pPr>
            <w:r>
              <w:rPr>
                <w:rFonts w:hint="eastAsia" w:ascii="宋体" w:hAnsi="宋体"/>
                <w:b/>
                <w:bCs/>
                <w:color w:val="auto"/>
                <w:sz w:val="21"/>
                <w:szCs w:val="21"/>
                <w:lang w:val="en-US" w:eastAsia="zh-CN"/>
              </w:rPr>
              <w:t>条款号</w:t>
            </w:r>
          </w:p>
        </w:tc>
        <w:tc>
          <w:tcPr>
            <w:tcW w:w="2580" w:type="dxa"/>
            <w:tcBorders>
              <w:top w:val="single" w:color="auto" w:sz="4" w:space="0"/>
              <w:left w:val="single" w:color="auto" w:sz="4" w:space="0"/>
              <w:right w:val="single" w:color="auto" w:sz="4" w:space="0"/>
            </w:tcBorders>
            <w:vAlign w:val="center"/>
          </w:tcPr>
          <w:p w14:paraId="18797C65">
            <w:pPr>
              <w:pageBreakBefore w:val="0"/>
              <w:widowControl/>
              <w:topLinePunct w:val="0"/>
              <w:bidi w:val="0"/>
              <w:spacing w:line="500" w:lineRule="exact"/>
              <w:ind w:left="0" w:leftChars="0" w:right="0" w:rightChars="0" w:firstLine="422" w:firstLineChars="200"/>
              <w:jc w:val="center"/>
              <w:rPr>
                <w:rFonts w:hint="eastAsia" w:ascii="宋体" w:hAnsi="宋体"/>
                <w:b/>
                <w:bCs/>
                <w:color w:val="auto"/>
                <w:sz w:val="21"/>
                <w:szCs w:val="21"/>
                <w:lang w:val="en-US" w:eastAsia="zh-CN"/>
              </w:rPr>
            </w:pPr>
            <w:r>
              <w:rPr>
                <w:rFonts w:hint="eastAsia" w:ascii="宋体" w:hAnsi="宋体"/>
                <w:b/>
                <w:bCs/>
                <w:color w:val="auto"/>
                <w:sz w:val="21"/>
                <w:szCs w:val="21"/>
                <w:lang w:val="en-US" w:eastAsia="zh-CN"/>
              </w:rPr>
              <w:t>评审因素</w:t>
            </w:r>
          </w:p>
        </w:tc>
        <w:tc>
          <w:tcPr>
            <w:tcW w:w="6636" w:type="dxa"/>
            <w:tcBorders>
              <w:top w:val="single" w:color="auto" w:sz="4" w:space="0"/>
              <w:left w:val="single" w:color="auto" w:sz="4" w:space="0"/>
              <w:bottom w:val="single" w:color="auto" w:sz="4" w:space="0"/>
              <w:right w:val="single" w:color="auto" w:sz="4" w:space="0"/>
            </w:tcBorders>
            <w:vAlign w:val="center"/>
          </w:tcPr>
          <w:p w14:paraId="52C5723F">
            <w:pPr>
              <w:pageBreakBefore w:val="0"/>
              <w:widowControl/>
              <w:topLinePunct w:val="0"/>
              <w:bidi w:val="0"/>
              <w:spacing w:line="500" w:lineRule="exact"/>
              <w:ind w:left="0" w:leftChars="0" w:right="0" w:rightChars="0" w:firstLine="422" w:firstLineChars="200"/>
              <w:jc w:val="center"/>
              <w:rPr>
                <w:rFonts w:hint="eastAsia" w:ascii="宋体" w:hAnsi="宋体"/>
                <w:b/>
                <w:bCs/>
                <w:color w:val="auto"/>
                <w:sz w:val="21"/>
                <w:szCs w:val="21"/>
                <w:lang w:val="en-US" w:eastAsia="zh-CN"/>
              </w:rPr>
            </w:pPr>
            <w:r>
              <w:rPr>
                <w:rFonts w:hint="eastAsia" w:ascii="宋体" w:hAnsi="宋体"/>
                <w:b/>
                <w:bCs/>
                <w:color w:val="auto"/>
                <w:sz w:val="21"/>
                <w:szCs w:val="21"/>
                <w:lang w:val="en-US" w:eastAsia="zh-CN"/>
              </w:rPr>
              <w:t>评审标准</w:t>
            </w:r>
          </w:p>
        </w:tc>
      </w:tr>
      <w:tr w14:paraId="34C1A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588" w:type="dxa"/>
            <w:vMerge w:val="restart"/>
            <w:tcBorders>
              <w:top w:val="single" w:color="auto" w:sz="4" w:space="0"/>
              <w:left w:val="single" w:color="auto" w:sz="4" w:space="0"/>
              <w:right w:val="single" w:color="auto" w:sz="4" w:space="0"/>
            </w:tcBorders>
            <w:vAlign w:val="center"/>
          </w:tcPr>
          <w:p w14:paraId="03B6C091">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1.1</w:t>
            </w:r>
          </w:p>
        </w:tc>
        <w:tc>
          <w:tcPr>
            <w:tcW w:w="840" w:type="dxa"/>
            <w:vMerge w:val="restart"/>
            <w:tcBorders>
              <w:top w:val="single" w:color="auto" w:sz="4" w:space="0"/>
              <w:left w:val="single" w:color="auto" w:sz="4" w:space="0"/>
              <w:right w:val="single" w:color="auto" w:sz="4" w:space="0"/>
            </w:tcBorders>
            <w:vAlign w:val="center"/>
          </w:tcPr>
          <w:p w14:paraId="4A452ADA">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资格评审标准</w:t>
            </w:r>
          </w:p>
        </w:tc>
        <w:tc>
          <w:tcPr>
            <w:tcW w:w="2580" w:type="dxa"/>
            <w:tcBorders>
              <w:top w:val="single" w:color="auto" w:sz="4" w:space="0"/>
              <w:left w:val="single" w:color="auto" w:sz="4" w:space="0"/>
              <w:right w:val="single" w:color="auto" w:sz="4" w:space="0"/>
            </w:tcBorders>
            <w:vAlign w:val="center"/>
          </w:tcPr>
          <w:p w14:paraId="648BD82B">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有效的主体资格证明</w:t>
            </w:r>
          </w:p>
        </w:tc>
        <w:tc>
          <w:tcPr>
            <w:tcW w:w="6636" w:type="dxa"/>
            <w:tcBorders>
              <w:top w:val="single" w:color="auto" w:sz="4" w:space="0"/>
              <w:left w:val="single" w:color="auto" w:sz="4" w:space="0"/>
              <w:bottom w:val="single" w:color="auto" w:sz="4" w:space="0"/>
              <w:right w:val="single" w:color="auto" w:sz="4" w:space="0"/>
            </w:tcBorders>
            <w:vAlign w:val="center"/>
          </w:tcPr>
          <w:p w14:paraId="115B3AF8">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具有独立承担民事责任的能力，提供营业执照、税务登记证、组织机构代码证或登载有统一社会信用代码的营业执照（或《事业单位法人证书》或其他合法组织登记证书、自然人只须提供身份证）</w:t>
            </w:r>
            <w:r>
              <w:rPr>
                <w:rFonts w:hint="eastAsia"/>
                <w:color w:val="auto"/>
                <w:sz w:val="21"/>
                <w:szCs w:val="21"/>
                <w:lang w:val="en-US" w:eastAsia="zh-CN"/>
              </w:rPr>
              <w:t>。</w:t>
            </w:r>
          </w:p>
        </w:tc>
      </w:tr>
      <w:tr w14:paraId="2BBF3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8" w:type="dxa"/>
            <w:vMerge w:val="continue"/>
            <w:tcBorders>
              <w:left w:val="single" w:color="auto" w:sz="4" w:space="0"/>
              <w:right w:val="single" w:color="auto" w:sz="4" w:space="0"/>
            </w:tcBorders>
            <w:vAlign w:val="center"/>
          </w:tcPr>
          <w:p w14:paraId="42D0DE08">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4D37677C">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580" w:type="dxa"/>
            <w:tcBorders>
              <w:top w:val="single" w:color="auto" w:sz="4" w:space="0"/>
              <w:left w:val="single" w:color="auto" w:sz="4" w:space="0"/>
              <w:bottom w:val="single" w:color="auto" w:sz="4" w:space="0"/>
              <w:right w:val="single" w:color="auto" w:sz="4" w:space="0"/>
            </w:tcBorders>
            <w:vAlign w:val="center"/>
          </w:tcPr>
          <w:p w14:paraId="3CF4207C">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法定代表人身份证明或法定代表人授权书</w:t>
            </w:r>
          </w:p>
        </w:tc>
        <w:tc>
          <w:tcPr>
            <w:tcW w:w="6636" w:type="dxa"/>
            <w:tcBorders>
              <w:top w:val="single" w:color="auto" w:sz="4" w:space="0"/>
              <w:left w:val="single" w:color="auto" w:sz="4" w:space="0"/>
              <w:bottom w:val="single" w:color="auto" w:sz="4" w:space="0"/>
              <w:right w:val="single" w:color="auto" w:sz="4" w:space="0"/>
            </w:tcBorders>
            <w:vAlign w:val="center"/>
          </w:tcPr>
          <w:p w14:paraId="685755FB">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法定代表人参加投标的，提供本人身份证；法定代表人授权他人参加投标的，提供法定代表人委托授权书并出示被授权代</w:t>
            </w:r>
            <w:r>
              <w:rPr>
                <w:rFonts w:hint="eastAsia"/>
                <w:color w:val="auto"/>
                <w:sz w:val="21"/>
                <w:szCs w:val="21"/>
                <w:lang w:val="en-US" w:eastAsia="zh-CN"/>
              </w:rPr>
              <w:t>表人</w:t>
            </w:r>
            <w:r>
              <w:rPr>
                <w:rFonts w:hint="eastAsia" w:ascii="宋体" w:hAnsi="宋体"/>
                <w:color w:val="auto"/>
                <w:sz w:val="21"/>
                <w:szCs w:val="21"/>
                <w:lang w:val="en-US" w:eastAsia="zh-CN"/>
              </w:rPr>
              <w:t>的身份证</w:t>
            </w:r>
            <w:r>
              <w:rPr>
                <w:rFonts w:hint="eastAsia"/>
                <w:color w:val="auto"/>
                <w:sz w:val="21"/>
                <w:szCs w:val="21"/>
                <w:lang w:val="en-US" w:eastAsia="zh-CN"/>
              </w:rPr>
              <w:t>。</w:t>
            </w:r>
          </w:p>
        </w:tc>
      </w:tr>
      <w:tr w14:paraId="4FD1C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588" w:type="dxa"/>
            <w:vMerge w:val="continue"/>
            <w:tcBorders>
              <w:left w:val="single" w:color="auto" w:sz="4" w:space="0"/>
              <w:right w:val="single" w:color="auto" w:sz="4" w:space="0"/>
            </w:tcBorders>
            <w:vAlign w:val="center"/>
          </w:tcPr>
          <w:p w14:paraId="58AA7B29">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64FF5115">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580" w:type="dxa"/>
            <w:tcBorders>
              <w:top w:val="single" w:color="auto" w:sz="4" w:space="0"/>
              <w:left w:val="single" w:color="auto" w:sz="4" w:space="0"/>
              <w:right w:val="single" w:color="auto" w:sz="4" w:space="0"/>
            </w:tcBorders>
            <w:vAlign w:val="center"/>
          </w:tcPr>
          <w:p w14:paraId="38198BA7">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r>
              <w:rPr>
                <w:rFonts w:hint="eastAsia" w:ascii="宋体" w:hAnsi="宋体"/>
                <w:color w:val="auto"/>
                <w:sz w:val="21"/>
                <w:szCs w:val="21"/>
                <w:lang w:val="en-US" w:eastAsia="zh-CN"/>
              </w:rPr>
              <w:t>特定资格证明材料</w:t>
            </w:r>
          </w:p>
        </w:tc>
        <w:tc>
          <w:tcPr>
            <w:tcW w:w="6636" w:type="dxa"/>
            <w:tcBorders>
              <w:top w:val="single" w:color="auto" w:sz="4" w:space="0"/>
              <w:left w:val="single" w:color="auto" w:sz="4" w:space="0"/>
              <w:bottom w:val="single" w:color="auto" w:sz="4" w:space="0"/>
              <w:right w:val="single" w:color="auto" w:sz="4" w:space="0"/>
            </w:tcBorders>
            <w:vAlign w:val="center"/>
          </w:tcPr>
          <w:p w14:paraId="72A30353">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b/>
                <w:bCs/>
                <w:color w:val="auto"/>
                <w:sz w:val="21"/>
                <w:szCs w:val="21"/>
                <w:lang w:val="en-US" w:eastAsia="zh-CN"/>
              </w:rPr>
              <w:t>合同包1</w:t>
            </w:r>
            <w:r>
              <w:rPr>
                <w:rFonts w:hint="eastAsia"/>
                <w:b/>
                <w:bCs/>
                <w:color w:val="auto"/>
                <w:sz w:val="21"/>
                <w:szCs w:val="21"/>
                <w:lang w:val="en-US" w:eastAsia="zh-CN"/>
              </w:rPr>
              <w:t>和合同包4</w:t>
            </w:r>
            <w:r>
              <w:rPr>
                <w:rFonts w:hint="eastAsia" w:ascii="宋体" w:hAnsi="宋体"/>
                <w:b/>
                <w:bCs/>
                <w:color w:val="auto"/>
                <w:sz w:val="21"/>
                <w:szCs w:val="21"/>
                <w:lang w:val="en-US" w:eastAsia="zh-CN"/>
              </w:rPr>
              <w:t>：</w:t>
            </w:r>
            <w:r>
              <w:rPr>
                <w:rFonts w:hint="eastAsia" w:ascii="宋体" w:hAnsi="宋体"/>
                <w:color w:val="auto"/>
                <w:sz w:val="21"/>
                <w:szCs w:val="21"/>
                <w:lang w:val="en-US" w:eastAsia="zh-CN"/>
              </w:rPr>
              <w:t>供应商若为生产厂家的须提供《食品生产许可证》；供应商为代理商的须提供《食品经营许可证》或《陕西省仅销售预包装食品经营者备案表》，并提供生产厂家的《食品生产许可证》（复印件加盖生产厂家公章）</w:t>
            </w:r>
            <w:r>
              <w:rPr>
                <w:rFonts w:hint="eastAsia"/>
                <w:color w:val="auto"/>
                <w:sz w:val="21"/>
                <w:szCs w:val="21"/>
                <w:lang w:val="en-US" w:eastAsia="zh-CN"/>
              </w:rPr>
              <w:t>。</w:t>
            </w:r>
          </w:p>
          <w:p w14:paraId="5A4F4EC6">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b/>
                <w:bCs/>
                <w:color w:val="auto"/>
                <w:sz w:val="21"/>
                <w:szCs w:val="21"/>
                <w:lang w:val="en-US" w:eastAsia="zh-CN"/>
              </w:rPr>
              <w:t>合同包2</w:t>
            </w:r>
            <w:r>
              <w:rPr>
                <w:rFonts w:hint="eastAsia"/>
                <w:b/>
                <w:bCs/>
                <w:color w:val="auto"/>
                <w:sz w:val="21"/>
                <w:szCs w:val="21"/>
                <w:lang w:val="en-US" w:eastAsia="zh-CN"/>
              </w:rPr>
              <w:t>和合同包5</w:t>
            </w:r>
            <w:r>
              <w:rPr>
                <w:rFonts w:hint="eastAsia" w:ascii="宋体" w:hAnsi="宋体"/>
                <w:b/>
                <w:bCs/>
                <w:color w:val="auto"/>
                <w:sz w:val="21"/>
                <w:szCs w:val="21"/>
                <w:lang w:val="en-US" w:eastAsia="zh-CN"/>
              </w:rPr>
              <w:t>：</w:t>
            </w:r>
            <w:r>
              <w:rPr>
                <w:rFonts w:hint="eastAsia"/>
                <w:color w:val="auto"/>
                <w:sz w:val="21"/>
                <w:szCs w:val="21"/>
                <w:lang w:val="zh-CN" w:eastAsia="zh-CN"/>
              </w:rPr>
              <w:t>供应商若为生产厂家的须提供《生猪定点屠宰证》和《动物防疫条件合格证》；厂家注册地实行牛羊定点屠宰的附加《畜禽定点屠宰证书》，厂家属地不核发牛羊定点屠宰证则提供加盖公章的政策承诺函替代；供应商若为代理商的须提供《食品经营许可证》《陕西省生鲜肉经营备案表》并附生产厂家对应资质复印件（厂家盖章），厂家属地不核发牛羊定点屠宰证的，一并附厂家盖章承诺函。</w:t>
            </w:r>
          </w:p>
          <w:p w14:paraId="642941EB">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b/>
                <w:bCs/>
                <w:color w:val="auto"/>
                <w:sz w:val="21"/>
                <w:szCs w:val="21"/>
                <w:lang w:val="en-US" w:eastAsia="zh-CN"/>
              </w:rPr>
              <w:t>合同包3</w:t>
            </w:r>
            <w:r>
              <w:rPr>
                <w:rFonts w:hint="eastAsia"/>
                <w:b/>
                <w:bCs/>
                <w:color w:val="auto"/>
                <w:sz w:val="21"/>
                <w:szCs w:val="21"/>
                <w:lang w:val="en-US" w:eastAsia="zh-CN"/>
              </w:rPr>
              <w:t>和合同包6</w:t>
            </w:r>
            <w:r>
              <w:rPr>
                <w:rFonts w:hint="eastAsia" w:ascii="宋体" w:hAnsi="宋体"/>
                <w:b/>
                <w:bCs/>
                <w:color w:val="auto"/>
                <w:sz w:val="21"/>
                <w:szCs w:val="21"/>
                <w:lang w:val="en-US" w:eastAsia="zh-CN"/>
              </w:rPr>
              <w:t>：</w:t>
            </w:r>
            <w:r>
              <w:rPr>
                <w:rFonts w:hint="eastAsia" w:ascii="宋体" w:hAnsi="宋体"/>
                <w:color w:val="auto"/>
                <w:sz w:val="21"/>
                <w:szCs w:val="21"/>
                <w:lang w:val="en-US" w:eastAsia="zh-CN"/>
              </w:rPr>
              <w:t>供应商若为生产厂家的须提供《食品生产许可证》；供应商为代理商的须提供《食品经营许可证》，并提供产品生产厂家的《食品生产许可证》复印件加盖生产厂家公章（蔬菜和水果除外）</w:t>
            </w:r>
            <w:r>
              <w:rPr>
                <w:rFonts w:hint="eastAsia"/>
                <w:color w:val="auto"/>
                <w:sz w:val="21"/>
                <w:szCs w:val="21"/>
                <w:lang w:val="en-US" w:eastAsia="zh-CN"/>
              </w:rPr>
              <w:t>。</w:t>
            </w:r>
          </w:p>
        </w:tc>
      </w:tr>
      <w:tr w14:paraId="31C8D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88" w:type="dxa"/>
            <w:vMerge w:val="continue"/>
            <w:tcBorders>
              <w:left w:val="single" w:color="auto" w:sz="4" w:space="0"/>
              <w:right w:val="single" w:color="auto" w:sz="4" w:space="0"/>
            </w:tcBorders>
            <w:vAlign w:val="center"/>
          </w:tcPr>
          <w:p w14:paraId="2D48EC44">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61363CBA">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580" w:type="dxa"/>
            <w:tcBorders>
              <w:top w:val="single" w:color="auto" w:sz="4" w:space="0"/>
              <w:left w:val="single" w:color="auto" w:sz="4" w:space="0"/>
              <w:bottom w:val="single" w:color="auto" w:sz="4" w:space="0"/>
              <w:right w:val="single" w:color="auto" w:sz="4" w:space="0"/>
            </w:tcBorders>
            <w:vAlign w:val="center"/>
          </w:tcPr>
          <w:p w14:paraId="23CD8FE1">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财务状况报告</w:t>
            </w:r>
          </w:p>
        </w:tc>
        <w:tc>
          <w:tcPr>
            <w:tcW w:w="6636" w:type="dxa"/>
            <w:tcBorders>
              <w:top w:val="single" w:color="auto" w:sz="4" w:space="0"/>
              <w:left w:val="single" w:color="auto" w:sz="4" w:space="0"/>
              <w:bottom w:val="single" w:color="auto" w:sz="4" w:space="0"/>
              <w:right w:val="single" w:color="auto" w:sz="4" w:space="0"/>
            </w:tcBorders>
            <w:vAlign w:val="center"/>
          </w:tcPr>
          <w:p w14:paraId="6DD5CD12">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color w:val="auto"/>
                <w:sz w:val="21"/>
                <w:szCs w:val="21"/>
                <w:lang w:val="en-US" w:eastAsia="zh-CN"/>
              </w:rPr>
              <w:t>提供2025年的财务审计报告</w:t>
            </w:r>
            <w:r>
              <w:rPr>
                <w:rFonts w:hint="eastAsia" w:ascii="宋体" w:hAnsi="宋体"/>
                <w:color w:val="auto"/>
                <w:sz w:val="21"/>
                <w:szCs w:val="21"/>
                <w:lang w:val="en-US" w:eastAsia="zh-CN"/>
              </w:rPr>
              <w:t>（成立时间至提交响应文件截止时间不足1年的可提供成立后任意时段的资产负债表）或其基本存款账户开户银行出具的资信证明</w:t>
            </w:r>
            <w:r>
              <w:rPr>
                <w:rFonts w:hint="eastAsia"/>
                <w:color w:val="auto"/>
                <w:sz w:val="21"/>
                <w:szCs w:val="21"/>
                <w:lang w:val="en-US" w:eastAsia="zh-CN"/>
              </w:rPr>
              <w:t>。</w:t>
            </w:r>
          </w:p>
        </w:tc>
      </w:tr>
      <w:tr w14:paraId="3B6AF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588" w:type="dxa"/>
            <w:vMerge w:val="continue"/>
            <w:tcBorders>
              <w:left w:val="single" w:color="auto" w:sz="4" w:space="0"/>
              <w:right w:val="single" w:color="auto" w:sz="4" w:space="0"/>
            </w:tcBorders>
            <w:vAlign w:val="center"/>
          </w:tcPr>
          <w:p w14:paraId="2DAFB349">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084056D8">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580" w:type="dxa"/>
            <w:tcBorders>
              <w:top w:val="single" w:color="auto" w:sz="4" w:space="0"/>
              <w:left w:val="single" w:color="auto" w:sz="4" w:space="0"/>
              <w:bottom w:val="single" w:color="auto" w:sz="4" w:space="0"/>
              <w:right w:val="single" w:color="auto" w:sz="4" w:space="0"/>
            </w:tcBorders>
            <w:vAlign w:val="center"/>
          </w:tcPr>
          <w:p w14:paraId="204A569A">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税收缴纳证明</w:t>
            </w:r>
          </w:p>
        </w:tc>
        <w:tc>
          <w:tcPr>
            <w:tcW w:w="6636" w:type="dxa"/>
            <w:tcBorders>
              <w:top w:val="single" w:color="auto" w:sz="4" w:space="0"/>
              <w:left w:val="single" w:color="auto" w:sz="4" w:space="0"/>
              <w:bottom w:val="single" w:color="auto" w:sz="4" w:space="0"/>
              <w:right w:val="single" w:color="auto" w:sz="4" w:space="0"/>
            </w:tcBorders>
            <w:vAlign w:val="center"/>
          </w:tcPr>
          <w:p w14:paraId="12DC8DF8">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color w:val="auto"/>
                <w:sz w:val="21"/>
                <w:szCs w:val="21"/>
                <w:lang w:val="en-US" w:eastAsia="zh-CN"/>
              </w:rPr>
              <w:t>提供2026年1月至今已缴纳的至少一个月</w:t>
            </w:r>
            <w:r>
              <w:rPr>
                <w:rFonts w:hint="eastAsia" w:ascii="宋体" w:hAnsi="宋体"/>
                <w:color w:val="auto"/>
                <w:sz w:val="21"/>
                <w:szCs w:val="21"/>
                <w:lang w:val="en-US" w:eastAsia="zh-CN"/>
              </w:rPr>
              <w:t>的纳税证明或完税证明，依法免税的单位应提供相关证明材料</w:t>
            </w:r>
            <w:r>
              <w:rPr>
                <w:rFonts w:hint="eastAsia"/>
                <w:color w:val="auto"/>
                <w:sz w:val="21"/>
                <w:szCs w:val="21"/>
                <w:lang w:val="en-US" w:eastAsia="zh-CN"/>
              </w:rPr>
              <w:t>。</w:t>
            </w:r>
          </w:p>
        </w:tc>
      </w:tr>
      <w:tr w14:paraId="48CEC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588" w:type="dxa"/>
            <w:vMerge w:val="continue"/>
            <w:tcBorders>
              <w:left w:val="single" w:color="auto" w:sz="4" w:space="0"/>
              <w:right w:val="single" w:color="auto" w:sz="4" w:space="0"/>
            </w:tcBorders>
            <w:vAlign w:val="center"/>
          </w:tcPr>
          <w:p w14:paraId="0C1BBAAD">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0D62DDA9">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580" w:type="dxa"/>
            <w:tcBorders>
              <w:top w:val="single" w:color="auto" w:sz="4" w:space="0"/>
              <w:left w:val="single" w:color="auto" w:sz="4" w:space="0"/>
              <w:bottom w:val="single" w:color="auto" w:sz="4" w:space="0"/>
              <w:right w:val="single" w:color="auto" w:sz="4" w:space="0"/>
            </w:tcBorders>
            <w:vAlign w:val="center"/>
          </w:tcPr>
          <w:p w14:paraId="5DB3AD43">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社会保障资金缴纳证明</w:t>
            </w:r>
          </w:p>
        </w:tc>
        <w:tc>
          <w:tcPr>
            <w:tcW w:w="6636" w:type="dxa"/>
            <w:tcBorders>
              <w:top w:val="single" w:color="auto" w:sz="4" w:space="0"/>
              <w:left w:val="single" w:color="auto" w:sz="4" w:space="0"/>
              <w:bottom w:val="single" w:color="auto" w:sz="4" w:space="0"/>
              <w:right w:val="single" w:color="auto" w:sz="4" w:space="0"/>
            </w:tcBorders>
            <w:vAlign w:val="center"/>
          </w:tcPr>
          <w:p w14:paraId="215B7B92">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color w:val="auto"/>
                <w:sz w:val="21"/>
                <w:szCs w:val="21"/>
                <w:lang w:val="en-US" w:eastAsia="zh-CN"/>
              </w:rPr>
              <w:t>提供2026年1月至今至少一个月</w:t>
            </w:r>
            <w:r>
              <w:rPr>
                <w:rFonts w:hint="eastAsia" w:ascii="宋体" w:hAnsi="宋体"/>
                <w:color w:val="auto"/>
                <w:sz w:val="21"/>
                <w:szCs w:val="21"/>
                <w:lang w:val="en-US" w:eastAsia="zh-CN"/>
              </w:rPr>
              <w:t>的社会保障资金缴纳单据或社保机构开具的社会保险参保缴费情况证明，依法不需要缴纳社会保障资金的应提供相关证明材料</w:t>
            </w:r>
            <w:r>
              <w:rPr>
                <w:rFonts w:hint="eastAsia"/>
                <w:color w:val="auto"/>
                <w:sz w:val="21"/>
                <w:szCs w:val="21"/>
                <w:lang w:val="en-US" w:eastAsia="zh-CN"/>
              </w:rPr>
              <w:t>。</w:t>
            </w:r>
          </w:p>
        </w:tc>
      </w:tr>
      <w:tr w14:paraId="01DA6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588" w:type="dxa"/>
            <w:vMerge w:val="continue"/>
            <w:tcBorders>
              <w:left w:val="single" w:color="auto" w:sz="4" w:space="0"/>
              <w:right w:val="single" w:color="auto" w:sz="4" w:space="0"/>
            </w:tcBorders>
            <w:vAlign w:val="center"/>
          </w:tcPr>
          <w:p w14:paraId="46284D79">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4DFD169B">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580" w:type="dxa"/>
            <w:tcBorders>
              <w:top w:val="single" w:color="auto" w:sz="4" w:space="0"/>
              <w:left w:val="single" w:color="auto" w:sz="4" w:space="0"/>
              <w:bottom w:val="single" w:color="auto" w:sz="4" w:space="0"/>
              <w:right w:val="single" w:color="auto" w:sz="4" w:space="0"/>
            </w:tcBorders>
            <w:vAlign w:val="center"/>
          </w:tcPr>
          <w:p w14:paraId="07493DED">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供应商技术能力证明材料</w:t>
            </w:r>
          </w:p>
        </w:tc>
        <w:tc>
          <w:tcPr>
            <w:tcW w:w="6636" w:type="dxa"/>
            <w:tcBorders>
              <w:top w:val="single" w:color="auto" w:sz="4" w:space="0"/>
              <w:left w:val="single" w:color="auto" w:sz="4" w:space="0"/>
              <w:bottom w:val="single" w:color="auto" w:sz="4" w:space="0"/>
              <w:right w:val="single" w:color="auto" w:sz="4" w:space="0"/>
            </w:tcBorders>
            <w:vAlign w:val="center"/>
          </w:tcPr>
          <w:p w14:paraId="1F1963E1">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供应商须提供具备履行合同所必需的设备和专业技术能力的证明材料</w:t>
            </w:r>
            <w:r>
              <w:rPr>
                <w:rFonts w:hint="eastAsia"/>
                <w:color w:val="auto"/>
                <w:sz w:val="21"/>
                <w:szCs w:val="21"/>
                <w:lang w:val="en-US" w:eastAsia="zh-CN"/>
              </w:rPr>
              <w:t>。</w:t>
            </w:r>
          </w:p>
        </w:tc>
      </w:tr>
      <w:tr w14:paraId="785B0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trPr>
        <w:tc>
          <w:tcPr>
            <w:tcW w:w="588" w:type="dxa"/>
            <w:vMerge w:val="continue"/>
            <w:tcBorders>
              <w:left w:val="single" w:color="auto" w:sz="4" w:space="0"/>
              <w:right w:val="single" w:color="auto" w:sz="4" w:space="0"/>
            </w:tcBorders>
            <w:vAlign w:val="center"/>
          </w:tcPr>
          <w:p w14:paraId="7E5B452B">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505CFDF1">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580" w:type="dxa"/>
            <w:tcBorders>
              <w:top w:val="single" w:color="auto" w:sz="4" w:space="0"/>
              <w:left w:val="single" w:color="auto" w:sz="4" w:space="0"/>
              <w:bottom w:val="single" w:color="auto" w:sz="4" w:space="0"/>
              <w:right w:val="single" w:color="auto" w:sz="4" w:space="0"/>
            </w:tcBorders>
            <w:vAlign w:val="center"/>
          </w:tcPr>
          <w:p w14:paraId="55A4AE08">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书面声明</w:t>
            </w:r>
          </w:p>
        </w:tc>
        <w:tc>
          <w:tcPr>
            <w:tcW w:w="6636" w:type="dxa"/>
            <w:tcBorders>
              <w:top w:val="single" w:color="auto" w:sz="4" w:space="0"/>
              <w:left w:val="single" w:color="auto" w:sz="4" w:space="0"/>
              <w:bottom w:val="single" w:color="auto" w:sz="4" w:space="0"/>
              <w:right w:val="single" w:color="auto" w:sz="4" w:space="0"/>
            </w:tcBorders>
            <w:vAlign w:val="center"/>
          </w:tcPr>
          <w:p w14:paraId="0CC31497">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供应商必须提供参加政府采购活动近3年内在经营活动中没有重大违法记录的</w:t>
            </w:r>
            <w:r>
              <w:rPr>
                <w:rFonts w:hint="eastAsia"/>
                <w:color w:val="auto"/>
                <w:sz w:val="21"/>
                <w:szCs w:val="21"/>
                <w:lang w:val="en-US" w:eastAsia="zh-CN"/>
              </w:rPr>
              <w:t>、未发生食品安全事故的书面声明。</w:t>
            </w:r>
          </w:p>
        </w:tc>
      </w:tr>
      <w:tr w14:paraId="1F6E1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88" w:type="dxa"/>
            <w:vMerge w:val="continue"/>
            <w:tcBorders>
              <w:left w:val="single" w:color="auto" w:sz="4" w:space="0"/>
              <w:right w:val="single" w:color="auto" w:sz="4" w:space="0"/>
            </w:tcBorders>
            <w:vAlign w:val="center"/>
          </w:tcPr>
          <w:p w14:paraId="12CABAC1">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0DB11BA5">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580" w:type="dxa"/>
            <w:tcBorders>
              <w:top w:val="single" w:color="auto" w:sz="4" w:space="0"/>
              <w:left w:val="single" w:color="auto" w:sz="4" w:space="0"/>
              <w:bottom w:val="single" w:color="auto" w:sz="4" w:space="0"/>
              <w:right w:val="single" w:color="auto" w:sz="4" w:space="0"/>
            </w:tcBorders>
            <w:vAlign w:val="center"/>
          </w:tcPr>
          <w:p w14:paraId="740EE62F">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主体信用记录查询</w:t>
            </w:r>
          </w:p>
        </w:tc>
        <w:tc>
          <w:tcPr>
            <w:tcW w:w="6636" w:type="dxa"/>
            <w:tcBorders>
              <w:top w:val="single" w:color="auto" w:sz="4" w:space="0"/>
              <w:left w:val="single" w:color="auto" w:sz="4" w:space="0"/>
              <w:bottom w:val="single" w:color="auto" w:sz="4" w:space="0"/>
              <w:right w:val="single" w:color="auto" w:sz="4" w:space="0"/>
            </w:tcBorders>
            <w:vAlign w:val="center"/>
          </w:tcPr>
          <w:p w14:paraId="12455C56">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供应商通过“信用中国”网站</w:t>
            </w:r>
            <w:r>
              <w:rPr>
                <w:rFonts w:hint="eastAsia"/>
                <w:color w:val="auto"/>
                <w:sz w:val="21"/>
                <w:szCs w:val="21"/>
                <w:lang w:val="en-US" w:eastAsia="zh-CN"/>
              </w:rPr>
              <w:t>（</w:t>
            </w:r>
            <w:r>
              <w:rPr>
                <w:rFonts w:hint="eastAsia" w:ascii="宋体" w:hAnsi="宋体"/>
                <w:color w:val="auto"/>
                <w:sz w:val="21"/>
                <w:szCs w:val="21"/>
                <w:lang w:val="en-US" w:eastAsia="zh-CN"/>
              </w:rPr>
              <w:t>www.creditchina.gov.cn </w:t>
            </w:r>
            <w:r>
              <w:rPr>
                <w:rFonts w:hint="eastAsia"/>
                <w:color w:val="auto"/>
                <w:sz w:val="21"/>
                <w:szCs w:val="21"/>
                <w:lang w:val="en-US" w:eastAsia="zh-CN"/>
              </w:rPr>
              <w:t>）</w:t>
            </w:r>
            <w:r>
              <w:rPr>
                <w:rFonts w:hint="eastAsia" w:ascii="宋体" w:hAnsi="宋体"/>
                <w:color w:val="auto"/>
                <w:sz w:val="21"/>
                <w:szCs w:val="21"/>
                <w:lang w:val="en-US" w:eastAsia="zh-CN"/>
              </w:rPr>
              <w:t>和中国政府采购网</w:t>
            </w:r>
            <w:r>
              <w:rPr>
                <w:rFonts w:hint="eastAsia"/>
                <w:color w:val="auto"/>
                <w:sz w:val="21"/>
                <w:szCs w:val="21"/>
                <w:lang w:val="en-US" w:eastAsia="zh-CN"/>
              </w:rPr>
              <w:t>（</w:t>
            </w:r>
            <w:r>
              <w:rPr>
                <w:rFonts w:hint="eastAsia" w:ascii="宋体" w:hAnsi="宋体"/>
                <w:color w:val="auto"/>
                <w:sz w:val="21"/>
                <w:szCs w:val="21"/>
                <w:lang w:val="en-US" w:eastAsia="zh-CN"/>
              </w:rPr>
              <w:t>www.ccgp.gov.cn </w:t>
            </w:r>
            <w:r>
              <w:rPr>
                <w:rFonts w:hint="eastAsia"/>
                <w:color w:val="auto"/>
                <w:sz w:val="21"/>
                <w:szCs w:val="21"/>
                <w:lang w:val="en-US" w:eastAsia="zh-CN"/>
              </w:rPr>
              <w:t>）</w:t>
            </w:r>
            <w:r>
              <w:rPr>
                <w:rFonts w:hint="eastAsia" w:ascii="宋体" w:hAnsi="宋体"/>
                <w:color w:val="auto"/>
                <w:sz w:val="21"/>
                <w:szCs w:val="21"/>
                <w:lang w:val="en-US" w:eastAsia="zh-CN"/>
              </w:rPr>
              <w:t>等渠道查询相关主体信用记录，对列入失信被执行人、重大税收违法失信主体、政府采购严重违法失信行为记录名单的供应商，将拒绝其参与政府采购活动</w:t>
            </w:r>
            <w:r>
              <w:rPr>
                <w:rFonts w:hint="eastAsia"/>
                <w:color w:val="auto"/>
                <w:sz w:val="21"/>
                <w:szCs w:val="21"/>
                <w:lang w:val="en-US" w:eastAsia="zh-CN"/>
              </w:rPr>
              <w:t>。</w:t>
            </w:r>
          </w:p>
        </w:tc>
      </w:tr>
      <w:tr w14:paraId="3566A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588" w:type="dxa"/>
            <w:vMerge w:val="continue"/>
            <w:tcBorders>
              <w:left w:val="single" w:color="auto" w:sz="4" w:space="0"/>
              <w:right w:val="single" w:color="auto" w:sz="4" w:space="0"/>
            </w:tcBorders>
            <w:vAlign w:val="center"/>
          </w:tcPr>
          <w:p w14:paraId="2E7EF0D9">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63A7A343">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580" w:type="dxa"/>
            <w:tcBorders>
              <w:top w:val="single" w:color="auto" w:sz="4" w:space="0"/>
              <w:left w:val="single" w:color="auto" w:sz="4" w:space="0"/>
              <w:bottom w:val="single" w:color="auto" w:sz="4" w:space="0"/>
              <w:right w:val="single" w:color="auto" w:sz="4" w:space="0"/>
            </w:tcBorders>
            <w:vAlign w:val="center"/>
          </w:tcPr>
          <w:p w14:paraId="23591F26">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default" w:ascii="宋体" w:hAnsi="宋体"/>
                <w:color w:val="auto"/>
                <w:sz w:val="21"/>
                <w:szCs w:val="21"/>
                <w:lang w:val="en-US" w:eastAsia="zh-CN"/>
              </w:rPr>
              <w:t>控股管理关系</w:t>
            </w:r>
          </w:p>
        </w:tc>
        <w:tc>
          <w:tcPr>
            <w:tcW w:w="6636" w:type="dxa"/>
            <w:tcBorders>
              <w:top w:val="single" w:color="auto" w:sz="4" w:space="0"/>
              <w:left w:val="single" w:color="auto" w:sz="4" w:space="0"/>
              <w:right w:val="single" w:color="auto" w:sz="4" w:space="0"/>
            </w:tcBorders>
            <w:vAlign w:val="center"/>
          </w:tcPr>
          <w:p w14:paraId="60C48B38">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单位负责人为同一人或者存在直接控股、管理关系的不同投标人，不得参加同一合同项下的政府采购活动</w:t>
            </w:r>
            <w:r>
              <w:rPr>
                <w:rFonts w:hint="eastAsia"/>
                <w:color w:val="auto"/>
                <w:sz w:val="21"/>
                <w:szCs w:val="21"/>
                <w:lang w:val="en-US" w:eastAsia="zh-CN"/>
              </w:rPr>
              <w:t>。</w:t>
            </w:r>
          </w:p>
        </w:tc>
      </w:tr>
      <w:tr w14:paraId="5CBED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588" w:type="dxa"/>
            <w:vMerge w:val="continue"/>
            <w:tcBorders>
              <w:left w:val="single" w:color="auto" w:sz="4" w:space="0"/>
              <w:right w:val="single" w:color="auto" w:sz="4" w:space="0"/>
            </w:tcBorders>
            <w:vAlign w:val="center"/>
          </w:tcPr>
          <w:p w14:paraId="595E2048">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26FC9062">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580" w:type="dxa"/>
            <w:tcBorders>
              <w:top w:val="single" w:color="auto" w:sz="4" w:space="0"/>
              <w:left w:val="single" w:color="auto" w:sz="4" w:space="0"/>
              <w:bottom w:val="single" w:color="auto" w:sz="4" w:space="0"/>
              <w:right w:val="single" w:color="auto" w:sz="4" w:space="0"/>
            </w:tcBorders>
            <w:vAlign w:val="center"/>
          </w:tcPr>
          <w:p w14:paraId="6213726C">
            <w:pPr>
              <w:pageBreakBefore w:val="0"/>
              <w:widowControl/>
              <w:topLinePunct w:val="0"/>
              <w:bidi w:val="0"/>
              <w:spacing w:line="500" w:lineRule="exact"/>
              <w:ind w:right="0" w:rightChars="0"/>
              <w:jc w:val="center"/>
              <w:rPr>
                <w:rFonts w:hint="default" w:ascii="宋体" w:hAnsi="宋体"/>
                <w:color w:val="auto"/>
                <w:sz w:val="21"/>
                <w:szCs w:val="21"/>
                <w:lang w:val="en-US" w:eastAsia="zh-CN"/>
              </w:rPr>
            </w:pPr>
            <w:r>
              <w:rPr>
                <w:rFonts w:hint="eastAsia" w:ascii="宋体" w:hAnsi="宋体"/>
                <w:color w:val="auto"/>
                <w:sz w:val="21"/>
                <w:szCs w:val="21"/>
                <w:lang w:val="en-US" w:eastAsia="zh-CN"/>
              </w:rPr>
              <w:t>非联合体证明</w:t>
            </w:r>
          </w:p>
        </w:tc>
        <w:tc>
          <w:tcPr>
            <w:tcW w:w="6636" w:type="dxa"/>
            <w:tcBorders>
              <w:left w:val="single" w:color="auto" w:sz="4" w:space="0"/>
              <w:bottom w:val="single" w:color="auto" w:sz="4" w:space="0"/>
              <w:right w:val="single" w:color="auto" w:sz="4" w:space="0"/>
            </w:tcBorders>
            <w:vAlign w:val="center"/>
          </w:tcPr>
          <w:p w14:paraId="12E188FA">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本项目不接受联合体投标</w:t>
            </w:r>
            <w:r>
              <w:rPr>
                <w:rFonts w:hint="eastAsia"/>
                <w:color w:val="auto"/>
                <w:sz w:val="21"/>
                <w:szCs w:val="21"/>
                <w:lang w:val="en-US" w:eastAsia="zh-CN"/>
              </w:rPr>
              <w:t>。</w:t>
            </w:r>
          </w:p>
        </w:tc>
      </w:tr>
      <w:tr w14:paraId="27C12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588" w:type="dxa"/>
            <w:vMerge w:val="restart"/>
            <w:tcBorders>
              <w:top w:val="single" w:color="auto" w:sz="4" w:space="0"/>
              <w:left w:val="single" w:color="auto" w:sz="4" w:space="0"/>
              <w:right w:val="single" w:color="auto" w:sz="4" w:space="0"/>
            </w:tcBorders>
            <w:vAlign w:val="center"/>
          </w:tcPr>
          <w:p w14:paraId="58773899">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1.2</w:t>
            </w:r>
          </w:p>
        </w:tc>
        <w:tc>
          <w:tcPr>
            <w:tcW w:w="840" w:type="dxa"/>
            <w:vMerge w:val="restart"/>
            <w:tcBorders>
              <w:top w:val="single" w:color="auto" w:sz="4" w:space="0"/>
              <w:left w:val="single" w:color="auto" w:sz="4" w:space="0"/>
              <w:right w:val="single" w:color="auto" w:sz="4" w:space="0"/>
            </w:tcBorders>
            <w:vAlign w:val="center"/>
          </w:tcPr>
          <w:p w14:paraId="20BF683E">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p w14:paraId="6AD65B8D">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符合性评审标准</w:t>
            </w:r>
          </w:p>
        </w:tc>
        <w:tc>
          <w:tcPr>
            <w:tcW w:w="2580" w:type="dxa"/>
            <w:tcBorders>
              <w:top w:val="single" w:color="auto" w:sz="4" w:space="0"/>
              <w:left w:val="single" w:color="auto" w:sz="4" w:space="0"/>
              <w:right w:val="single" w:color="auto" w:sz="4" w:space="0"/>
            </w:tcBorders>
            <w:vAlign w:val="center"/>
          </w:tcPr>
          <w:p w14:paraId="0F35A370">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投标文件项目名称、项目编号、</w:t>
            </w:r>
            <w:r>
              <w:rPr>
                <w:rFonts w:hint="eastAsia"/>
                <w:color w:val="auto"/>
                <w:sz w:val="21"/>
                <w:szCs w:val="21"/>
                <w:lang w:val="en-US" w:eastAsia="zh-CN"/>
              </w:rPr>
              <w:t>合同包</w:t>
            </w:r>
            <w:r>
              <w:rPr>
                <w:rFonts w:hint="eastAsia" w:ascii="宋体" w:hAnsi="宋体"/>
                <w:color w:val="auto"/>
                <w:sz w:val="21"/>
                <w:szCs w:val="21"/>
                <w:lang w:val="en-US" w:eastAsia="zh-CN"/>
              </w:rPr>
              <w:t>（未分标段的除外）</w:t>
            </w:r>
          </w:p>
        </w:tc>
        <w:tc>
          <w:tcPr>
            <w:tcW w:w="6636" w:type="dxa"/>
            <w:tcBorders>
              <w:top w:val="single" w:color="auto" w:sz="4" w:space="0"/>
              <w:left w:val="single" w:color="auto" w:sz="4" w:space="0"/>
              <w:bottom w:val="single" w:color="auto" w:sz="4" w:space="0"/>
              <w:right w:val="single" w:color="auto" w:sz="4" w:space="0"/>
            </w:tcBorders>
            <w:vAlign w:val="center"/>
          </w:tcPr>
          <w:p w14:paraId="2580A912">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投标文件以下三处的项目名称、项目编号、</w:t>
            </w:r>
            <w:r>
              <w:rPr>
                <w:rFonts w:hint="eastAsia"/>
                <w:color w:val="auto"/>
                <w:sz w:val="21"/>
                <w:szCs w:val="21"/>
                <w:lang w:val="en-US" w:eastAsia="zh-CN"/>
              </w:rPr>
              <w:t>合同包</w:t>
            </w:r>
            <w:r>
              <w:rPr>
                <w:rFonts w:hint="eastAsia" w:ascii="宋体" w:hAnsi="宋体"/>
                <w:color w:val="auto"/>
                <w:sz w:val="21"/>
                <w:szCs w:val="21"/>
                <w:lang w:val="en-US" w:eastAsia="zh-CN"/>
              </w:rPr>
              <w:t>与本项目完全一致，且无遗漏：（1）封面；（2）投标函；（3）法定代表人委托授权书。</w:t>
            </w:r>
          </w:p>
        </w:tc>
      </w:tr>
      <w:tr w14:paraId="5946D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588" w:type="dxa"/>
            <w:vMerge w:val="continue"/>
            <w:tcBorders>
              <w:left w:val="single" w:color="auto" w:sz="4" w:space="0"/>
              <w:right w:val="single" w:color="auto" w:sz="4" w:space="0"/>
            </w:tcBorders>
            <w:vAlign w:val="center"/>
          </w:tcPr>
          <w:p w14:paraId="6ABBB928">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40749FCB">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580" w:type="dxa"/>
            <w:tcBorders>
              <w:left w:val="single" w:color="auto" w:sz="4" w:space="0"/>
              <w:right w:val="single" w:color="auto" w:sz="4" w:space="0"/>
            </w:tcBorders>
            <w:vAlign w:val="center"/>
          </w:tcPr>
          <w:p w14:paraId="449E5947">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投标文件组成</w:t>
            </w:r>
          </w:p>
        </w:tc>
        <w:tc>
          <w:tcPr>
            <w:tcW w:w="6636" w:type="dxa"/>
            <w:tcBorders>
              <w:top w:val="single" w:color="auto" w:sz="4" w:space="0"/>
              <w:left w:val="single" w:color="auto" w:sz="4" w:space="0"/>
              <w:bottom w:val="single" w:color="auto" w:sz="4" w:space="0"/>
              <w:right w:val="single" w:color="auto" w:sz="4" w:space="0"/>
            </w:tcBorders>
            <w:vAlign w:val="center"/>
          </w:tcPr>
          <w:p w14:paraId="704E90B9">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投标文件应包含以下内容：</w:t>
            </w:r>
          </w:p>
          <w:p w14:paraId="2182C6CB">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（1）投标函；（2）开标一览表；（3）投标方案；（4）资格证明文件；（5）供应商承诺书；（6）其他</w:t>
            </w:r>
            <w:r>
              <w:rPr>
                <w:rFonts w:hint="eastAsia"/>
                <w:color w:val="auto"/>
                <w:sz w:val="21"/>
                <w:szCs w:val="21"/>
                <w:lang w:val="en-US" w:eastAsia="zh-CN"/>
              </w:rPr>
              <w:t>。</w:t>
            </w:r>
          </w:p>
        </w:tc>
      </w:tr>
      <w:tr w14:paraId="7F69F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88" w:type="dxa"/>
            <w:vMerge w:val="continue"/>
            <w:tcBorders>
              <w:left w:val="single" w:color="auto" w:sz="4" w:space="0"/>
              <w:right w:val="single" w:color="auto" w:sz="4" w:space="0"/>
            </w:tcBorders>
            <w:vAlign w:val="center"/>
          </w:tcPr>
          <w:p w14:paraId="15851B1E">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0302FBE0">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580" w:type="dxa"/>
            <w:tcBorders>
              <w:left w:val="single" w:color="auto" w:sz="4" w:space="0"/>
              <w:right w:val="single" w:color="auto" w:sz="4" w:space="0"/>
            </w:tcBorders>
            <w:vAlign w:val="center"/>
          </w:tcPr>
          <w:p w14:paraId="04FE8F0E">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投标文件的签署、盖章</w:t>
            </w:r>
          </w:p>
        </w:tc>
        <w:tc>
          <w:tcPr>
            <w:tcW w:w="6636" w:type="dxa"/>
            <w:tcBorders>
              <w:top w:val="single" w:color="auto" w:sz="4" w:space="0"/>
              <w:left w:val="single" w:color="auto" w:sz="4" w:space="0"/>
              <w:bottom w:val="single" w:color="auto" w:sz="4" w:space="0"/>
              <w:right w:val="single" w:color="auto" w:sz="4" w:space="0"/>
            </w:tcBorders>
            <w:vAlign w:val="center"/>
          </w:tcPr>
          <w:p w14:paraId="6BA2F093">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签署、盖章均符合招标文件要求，且无遗漏。</w:t>
            </w:r>
          </w:p>
        </w:tc>
      </w:tr>
      <w:tr w14:paraId="15AD9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588" w:type="dxa"/>
            <w:vMerge w:val="continue"/>
            <w:tcBorders>
              <w:left w:val="single" w:color="auto" w:sz="4" w:space="0"/>
              <w:right w:val="single" w:color="auto" w:sz="4" w:space="0"/>
            </w:tcBorders>
            <w:vAlign w:val="center"/>
          </w:tcPr>
          <w:p w14:paraId="21744CB6">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79342F87">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580" w:type="dxa"/>
            <w:tcBorders>
              <w:left w:val="single" w:color="auto" w:sz="4" w:space="0"/>
              <w:right w:val="single" w:color="auto" w:sz="4" w:space="0"/>
            </w:tcBorders>
            <w:vAlign w:val="center"/>
          </w:tcPr>
          <w:p w14:paraId="028E982B">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投标文件的语言及计量单位</w:t>
            </w:r>
          </w:p>
        </w:tc>
        <w:tc>
          <w:tcPr>
            <w:tcW w:w="6636" w:type="dxa"/>
            <w:tcBorders>
              <w:top w:val="single" w:color="auto" w:sz="4" w:space="0"/>
              <w:left w:val="single" w:color="auto" w:sz="4" w:space="0"/>
              <w:bottom w:val="single" w:color="auto" w:sz="4" w:space="0"/>
              <w:right w:val="single" w:color="auto" w:sz="4" w:space="0"/>
            </w:tcBorders>
            <w:vAlign w:val="center"/>
          </w:tcPr>
          <w:p w14:paraId="0B6D8CCD">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均符合招标文件的要求。</w:t>
            </w:r>
          </w:p>
        </w:tc>
      </w:tr>
      <w:tr w14:paraId="4DCF4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588" w:type="dxa"/>
            <w:vMerge w:val="continue"/>
            <w:tcBorders>
              <w:left w:val="single" w:color="auto" w:sz="4" w:space="0"/>
              <w:right w:val="single" w:color="auto" w:sz="4" w:space="0"/>
            </w:tcBorders>
            <w:vAlign w:val="center"/>
          </w:tcPr>
          <w:p w14:paraId="1A0263D6">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5C4BFBA4">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580" w:type="dxa"/>
            <w:tcBorders>
              <w:left w:val="single" w:color="auto" w:sz="4" w:space="0"/>
              <w:right w:val="single" w:color="auto" w:sz="4" w:space="0"/>
            </w:tcBorders>
            <w:vAlign w:val="center"/>
          </w:tcPr>
          <w:p w14:paraId="1D6F8675">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投标有效期</w:t>
            </w:r>
          </w:p>
        </w:tc>
        <w:tc>
          <w:tcPr>
            <w:tcW w:w="6636" w:type="dxa"/>
            <w:tcBorders>
              <w:top w:val="single" w:color="auto" w:sz="4" w:space="0"/>
              <w:left w:val="single" w:color="auto" w:sz="4" w:space="0"/>
              <w:bottom w:val="single" w:color="auto" w:sz="4" w:space="0"/>
              <w:right w:val="single" w:color="auto" w:sz="4" w:space="0"/>
            </w:tcBorders>
            <w:vAlign w:val="center"/>
          </w:tcPr>
          <w:p w14:paraId="68C1AD2F">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符合招标文件的要求。</w:t>
            </w:r>
          </w:p>
        </w:tc>
      </w:tr>
      <w:tr w14:paraId="48264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588" w:type="dxa"/>
            <w:vMerge w:val="continue"/>
            <w:tcBorders>
              <w:left w:val="single" w:color="auto" w:sz="4" w:space="0"/>
              <w:right w:val="single" w:color="auto" w:sz="4" w:space="0"/>
            </w:tcBorders>
            <w:vAlign w:val="center"/>
          </w:tcPr>
          <w:p w14:paraId="55A727D1">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52D00098">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580" w:type="dxa"/>
            <w:tcBorders>
              <w:left w:val="single" w:color="auto" w:sz="4" w:space="0"/>
              <w:right w:val="single" w:color="auto" w:sz="4" w:space="0"/>
            </w:tcBorders>
            <w:vAlign w:val="center"/>
          </w:tcPr>
          <w:p w14:paraId="0EB8A5B0">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投标报价</w:t>
            </w:r>
          </w:p>
        </w:tc>
        <w:tc>
          <w:tcPr>
            <w:tcW w:w="6636" w:type="dxa"/>
            <w:tcBorders>
              <w:top w:val="single" w:color="auto" w:sz="4" w:space="0"/>
              <w:left w:val="single" w:color="auto" w:sz="4" w:space="0"/>
              <w:bottom w:val="single" w:color="auto" w:sz="4" w:space="0"/>
              <w:right w:val="single" w:color="auto" w:sz="4" w:space="0"/>
            </w:tcBorders>
            <w:vAlign w:val="center"/>
          </w:tcPr>
          <w:p w14:paraId="1A128E36">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同时满足以下条款：</w:t>
            </w:r>
          </w:p>
          <w:p w14:paraId="3A0AA7DF">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（1）投标报价符合唯一性要求；（2）开标一览表填写符合要求；（3）报价货币符合招标文件要求；（4）未超出采购预算或招标文件规定的最高限价</w:t>
            </w:r>
            <w:r>
              <w:rPr>
                <w:rFonts w:hint="eastAsia"/>
                <w:color w:val="auto"/>
                <w:sz w:val="21"/>
                <w:szCs w:val="21"/>
                <w:lang w:val="en-US" w:eastAsia="zh-CN"/>
              </w:rPr>
              <w:t>。</w:t>
            </w:r>
          </w:p>
        </w:tc>
      </w:tr>
      <w:tr w14:paraId="20559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588" w:type="dxa"/>
            <w:vMerge w:val="continue"/>
            <w:tcBorders>
              <w:left w:val="single" w:color="auto" w:sz="4" w:space="0"/>
              <w:right w:val="single" w:color="auto" w:sz="4" w:space="0"/>
            </w:tcBorders>
            <w:vAlign w:val="center"/>
          </w:tcPr>
          <w:p w14:paraId="1E0A2880">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451EC80F">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580" w:type="dxa"/>
            <w:tcBorders>
              <w:left w:val="single" w:color="auto" w:sz="4" w:space="0"/>
              <w:right w:val="single" w:color="auto" w:sz="4" w:space="0"/>
            </w:tcBorders>
            <w:vAlign w:val="center"/>
          </w:tcPr>
          <w:p w14:paraId="1943A006">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实质性条款响应</w:t>
            </w:r>
          </w:p>
        </w:tc>
        <w:tc>
          <w:tcPr>
            <w:tcW w:w="6636" w:type="dxa"/>
            <w:tcBorders>
              <w:top w:val="single" w:color="auto" w:sz="4" w:space="0"/>
              <w:left w:val="single" w:color="auto" w:sz="4" w:space="0"/>
              <w:bottom w:val="single" w:color="auto" w:sz="4" w:space="0"/>
              <w:right w:val="single" w:color="auto" w:sz="4" w:space="0"/>
            </w:tcBorders>
            <w:vAlign w:val="center"/>
          </w:tcPr>
          <w:p w14:paraId="7699A17C">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完全响应招标文件要求的各项技术/服务/商务实质性条款。（实质性条款以★标识，未设置实质性条款时可忽略此项）</w:t>
            </w:r>
          </w:p>
        </w:tc>
      </w:tr>
      <w:tr w14:paraId="7BACD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588" w:type="dxa"/>
            <w:vMerge w:val="continue"/>
            <w:tcBorders>
              <w:left w:val="single" w:color="auto" w:sz="4" w:space="0"/>
              <w:right w:val="single" w:color="auto" w:sz="4" w:space="0"/>
            </w:tcBorders>
            <w:vAlign w:val="center"/>
          </w:tcPr>
          <w:p w14:paraId="44A0D0AC">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14725C7D">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580" w:type="dxa"/>
            <w:tcBorders>
              <w:left w:val="single" w:color="auto" w:sz="4" w:space="0"/>
              <w:right w:val="single" w:color="auto" w:sz="4" w:space="0"/>
            </w:tcBorders>
            <w:vAlign w:val="center"/>
          </w:tcPr>
          <w:p w14:paraId="5594659E">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合同文本</w:t>
            </w:r>
          </w:p>
        </w:tc>
        <w:tc>
          <w:tcPr>
            <w:tcW w:w="6636" w:type="dxa"/>
            <w:tcBorders>
              <w:top w:val="single" w:color="auto" w:sz="4" w:space="0"/>
              <w:left w:val="single" w:color="auto" w:sz="4" w:space="0"/>
              <w:bottom w:val="single" w:color="auto" w:sz="4" w:space="0"/>
              <w:right w:val="single" w:color="auto" w:sz="4" w:space="0"/>
            </w:tcBorders>
            <w:vAlign w:val="center"/>
          </w:tcPr>
          <w:p w14:paraId="529A147C">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完全理解并接受招标文件合同基本条款的要求。</w:t>
            </w:r>
          </w:p>
        </w:tc>
      </w:tr>
      <w:tr w14:paraId="229F2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trPr>
        <w:tc>
          <w:tcPr>
            <w:tcW w:w="588" w:type="dxa"/>
            <w:vMerge w:val="continue"/>
            <w:tcBorders>
              <w:left w:val="single" w:color="auto" w:sz="4" w:space="0"/>
              <w:bottom w:val="single" w:color="auto" w:sz="4" w:space="0"/>
              <w:right w:val="single" w:color="auto" w:sz="4" w:space="0"/>
            </w:tcBorders>
            <w:vAlign w:val="center"/>
          </w:tcPr>
          <w:p w14:paraId="677D2F80">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bottom w:val="single" w:color="auto" w:sz="4" w:space="0"/>
              <w:right w:val="single" w:color="auto" w:sz="4" w:space="0"/>
            </w:tcBorders>
            <w:vAlign w:val="center"/>
          </w:tcPr>
          <w:p w14:paraId="2B531D8F">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580" w:type="dxa"/>
            <w:tcBorders>
              <w:left w:val="single" w:color="auto" w:sz="4" w:space="0"/>
              <w:bottom w:val="single" w:color="auto" w:sz="4" w:space="0"/>
              <w:right w:val="single" w:color="auto" w:sz="4" w:space="0"/>
            </w:tcBorders>
            <w:vAlign w:val="center"/>
          </w:tcPr>
          <w:p w14:paraId="21D6180A">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其他</w:t>
            </w:r>
          </w:p>
        </w:tc>
        <w:tc>
          <w:tcPr>
            <w:tcW w:w="6636" w:type="dxa"/>
            <w:tcBorders>
              <w:top w:val="single" w:color="auto" w:sz="4" w:space="0"/>
              <w:left w:val="single" w:color="auto" w:sz="4" w:space="0"/>
              <w:bottom w:val="single" w:color="auto" w:sz="4" w:space="0"/>
              <w:right w:val="single" w:color="auto" w:sz="4" w:space="0"/>
            </w:tcBorders>
            <w:vAlign w:val="center"/>
          </w:tcPr>
          <w:p w14:paraId="2995EFAF">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完全理解并接受法律法规和招标文件对供应商的各项须知、规约要求和责任义务，没有出现法律法规或招标文件明确规定的其他被视为“无效投标”的情形。</w:t>
            </w:r>
          </w:p>
        </w:tc>
      </w:tr>
    </w:tbl>
    <w:p w14:paraId="118181FF">
      <w:pPr>
        <w:pageBreakBefore w:val="0"/>
        <w:widowControl/>
        <w:topLinePunct w:val="0"/>
        <w:autoSpaceDE/>
        <w:autoSpaceDN/>
        <w:bidi w:val="0"/>
        <w:spacing w:line="500" w:lineRule="exact"/>
        <w:ind w:left="0" w:leftChars="0" w:right="0" w:rightChars="0" w:firstLine="440" w:firstLineChars="200"/>
        <w:rPr>
          <w:b/>
          <w:bCs/>
          <w:color w:val="auto"/>
          <w:sz w:val="24"/>
          <w:szCs w:val="24"/>
        </w:rPr>
      </w:pPr>
      <w:r>
        <w:rPr>
          <w:color w:val="auto"/>
        </w:rPr>
        <w:br w:type="page"/>
      </w:r>
    </w:p>
    <w:p w14:paraId="3D8745EF">
      <w:pPr>
        <w:pStyle w:val="7"/>
        <w:pageBreakBefore w:val="0"/>
        <w:topLinePunct w:val="0"/>
        <w:bidi w:val="0"/>
        <w:spacing w:line="500" w:lineRule="exact"/>
        <w:ind w:left="0" w:leftChars="0" w:right="0" w:rightChars="0" w:firstLine="482" w:firstLineChars="200"/>
        <w:rPr>
          <w:color w:val="auto"/>
        </w:rPr>
      </w:pPr>
      <w:r>
        <w:rPr>
          <w:rFonts w:hint="eastAsia"/>
          <w:color w:val="auto"/>
        </w:rPr>
        <w:t>（二）详细评审要素表</w:t>
      </w:r>
    </w:p>
    <w:p w14:paraId="7E2C99AA">
      <w:pPr>
        <w:pStyle w:val="7"/>
        <w:pageBreakBefore w:val="0"/>
        <w:topLinePunct w:val="0"/>
        <w:bidi w:val="0"/>
        <w:spacing w:line="500" w:lineRule="exact"/>
        <w:ind w:left="0" w:leftChars="0" w:right="0" w:rightChars="0" w:firstLine="0" w:firstLineChars="0"/>
        <w:rPr>
          <w:color w:val="auto"/>
        </w:rPr>
      </w:pPr>
      <w:r>
        <w:rPr>
          <w:rFonts w:hint="eastAsia"/>
          <w:color w:val="auto"/>
          <w:lang w:val="en-US" w:eastAsia="zh-CN"/>
        </w:rPr>
        <w:t>合同包一</w:t>
      </w:r>
      <w:r>
        <w:rPr>
          <w:rFonts w:hint="eastAsia" w:ascii="宋体" w:hAnsi="宋体" w:eastAsia="宋体" w:cs="宋体"/>
          <w:color w:val="auto"/>
          <w:lang w:val="en-US" w:eastAsia="zh-CN"/>
        </w:rPr>
        <w:t>：</w:t>
      </w:r>
      <w:r>
        <w:rPr>
          <w:rFonts w:hint="eastAsia" w:cs="宋体"/>
          <w:color w:val="auto"/>
          <w:lang w:val="en-US" w:eastAsia="zh-CN"/>
        </w:rPr>
        <w:t>A片区米面油、牛奶采购</w:t>
      </w:r>
    </w:p>
    <w:tbl>
      <w:tblPr>
        <w:tblStyle w:val="23"/>
        <w:tblW w:w="9528"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743"/>
        <w:gridCol w:w="1467"/>
        <w:gridCol w:w="6529"/>
      </w:tblGrid>
      <w:tr w14:paraId="01B08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5" w:hRule="atLeast"/>
        </w:trPr>
        <w:tc>
          <w:tcPr>
            <w:tcW w:w="789" w:type="dxa"/>
            <w:noWrap w:val="0"/>
            <w:vAlign w:val="center"/>
          </w:tcPr>
          <w:p w14:paraId="269D2724">
            <w:pPr>
              <w:pStyle w:val="49"/>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类别</w:t>
            </w:r>
          </w:p>
        </w:tc>
        <w:tc>
          <w:tcPr>
            <w:tcW w:w="743" w:type="dxa"/>
            <w:noWrap w:val="0"/>
            <w:vAlign w:val="center"/>
          </w:tcPr>
          <w:p w14:paraId="63096D74">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467" w:type="dxa"/>
            <w:noWrap w:val="0"/>
            <w:vAlign w:val="center"/>
          </w:tcPr>
          <w:p w14:paraId="1217C54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评审要素及分值</w:t>
            </w:r>
          </w:p>
        </w:tc>
        <w:tc>
          <w:tcPr>
            <w:tcW w:w="6529" w:type="dxa"/>
            <w:noWrap w:val="0"/>
            <w:vAlign w:val="center"/>
          </w:tcPr>
          <w:p w14:paraId="7A9DE02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赋分标准</w:t>
            </w:r>
          </w:p>
        </w:tc>
      </w:tr>
      <w:tr w14:paraId="47FAB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54" w:hRule="atLeast"/>
        </w:trPr>
        <w:tc>
          <w:tcPr>
            <w:tcW w:w="789" w:type="dxa"/>
            <w:noWrap w:val="0"/>
            <w:vAlign w:val="center"/>
          </w:tcPr>
          <w:p w14:paraId="014EFA74">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p w14:paraId="265958C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w:t>
            </w:r>
          </w:p>
        </w:tc>
        <w:tc>
          <w:tcPr>
            <w:tcW w:w="743" w:type="dxa"/>
            <w:noWrap w:val="0"/>
            <w:vAlign w:val="center"/>
          </w:tcPr>
          <w:p w14:paraId="33EFD39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67" w:type="dxa"/>
            <w:noWrap w:val="0"/>
            <w:vAlign w:val="center"/>
          </w:tcPr>
          <w:p w14:paraId="11E11D21">
            <w:pPr>
              <w:keepNext w:val="0"/>
              <w:keepLines w:val="0"/>
              <w:pageBreakBefore w:val="0"/>
              <w:widowControl/>
              <w:kinsoku/>
              <w:wordWrap/>
              <w:overflowPunct/>
              <w:topLinePunct w:val="0"/>
              <w:bidi w:val="0"/>
              <w:adjustRightInd/>
              <w:snapToGrid/>
              <w:spacing w:line="400" w:lineRule="exact"/>
              <w:ind w:left="0" w:right="0" w:hanging="2"/>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w:t>
            </w:r>
          </w:p>
          <w:p w14:paraId="74DF0204">
            <w:pPr>
              <w:keepNext w:val="0"/>
              <w:keepLines w:val="0"/>
              <w:pageBreakBefore w:val="0"/>
              <w:widowControl/>
              <w:kinsoku/>
              <w:wordWrap/>
              <w:overflowPunct/>
              <w:topLinePunct w:val="0"/>
              <w:bidi w:val="0"/>
              <w:adjustRightInd/>
              <w:snapToGrid/>
              <w:spacing w:line="400" w:lineRule="exact"/>
              <w:ind w:left="0" w:right="0" w:hanging="2"/>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30分</w:t>
            </w:r>
            <w:r>
              <w:rPr>
                <w:rFonts w:hint="eastAsia" w:cs="宋体"/>
                <w:color w:val="auto"/>
                <w:sz w:val="24"/>
                <w:szCs w:val="24"/>
                <w:highlight w:val="none"/>
                <w:lang w:val="en-US" w:eastAsia="zh-CN"/>
              </w:rPr>
              <w:t>）</w:t>
            </w:r>
          </w:p>
        </w:tc>
        <w:tc>
          <w:tcPr>
            <w:tcW w:w="6529" w:type="dxa"/>
            <w:noWrap w:val="0"/>
            <w:vAlign w:val="center"/>
          </w:tcPr>
          <w:p w14:paraId="38E8BEEF">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以满足招标文件要求且投标报价最低的为评标基准价，其价格分为满分 30 分，其他供应商的价格分按照下列公式计算：投标报价得分=（评标基准价/投标报价）×30。</w:t>
            </w:r>
            <w:r>
              <w:rPr>
                <w:rFonts w:hint="eastAsia" w:cs="宋体"/>
                <w:color w:val="auto"/>
                <w:sz w:val="24"/>
                <w:szCs w:val="24"/>
                <w:highlight w:val="none"/>
                <w:lang w:val="en-US" w:eastAsia="zh-CN"/>
              </w:rPr>
              <w:t>（</w:t>
            </w:r>
            <w:r>
              <w:rPr>
                <w:rFonts w:hint="eastAsia"/>
                <w:b/>
                <w:bCs/>
                <w:color w:val="auto"/>
                <w:sz w:val="24"/>
                <w:szCs w:val="24"/>
                <w:lang w:val="en-US" w:eastAsia="zh-CN"/>
              </w:rPr>
              <w:t>符合招标文件规定的小微企业、监狱企业或残疾人福利性单位优惠条件的供应商，价格给予10%的扣除（不重复优惠，最高为10%），用扣除后的价格参与评审。</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 </w:t>
            </w:r>
          </w:p>
        </w:tc>
      </w:tr>
      <w:tr w14:paraId="6504B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restart"/>
            <w:noWrap w:val="0"/>
            <w:vAlign w:val="center"/>
          </w:tcPr>
          <w:p w14:paraId="55D3B174">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p>
          <w:p w14:paraId="57C1E35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64</w:t>
            </w:r>
            <w:r>
              <w:rPr>
                <w:rFonts w:hint="eastAsia" w:ascii="宋体" w:hAnsi="宋体" w:eastAsia="宋体" w:cs="宋体"/>
                <w:color w:val="auto"/>
                <w:sz w:val="24"/>
                <w:szCs w:val="24"/>
                <w:highlight w:val="none"/>
              </w:rPr>
              <w:t>分</w:t>
            </w:r>
          </w:p>
        </w:tc>
        <w:tc>
          <w:tcPr>
            <w:tcW w:w="743" w:type="dxa"/>
            <w:vMerge w:val="restart"/>
            <w:noWrap w:val="0"/>
            <w:vAlign w:val="center"/>
          </w:tcPr>
          <w:p w14:paraId="1A0859F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467" w:type="dxa"/>
            <w:vMerge w:val="restart"/>
            <w:noWrap w:val="0"/>
            <w:vAlign w:val="center"/>
          </w:tcPr>
          <w:p w14:paraId="4C452DA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技术方案</w:t>
            </w:r>
          </w:p>
          <w:p w14:paraId="5A71819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w:t>
            </w:r>
            <w:r>
              <w:rPr>
                <w:rFonts w:hint="eastAsia" w:cs="宋体"/>
                <w:bCs/>
                <w:color w:val="auto"/>
                <w:sz w:val="24"/>
                <w:szCs w:val="24"/>
                <w:highlight w:val="none"/>
                <w:lang w:val="en-US" w:eastAsia="zh-CN"/>
              </w:rPr>
              <w:t>50</w:t>
            </w:r>
            <w:r>
              <w:rPr>
                <w:rFonts w:hint="eastAsia" w:ascii="宋体" w:hAnsi="宋体" w:eastAsia="宋体" w:cs="宋体"/>
                <w:bCs/>
                <w:color w:val="auto"/>
                <w:sz w:val="24"/>
                <w:szCs w:val="24"/>
                <w:highlight w:val="none"/>
              </w:rPr>
              <w:t>分）</w:t>
            </w:r>
          </w:p>
        </w:tc>
        <w:tc>
          <w:tcPr>
            <w:tcW w:w="6529" w:type="dxa"/>
            <w:noWrap w:val="0"/>
            <w:vAlign w:val="center"/>
          </w:tcPr>
          <w:p w14:paraId="457FDDE3">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产品渠道（5分）：</w:t>
            </w:r>
          </w:p>
          <w:p w14:paraId="5578F62E">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1.产品来源渠道合法且相关证明材料（包括但不限于销售协议、代理协议、原厂授权等）符合要求的得3分，提供但不完整的得2分，未提供或存在明显问题的得0分。</w:t>
            </w:r>
          </w:p>
          <w:p w14:paraId="7BF70DF2">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2.核心产品生产厂家连带质量责任承担承诺，符合规范的得 2分，承诺不规范的得1分，无有效承诺的得0分。</w:t>
            </w:r>
          </w:p>
          <w:p w14:paraId="4777EF45">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技术指标（1</w:t>
            </w:r>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提供所投产品执行</w:t>
            </w:r>
            <w:r>
              <w:rPr>
                <w:rFonts w:hint="eastAsia" w:cs="宋体"/>
                <w:color w:val="auto"/>
                <w:sz w:val="24"/>
                <w:szCs w:val="24"/>
                <w:highlight w:val="none"/>
                <w:lang w:val="en-US" w:eastAsia="zh-CN"/>
              </w:rPr>
              <w:t>国家</w:t>
            </w:r>
            <w:r>
              <w:rPr>
                <w:rFonts w:hint="eastAsia" w:ascii="宋体" w:hAnsi="宋体" w:eastAsia="宋体" w:cs="宋体"/>
                <w:color w:val="auto"/>
                <w:sz w:val="24"/>
                <w:szCs w:val="24"/>
                <w:highlight w:val="none"/>
                <w:lang w:val="en-US" w:eastAsia="zh-CN"/>
              </w:rPr>
              <w:t>标准所检测的本年度产品技术参数及质检报告，参数清晰明确，技术指标和规格完全满足招标文件要求，检测报告等印证资料齐全。</w:t>
            </w:r>
          </w:p>
          <w:p w14:paraId="52FEE5F2">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1.产品完全满足要求、质量优良，印证资料完善、符合标准规范、能充分佐证产品质量的，得1</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63A05A34">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2.产品满足要求、质量优良，印证资料较为完善、符合标准规范、能佐证产品质量的，得</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p w14:paraId="7DF9FD02">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3.产品基本满足要求、质量合格，印证资料较为完善、基本符合标准规范、能佐证产品质量的，得</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258025C6">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4.产品不能满足要求，印证资料不完善、不符合标准规范、难以佐证产品质量的，得0分。</w:t>
            </w:r>
          </w:p>
          <w:p w14:paraId="185A8D83">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ascii="宋体" w:hAnsi="宋体" w:eastAsia="宋体" w:cs="宋体"/>
                <w:b/>
                <w:bCs/>
                <w:color w:val="auto"/>
                <w:sz w:val="24"/>
                <w:szCs w:val="24"/>
                <w:highlight w:val="none"/>
                <w:lang w:val="en-US"/>
              </w:rPr>
            </w:pPr>
            <w:r>
              <w:rPr>
                <w:rFonts w:hint="eastAsia" w:cs="宋体"/>
                <w:b/>
                <w:bCs/>
                <w:color w:val="auto"/>
                <w:sz w:val="24"/>
                <w:szCs w:val="24"/>
                <w:highlight w:val="none"/>
                <w:lang w:val="en-US" w:eastAsia="zh-CN"/>
              </w:rPr>
              <w:t>（所有材料需提供原件的扫描件）</w:t>
            </w:r>
          </w:p>
        </w:tc>
      </w:tr>
      <w:tr w14:paraId="5851D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89" w:hRule="atLeast"/>
        </w:trPr>
        <w:tc>
          <w:tcPr>
            <w:tcW w:w="789" w:type="dxa"/>
            <w:vMerge w:val="continue"/>
            <w:noWrap w:val="0"/>
            <w:vAlign w:val="center"/>
          </w:tcPr>
          <w:p w14:paraId="3A2634A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1D5511A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p>
        </w:tc>
        <w:tc>
          <w:tcPr>
            <w:tcW w:w="1467" w:type="dxa"/>
            <w:vMerge w:val="continue"/>
            <w:noWrap w:val="0"/>
            <w:vAlign w:val="center"/>
          </w:tcPr>
          <w:p w14:paraId="6F7EE904">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p>
        </w:tc>
        <w:tc>
          <w:tcPr>
            <w:tcW w:w="6529" w:type="dxa"/>
            <w:noWrap w:val="0"/>
            <w:vAlign w:val="center"/>
          </w:tcPr>
          <w:p w14:paraId="753E1B8C">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总体方案（</w:t>
            </w:r>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w:t>
            </w:r>
          </w:p>
          <w:p w14:paraId="609FCFD0">
            <w:pPr>
              <w:rPr>
                <w:rFonts w:hint="eastAsia" w:ascii="宋体" w:hAnsi="宋体" w:eastAsia="宋体" w:cs="宋体"/>
                <w:sz w:val="24"/>
                <w:szCs w:val="24"/>
              </w:rPr>
            </w:pPr>
            <w:r>
              <w:rPr>
                <w:rFonts w:hint="eastAsia" w:ascii="宋体" w:hAnsi="宋体" w:eastAsia="宋体" w:cs="宋体"/>
                <w:sz w:val="24"/>
                <w:szCs w:val="24"/>
              </w:rPr>
              <w:t>根据项目需求编制</w:t>
            </w:r>
            <w:r>
              <w:rPr>
                <w:rFonts w:hint="eastAsia" w:ascii="宋体" w:hAnsi="宋体" w:eastAsia="宋体" w:cs="宋体"/>
                <w:sz w:val="24"/>
                <w:szCs w:val="24"/>
                <w:lang w:eastAsia="zh-CN"/>
              </w:rPr>
              <w:t>实施</w:t>
            </w:r>
            <w:r>
              <w:rPr>
                <w:rFonts w:hint="eastAsia" w:ascii="宋体" w:hAnsi="宋体" w:eastAsia="宋体" w:cs="宋体"/>
                <w:sz w:val="24"/>
                <w:szCs w:val="24"/>
              </w:rPr>
              <w:t>方案</w:t>
            </w:r>
            <w:r>
              <w:rPr>
                <w:rFonts w:hint="eastAsia" w:ascii="宋体" w:hAnsi="宋体" w:cs="宋体"/>
                <w:sz w:val="24"/>
                <w:szCs w:val="24"/>
                <w:lang w:eastAsia="zh-CN"/>
              </w:rPr>
              <w:t>：</w:t>
            </w:r>
            <w:r>
              <w:rPr>
                <w:rFonts w:hint="eastAsia" w:ascii="宋体" w:hAnsi="宋体" w:cs="宋体"/>
                <w:sz w:val="24"/>
                <w:szCs w:val="24"/>
                <w:lang w:val="en-US" w:eastAsia="zh-CN"/>
              </w:rPr>
              <w:t>方案至少包括</w:t>
            </w:r>
            <w:r>
              <w:rPr>
                <w:rFonts w:hint="eastAsia" w:ascii="宋体" w:hAnsi="宋体" w:eastAsia="宋体" w:cs="宋体"/>
                <w:sz w:val="24"/>
                <w:szCs w:val="24"/>
              </w:rPr>
              <w:t>①供货保障</w:t>
            </w:r>
            <w:r>
              <w:rPr>
                <w:rFonts w:hint="eastAsia" w:ascii="宋体" w:hAnsi="宋体" w:cs="宋体"/>
                <w:sz w:val="24"/>
                <w:szCs w:val="24"/>
                <w:lang w:eastAsia="zh-CN"/>
              </w:rPr>
              <w:t>；</w:t>
            </w:r>
            <w:r>
              <w:rPr>
                <w:rFonts w:hint="eastAsia" w:ascii="宋体" w:hAnsi="宋体" w:eastAsia="宋体" w:cs="宋体"/>
                <w:sz w:val="24"/>
                <w:szCs w:val="24"/>
              </w:rPr>
              <w:t>②管理制度</w:t>
            </w:r>
            <w:r>
              <w:rPr>
                <w:rFonts w:hint="eastAsia" w:ascii="宋体" w:hAnsi="宋体" w:cs="宋体"/>
                <w:sz w:val="24"/>
                <w:szCs w:val="24"/>
                <w:lang w:eastAsia="zh-CN"/>
              </w:rPr>
              <w:t>；</w:t>
            </w:r>
            <w:r>
              <w:rPr>
                <w:rFonts w:hint="eastAsia" w:ascii="宋体" w:hAnsi="宋体" w:eastAsia="宋体" w:cs="宋体"/>
                <w:sz w:val="24"/>
                <w:szCs w:val="24"/>
              </w:rPr>
              <w:t>③运行模式</w:t>
            </w:r>
            <w:r>
              <w:rPr>
                <w:rFonts w:hint="eastAsia" w:ascii="宋体" w:hAnsi="宋体" w:cs="宋体"/>
                <w:sz w:val="24"/>
                <w:szCs w:val="24"/>
                <w:lang w:eastAsia="zh-CN"/>
              </w:rPr>
              <w:t>。</w:t>
            </w:r>
            <w:r>
              <w:rPr>
                <w:rFonts w:hint="eastAsia" w:ascii="宋体" w:hAnsi="宋体" w:eastAsia="宋体" w:cs="宋体"/>
                <w:sz w:val="24"/>
                <w:szCs w:val="24"/>
                <w:lang w:eastAsia="zh-CN"/>
              </w:rPr>
              <w:t>以上</w:t>
            </w:r>
            <w:r>
              <w:rPr>
                <w:rFonts w:hint="eastAsia" w:ascii="宋体" w:hAnsi="宋体" w:eastAsia="宋体" w:cs="宋体"/>
                <w:sz w:val="24"/>
                <w:szCs w:val="24"/>
                <w:lang w:val="en-US" w:eastAsia="zh-CN"/>
              </w:rPr>
              <w:t>3项内容齐全，针对性强、条理清晰、表述准确得分</w:t>
            </w:r>
            <w:r>
              <w:rPr>
                <w:rFonts w:hint="eastAsia" w:cs="宋体"/>
                <w:sz w:val="24"/>
                <w:szCs w:val="24"/>
                <w:lang w:val="en-US" w:eastAsia="zh-CN"/>
              </w:rPr>
              <w:t>6</w:t>
            </w:r>
            <w:r>
              <w:rPr>
                <w:rFonts w:hint="eastAsia" w:ascii="宋体" w:hAnsi="宋体" w:eastAsia="宋体" w:cs="宋体"/>
                <w:sz w:val="24"/>
                <w:szCs w:val="24"/>
                <w:lang w:val="en-US" w:eastAsia="zh-CN"/>
              </w:rPr>
              <w:t>分。每缺少一项内容扣</w:t>
            </w:r>
            <w:r>
              <w:rPr>
                <w:rFonts w:hint="eastAsia" w:cs="宋体"/>
                <w:sz w:val="24"/>
                <w:szCs w:val="24"/>
                <w:lang w:val="en-US" w:eastAsia="zh-CN"/>
              </w:rPr>
              <w:t>2</w:t>
            </w:r>
            <w:r>
              <w:rPr>
                <w:rFonts w:hint="eastAsia" w:ascii="宋体" w:hAnsi="宋体" w:eastAsia="宋体" w:cs="宋体"/>
                <w:sz w:val="24"/>
                <w:szCs w:val="24"/>
                <w:lang w:val="en-US" w:eastAsia="zh-CN"/>
              </w:rPr>
              <w:t>分（缺陷是指在完整性、可实施性和针对性等方面存在瑕疵或实用性不强）</w:t>
            </w:r>
            <w:r>
              <w:rPr>
                <w:rFonts w:hint="eastAsia" w:ascii="宋体" w:hAnsi="宋体" w:eastAsia="宋体" w:cs="宋体"/>
                <w:sz w:val="24"/>
                <w:szCs w:val="24"/>
              </w:rPr>
              <w:t>。</w:t>
            </w:r>
          </w:p>
          <w:p w14:paraId="021DB923">
            <w:pPr>
              <w:rPr>
                <w:rFonts w:hint="eastAsia" w:ascii="宋体" w:hAnsi="宋体" w:eastAsia="宋体" w:cs="宋体"/>
                <w:sz w:val="24"/>
                <w:szCs w:val="24"/>
              </w:rPr>
            </w:pPr>
            <w:r>
              <w:rPr>
                <w:rFonts w:hint="eastAsia" w:ascii="宋体" w:hAnsi="宋体" w:eastAsia="宋体" w:cs="宋体"/>
                <w:sz w:val="24"/>
                <w:szCs w:val="24"/>
              </w:rPr>
              <w:t>根据评审标准对供应商技术方案进行评审，每一条不符合本项目特点和实际需求，存在缺陷或实用性不强的扣1分，扣完为止。</w:t>
            </w:r>
          </w:p>
          <w:p w14:paraId="38B08F25">
            <w:pPr>
              <w:rPr>
                <w:rFonts w:hint="eastAsia" w:ascii="宋体" w:hAnsi="宋体" w:eastAsia="宋体" w:cs="宋体"/>
                <w:sz w:val="24"/>
                <w:szCs w:val="24"/>
              </w:rPr>
            </w:pPr>
            <w:r>
              <w:rPr>
                <w:rFonts w:hint="eastAsia" w:ascii="宋体" w:hAnsi="宋体" w:eastAsia="宋体" w:cs="宋体"/>
                <w:sz w:val="24"/>
                <w:szCs w:val="24"/>
              </w:rPr>
              <w:t xml:space="preserve">评审标准： </w:t>
            </w:r>
          </w:p>
          <w:p w14:paraId="11E1CAB1">
            <w:pPr>
              <w:rPr>
                <w:rFonts w:hint="eastAsia" w:ascii="宋体" w:hAnsi="宋体" w:eastAsia="宋体" w:cs="宋体"/>
                <w:sz w:val="24"/>
                <w:szCs w:val="24"/>
              </w:rPr>
            </w:pPr>
            <w:r>
              <w:rPr>
                <w:rFonts w:hint="eastAsia" w:ascii="宋体" w:hAnsi="宋体" w:eastAsia="宋体" w:cs="宋体"/>
                <w:sz w:val="24"/>
                <w:szCs w:val="24"/>
              </w:rPr>
              <w:t xml:space="preserve">完整性：方案须全面，对评审内容中的各项要求有详细描述； </w:t>
            </w:r>
          </w:p>
          <w:p w14:paraId="1C527711">
            <w:pPr>
              <w:rPr>
                <w:rFonts w:hint="eastAsia" w:ascii="宋体" w:hAnsi="宋体" w:eastAsia="宋体" w:cs="宋体"/>
                <w:sz w:val="24"/>
                <w:szCs w:val="24"/>
              </w:rPr>
            </w:pPr>
            <w:r>
              <w:rPr>
                <w:rFonts w:hint="eastAsia" w:ascii="宋体" w:hAnsi="宋体" w:eastAsia="宋体" w:cs="宋体"/>
                <w:sz w:val="24"/>
                <w:szCs w:val="24"/>
              </w:rPr>
              <w:t xml:space="preserve">可实施性：切合本项目实际情况，实施步骤清晰、合理； </w:t>
            </w:r>
          </w:p>
          <w:p w14:paraId="2B81CB08">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针对性：方案能够紧扣项目实际情况，内容科学合理。 </w:t>
            </w:r>
          </w:p>
        </w:tc>
      </w:tr>
      <w:tr w14:paraId="1E5EC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continue"/>
            <w:noWrap w:val="0"/>
            <w:vAlign w:val="center"/>
          </w:tcPr>
          <w:p w14:paraId="7760E44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1E3C259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031A2333">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287BF6D3">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仓储</w:t>
            </w:r>
            <w:r>
              <w:rPr>
                <w:rFonts w:hint="eastAsia" w:ascii="宋体" w:hAnsi="宋体" w:eastAsia="宋体" w:cs="宋体"/>
                <w:b/>
                <w:bCs/>
                <w:color w:val="auto"/>
                <w:sz w:val="24"/>
                <w:szCs w:val="24"/>
                <w:highlight w:val="none"/>
              </w:rPr>
              <w:t>和冷藏</w:t>
            </w:r>
            <w:r>
              <w:rPr>
                <w:rFonts w:hint="eastAsia" w:ascii="宋体" w:hAnsi="宋体" w:eastAsia="宋体" w:cs="宋体"/>
                <w:b/>
                <w:bCs/>
                <w:color w:val="auto"/>
                <w:sz w:val="24"/>
                <w:szCs w:val="24"/>
                <w:highlight w:val="none"/>
                <w:lang w:eastAsia="zh-CN"/>
              </w:rPr>
              <w:t>保</w:t>
            </w:r>
            <w:r>
              <w:rPr>
                <w:rFonts w:hint="eastAsia" w:ascii="宋体" w:hAnsi="宋体" w:eastAsia="宋体" w:cs="宋体"/>
                <w:b/>
                <w:bCs/>
                <w:color w:val="auto"/>
                <w:sz w:val="24"/>
                <w:szCs w:val="24"/>
                <w:highlight w:val="none"/>
              </w:rPr>
              <w:t>鲜</w:t>
            </w:r>
            <w:r>
              <w:rPr>
                <w:rFonts w:hint="eastAsia" w:ascii="宋体" w:hAnsi="宋体" w:eastAsia="宋体" w:cs="宋体"/>
                <w:b/>
                <w:bCs/>
                <w:color w:val="auto"/>
                <w:sz w:val="24"/>
                <w:szCs w:val="24"/>
                <w:highlight w:val="none"/>
                <w:lang w:val="en-US" w:eastAsia="zh-CN"/>
              </w:rPr>
              <w:t>能力（</w:t>
            </w:r>
            <w:r>
              <w:rPr>
                <w:rFonts w:hint="eastAsia" w:cs="宋体"/>
                <w:b/>
                <w:bCs/>
                <w:color w:val="auto"/>
                <w:sz w:val="24"/>
                <w:szCs w:val="24"/>
                <w:highlight w:val="none"/>
                <w:lang w:val="en-US" w:eastAsia="zh-CN"/>
              </w:rPr>
              <w:t>12</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kern w:val="2"/>
                <w:sz w:val="24"/>
                <w:szCs w:val="24"/>
                <w:highlight w:val="none"/>
                <w:lang w:val="en-US" w:eastAsia="zh-CN" w:bidi="ar-SA"/>
              </w:rPr>
              <w:t>：有独立的仓库，且为</w:t>
            </w:r>
            <w:r>
              <w:rPr>
                <w:rFonts w:hint="eastAsia" w:cs="宋体"/>
                <w:color w:val="auto"/>
                <w:kern w:val="2"/>
                <w:sz w:val="24"/>
                <w:szCs w:val="24"/>
                <w:highlight w:val="none"/>
                <w:lang w:val="en-US" w:eastAsia="zh-CN" w:bidi="ar-SA"/>
              </w:rPr>
              <w:t>食品</w:t>
            </w:r>
            <w:r>
              <w:rPr>
                <w:rFonts w:hint="eastAsia" w:ascii="宋体" w:hAnsi="宋体" w:eastAsia="宋体" w:cs="宋体"/>
                <w:color w:val="auto"/>
                <w:kern w:val="2"/>
                <w:sz w:val="24"/>
                <w:szCs w:val="24"/>
                <w:highlight w:val="none"/>
                <w:lang w:val="en-US" w:eastAsia="zh-CN" w:bidi="ar-SA"/>
              </w:rPr>
              <w:t>材料存储专用库</w:t>
            </w:r>
            <w:r>
              <w:rPr>
                <w:rFonts w:hint="eastAsia"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提供库房自有证明或租赁合同和仓储设备及其他能反映出其适合产品储存、周转的证明材料，满足相关食材所要求的存储要求</w:t>
            </w:r>
            <w:r>
              <w:rPr>
                <w:rFonts w:hint="eastAsia" w:cs="宋体"/>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en-US" w:eastAsia="zh-CN" w:bidi="ar-SA"/>
              </w:rPr>
              <w:t>证明材料中所用的照片必须为清晰的全方位彩色照片</w:t>
            </w:r>
            <w:r>
              <w:rPr>
                <w:rFonts w:hint="eastAsia" w:cs="宋体"/>
                <w:b/>
                <w:bCs/>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 </w:t>
            </w:r>
          </w:p>
          <w:p w14:paraId="654597A7">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 xml:space="preserve"> 投标人有独立的仓库，且为</w:t>
            </w:r>
            <w:r>
              <w:rPr>
                <w:rFonts w:hint="eastAsia" w:cs="宋体"/>
                <w:color w:val="auto"/>
                <w:kern w:val="2"/>
                <w:sz w:val="24"/>
                <w:szCs w:val="24"/>
                <w:highlight w:val="none"/>
                <w:lang w:val="en-US" w:eastAsia="zh-CN" w:bidi="ar-SA"/>
              </w:rPr>
              <w:t>食品</w:t>
            </w:r>
            <w:r>
              <w:rPr>
                <w:rFonts w:hint="eastAsia" w:ascii="宋体" w:hAnsi="宋体" w:eastAsia="宋体" w:cs="宋体"/>
                <w:color w:val="auto"/>
                <w:kern w:val="2"/>
                <w:sz w:val="24"/>
                <w:szCs w:val="24"/>
                <w:highlight w:val="none"/>
                <w:lang w:val="en-US" w:eastAsia="zh-CN" w:bidi="ar-SA"/>
              </w:rPr>
              <w:t>材料存储专用库，根据库房位置、面积，以及提供库房场所自有或租赁证明资料、仓储设备证明材料、</w:t>
            </w:r>
            <w:r>
              <w:rPr>
                <w:rFonts w:hint="eastAsia" w:cs="宋体"/>
                <w:color w:val="auto"/>
                <w:kern w:val="2"/>
                <w:sz w:val="24"/>
                <w:szCs w:val="24"/>
                <w:highlight w:val="none"/>
                <w:lang w:val="en-US" w:eastAsia="zh-CN" w:bidi="ar-SA"/>
              </w:rPr>
              <w:t>仓库管理</w:t>
            </w:r>
            <w:r>
              <w:rPr>
                <w:rFonts w:hint="eastAsia" w:ascii="宋体" w:hAnsi="宋体" w:eastAsia="宋体" w:cs="宋体"/>
                <w:color w:val="auto"/>
                <w:kern w:val="2"/>
                <w:sz w:val="24"/>
                <w:szCs w:val="24"/>
                <w:highlight w:val="none"/>
                <w:lang w:val="en-US" w:eastAsia="zh-CN" w:bidi="ar-SA"/>
              </w:rPr>
              <w:t>制度等，库房面积≥300㎡，得4分；库房面积＜</w:t>
            </w:r>
            <w:r>
              <w:rPr>
                <w:rFonts w:hint="eastAsia"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00㎡，得</w:t>
            </w:r>
            <w:r>
              <w:rPr>
                <w:rFonts w:hint="eastAsia"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分</w:t>
            </w:r>
            <w:r>
              <w:rPr>
                <w:rFonts w:hint="eastAsia"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无独立库</w:t>
            </w:r>
            <w:r>
              <w:rPr>
                <w:rFonts w:hint="eastAsia" w:cs="宋体"/>
                <w:color w:val="auto"/>
                <w:kern w:val="2"/>
                <w:sz w:val="24"/>
                <w:szCs w:val="24"/>
                <w:highlight w:val="none"/>
                <w:lang w:val="en-US" w:eastAsia="zh-CN" w:bidi="ar-SA"/>
              </w:rPr>
              <w:t>房得0分</w:t>
            </w:r>
            <w:r>
              <w:rPr>
                <w:rFonts w:hint="eastAsia" w:ascii="宋体" w:hAnsi="宋体" w:eastAsia="宋体" w:cs="宋体"/>
                <w:color w:val="auto"/>
                <w:kern w:val="2"/>
                <w:sz w:val="24"/>
                <w:szCs w:val="24"/>
                <w:highlight w:val="none"/>
                <w:lang w:val="en-US" w:eastAsia="zh-CN" w:bidi="ar-SA"/>
              </w:rPr>
              <w:t xml:space="preserve">。 </w:t>
            </w:r>
          </w:p>
          <w:p w14:paraId="5E71647C">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 xml:space="preserve"> 仓库</w:t>
            </w:r>
            <w:r>
              <w:rPr>
                <w:rFonts w:hint="eastAsia" w:cs="宋体"/>
                <w:color w:val="auto"/>
                <w:kern w:val="2"/>
                <w:sz w:val="24"/>
                <w:szCs w:val="24"/>
                <w:highlight w:val="none"/>
                <w:lang w:val="en-US" w:eastAsia="zh-CN" w:bidi="ar-SA"/>
              </w:rPr>
              <w:t>条件能满足</w:t>
            </w:r>
            <w:r>
              <w:rPr>
                <w:rFonts w:hint="eastAsia" w:ascii="宋体" w:hAnsi="宋体" w:eastAsia="宋体" w:cs="宋体"/>
                <w:color w:val="auto"/>
                <w:kern w:val="2"/>
                <w:sz w:val="24"/>
                <w:szCs w:val="24"/>
                <w:highlight w:val="none"/>
                <w:lang w:val="en-US" w:eastAsia="zh-CN" w:bidi="ar-SA"/>
              </w:rPr>
              <w:t>相关食材存储所要求的</w:t>
            </w:r>
            <w:r>
              <w:rPr>
                <w:rFonts w:hint="eastAsia" w:cs="宋体"/>
                <w:color w:val="auto"/>
                <w:kern w:val="2"/>
                <w:sz w:val="24"/>
                <w:szCs w:val="24"/>
                <w:highlight w:val="none"/>
                <w:lang w:val="en-US" w:eastAsia="zh-CN" w:bidi="ar-SA"/>
              </w:rPr>
              <w:t>通风、</w:t>
            </w:r>
            <w:r>
              <w:rPr>
                <w:rFonts w:hint="eastAsia" w:ascii="宋体" w:hAnsi="宋体" w:eastAsia="宋体" w:cs="宋体"/>
                <w:color w:val="auto"/>
                <w:kern w:val="2"/>
                <w:sz w:val="24"/>
                <w:szCs w:val="24"/>
                <w:highlight w:val="none"/>
                <w:lang w:val="en-US" w:eastAsia="zh-CN" w:bidi="ar-SA"/>
              </w:rPr>
              <w:t>温</w:t>
            </w:r>
            <w:r>
              <w:rPr>
                <w:rFonts w:hint="eastAsia" w:cs="宋体"/>
                <w:color w:val="auto"/>
                <w:kern w:val="2"/>
                <w:sz w:val="24"/>
                <w:szCs w:val="24"/>
                <w:highlight w:val="none"/>
                <w:lang w:val="en-US" w:eastAsia="zh-CN" w:bidi="ar-SA"/>
              </w:rPr>
              <w:t>度</w:t>
            </w:r>
            <w:r>
              <w:rPr>
                <w:rFonts w:hint="eastAsia" w:ascii="宋体" w:hAnsi="宋体" w:eastAsia="宋体" w:cs="宋体"/>
                <w:color w:val="auto"/>
                <w:kern w:val="2"/>
                <w:sz w:val="24"/>
                <w:szCs w:val="24"/>
                <w:highlight w:val="none"/>
                <w:lang w:val="en-US" w:eastAsia="zh-CN" w:bidi="ar-SA"/>
              </w:rPr>
              <w:t>、湿度条件</w:t>
            </w:r>
            <w:r>
              <w:rPr>
                <w:rFonts w:hint="eastAsia" w:cs="宋体"/>
                <w:color w:val="auto"/>
                <w:kern w:val="2"/>
                <w:sz w:val="24"/>
                <w:szCs w:val="24"/>
                <w:highlight w:val="none"/>
                <w:lang w:val="en-US" w:eastAsia="zh-CN" w:bidi="ar-SA"/>
              </w:rPr>
              <w:t>的</w:t>
            </w:r>
            <w:r>
              <w:rPr>
                <w:rFonts w:hint="eastAsia" w:ascii="宋体" w:hAnsi="宋体" w:eastAsia="宋体" w:cs="宋体"/>
                <w:color w:val="auto"/>
                <w:kern w:val="2"/>
                <w:sz w:val="24"/>
                <w:szCs w:val="24"/>
                <w:highlight w:val="none"/>
                <w:lang w:val="en-US" w:eastAsia="zh-CN" w:bidi="ar-SA"/>
              </w:rPr>
              <w:t>得3分</w:t>
            </w:r>
            <w:r>
              <w:rPr>
                <w:rFonts w:hint="eastAsia" w:cs="宋体"/>
                <w:color w:val="auto"/>
                <w:kern w:val="2"/>
                <w:sz w:val="24"/>
                <w:szCs w:val="24"/>
                <w:highlight w:val="none"/>
                <w:lang w:val="en-US" w:eastAsia="zh-CN" w:bidi="ar-SA"/>
              </w:rPr>
              <w:t>，无法满足的得0分</w:t>
            </w:r>
            <w:r>
              <w:rPr>
                <w:rFonts w:hint="eastAsia" w:ascii="宋体" w:hAnsi="宋体" w:eastAsia="宋体" w:cs="宋体"/>
                <w:color w:val="auto"/>
                <w:kern w:val="2"/>
                <w:sz w:val="24"/>
                <w:szCs w:val="24"/>
                <w:highlight w:val="none"/>
                <w:lang w:val="en-US" w:eastAsia="zh-CN" w:bidi="ar-SA"/>
              </w:rPr>
              <w:t xml:space="preserve">。 </w:t>
            </w:r>
          </w:p>
          <w:p w14:paraId="27FD918D">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 xml:space="preserve"> 库房“七防”设施（防火、防盗、防潮、防投毒、防鼠、防蝇、防尘）设施图片及制度齐全，得3分；不全得0分。 </w:t>
            </w:r>
          </w:p>
          <w:p w14:paraId="387A596F">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rPr>
            </w:pP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 xml:space="preserve"> 库房</w:t>
            </w:r>
            <w:r>
              <w:rPr>
                <w:rFonts w:hint="eastAsia" w:cs="宋体"/>
                <w:color w:val="auto"/>
                <w:kern w:val="2"/>
                <w:sz w:val="24"/>
                <w:szCs w:val="24"/>
                <w:highlight w:val="none"/>
                <w:lang w:val="en-US" w:eastAsia="zh-CN" w:bidi="ar-SA"/>
              </w:rPr>
              <w:t>内</w:t>
            </w:r>
            <w:r>
              <w:rPr>
                <w:rFonts w:hint="eastAsia" w:ascii="宋体" w:hAnsi="宋体" w:eastAsia="宋体" w:cs="宋体"/>
                <w:color w:val="auto"/>
                <w:kern w:val="2"/>
                <w:sz w:val="24"/>
                <w:szCs w:val="24"/>
                <w:highlight w:val="none"/>
                <w:lang w:val="en-US" w:eastAsia="zh-CN" w:bidi="ar-SA"/>
              </w:rPr>
              <w:t>外安装有监控设备且全方位覆盖，得2分；未达到上述要求，得0分</w:t>
            </w:r>
            <w:r>
              <w:rPr>
                <w:rFonts w:hint="eastAsia" w:ascii="宋体" w:hAnsi="宋体" w:eastAsia="宋体" w:cs="宋体"/>
                <w:color w:val="auto"/>
                <w:kern w:val="0"/>
                <w:sz w:val="24"/>
                <w:szCs w:val="24"/>
                <w:lang w:val="en-US" w:eastAsia="zh-CN" w:bidi="ar"/>
              </w:rPr>
              <w:t>。</w:t>
            </w:r>
          </w:p>
        </w:tc>
      </w:tr>
      <w:tr w14:paraId="6A676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continue"/>
            <w:noWrap w:val="0"/>
            <w:vAlign w:val="center"/>
          </w:tcPr>
          <w:p w14:paraId="66FAB4F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126F8280">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2FBE214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67DC46C3">
            <w:pPr>
              <w:pStyle w:val="52"/>
              <w:jc w:val="lef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人员配备</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5分</w:t>
            </w:r>
            <w:r>
              <w:rPr>
                <w:rFonts w:hint="eastAsia" w:ascii="宋体" w:hAnsi="宋体" w:eastAsia="宋体" w:cs="宋体"/>
                <w:b/>
                <w:bCs/>
                <w:color w:val="auto"/>
                <w:sz w:val="24"/>
                <w:szCs w:val="24"/>
                <w:lang w:eastAsia="zh-CN"/>
              </w:rPr>
              <w:t>）</w:t>
            </w:r>
          </w:p>
          <w:p w14:paraId="6A2DD865">
            <w:pPr>
              <w:pStyle w:val="52"/>
              <w:jc w:val="left"/>
              <w:rPr>
                <w:rFonts w:hint="eastAsia" w:ascii="宋体" w:hAnsi="宋体" w:cs="宋体"/>
                <w:color w:val="auto"/>
                <w:sz w:val="24"/>
                <w:szCs w:val="24"/>
                <w:lang w:eastAsia="zh-CN"/>
              </w:rPr>
            </w:pPr>
            <w:r>
              <w:rPr>
                <w:rFonts w:hint="eastAsia" w:ascii="宋体" w:hAnsi="宋体" w:eastAsia="宋体" w:cs="宋体"/>
                <w:color w:val="auto"/>
                <w:sz w:val="24"/>
                <w:szCs w:val="24"/>
              </w:rPr>
              <w:t>岗位设置齐全、职责明确、人员配置合理充足，</w:t>
            </w:r>
            <w:r>
              <w:rPr>
                <w:rFonts w:hint="eastAsia" w:ascii="宋体" w:hAnsi="宋体" w:eastAsia="宋体" w:cs="宋体"/>
                <w:color w:val="auto"/>
                <w:sz w:val="24"/>
                <w:szCs w:val="24"/>
                <w:lang w:val="en-US" w:eastAsia="zh-CN"/>
              </w:rPr>
              <w:t>相关</w:t>
            </w:r>
            <w:r>
              <w:rPr>
                <w:rFonts w:hint="eastAsia" w:ascii="宋体" w:hAnsi="宋体" w:eastAsia="宋体" w:cs="宋体"/>
                <w:color w:val="auto"/>
                <w:sz w:val="24"/>
                <w:szCs w:val="24"/>
              </w:rPr>
              <w:t>人员提供人员身份证、健康证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劳务合同</w:t>
            </w:r>
            <w:r>
              <w:rPr>
                <w:rFonts w:hint="eastAsia" w:ascii="宋体" w:hAnsi="宋体" w:eastAsia="宋体" w:cs="宋体"/>
                <w:color w:val="auto"/>
                <w:sz w:val="24"/>
                <w:szCs w:val="24"/>
                <w:lang w:val="en-US" w:eastAsia="zh-CN"/>
              </w:rPr>
              <w:t>及无犯罪证明</w:t>
            </w:r>
            <w:r>
              <w:rPr>
                <w:rFonts w:hint="eastAsia" w:ascii="宋体" w:hAnsi="宋体" w:eastAsia="宋体" w:cs="宋体"/>
                <w:color w:val="auto"/>
                <w:sz w:val="24"/>
                <w:szCs w:val="24"/>
              </w:rPr>
              <w:t>等</w:t>
            </w:r>
            <w:r>
              <w:rPr>
                <w:rFonts w:hint="eastAsia" w:ascii="宋体" w:hAnsi="宋体" w:cs="宋体"/>
                <w:color w:val="auto"/>
                <w:sz w:val="24"/>
                <w:szCs w:val="24"/>
                <w:lang w:eastAsia="zh-CN"/>
              </w:rPr>
              <w:t>；</w:t>
            </w:r>
            <w:r>
              <w:rPr>
                <w:rFonts w:hint="eastAsia" w:ascii="宋体" w:hAnsi="宋体" w:eastAsia="宋体" w:cs="宋体"/>
                <w:color w:val="auto"/>
                <w:sz w:val="24"/>
                <w:szCs w:val="24"/>
              </w:rPr>
              <w:t>司机</w:t>
            </w:r>
            <w:r>
              <w:rPr>
                <w:rFonts w:hint="eastAsia" w:ascii="宋体" w:hAnsi="宋体" w:eastAsia="宋体" w:cs="宋体"/>
                <w:color w:val="auto"/>
                <w:sz w:val="24"/>
                <w:szCs w:val="24"/>
                <w:lang w:val="en-US" w:eastAsia="zh-CN"/>
              </w:rPr>
              <w:t>还须提供</w:t>
            </w:r>
            <w:r>
              <w:rPr>
                <w:rFonts w:hint="eastAsia" w:ascii="宋体" w:hAnsi="宋体" w:eastAsia="宋体" w:cs="宋体"/>
                <w:color w:val="auto"/>
                <w:sz w:val="24"/>
                <w:szCs w:val="24"/>
              </w:rPr>
              <w:t>驾驶证</w:t>
            </w:r>
            <w:r>
              <w:rPr>
                <w:rFonts w:hint="eastAsia" w:ascii="宋体" w:hAnsi="宋体" w:cs="宋体"/>
                <w:color w:val="auto"/>
                <w:sz w:val="24"/>
                <w:szCs w:val="24"/>
                <w:lang w:eastAsia="zh-CN"/>
              </w:rPr>
              <w:t>。</w:t>
            </w:r>
          </w:p>
          <w:p w14:paraId="5C3995F3">
            <w:pPr>
              <w:pStyle w:val="52"/>
              <w:jc w:val="left"/>
              <w:rPr>
                <w:rFonts w:hint="eastAsia" w:ascii="宋体" w:hAnsi="宋体" w:eastAsia="宋体" w:cs="宋体"/>
                <w:color w:val="auto"/>
                <w:sz w:val="24"/>
                <w:szCs w:val="24"/>
              </w:rPr>
            </w:pPr>
            <w:r>
              <w:rPr>
                <w:rFonts w:hint="eastAsia" w:ascii="宋体" w:hAnsi="宋体" w:eastAsia="宋体" w:cs="宋体"/>
                <w:color w:val="auto"/>
                <w:sz w:val="24"/>
                <w:szCs w:val="24"/>
              </w:rPr>
              <w:t>①为本项目配备的服务团队人员上述条件齐全有效且达到</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人以上得5分；</w:t>
            </w:r>
          </w:p>
          <w:p w14:paraId="3F3B8D65">
            <w:pPr>
              <w:pStyle w:val="52"/>
              <w:jc w:val="left"/>
              <w:rPr>
                <w:rFonts w:hint="eastAsia" w:ascii="宋体" w:hAnsi="宋体" w:eastAsia="宋体" w:cs="宋体"/>
                <w:color w:val="auto"/>
                <w:sz w:val="24"/>
                <w:szCs w:val="24"/>
              </w:rPr>
            </w:pPr>
            <w:r>
              <w:rPr>
                <w:rFonts w:hint="eastAsia" w:ascii="宋体" w:hAnsi="宋体" w:eastAsia="宋体" w:cs="宋体"/>
                <w:color w:val="auto"/>
                <w:sz w:val="24"/>
                <w:szCs w:val="24"/>
              </w:rPr>
              <w:t>②为本项目配备的服务团队人员上述条件齐全有效且达到</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人分得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14:paraId="544368DD">
            <w:pPr>
              <w:keepNext w:val="0"/>
              <w:keepLines w:val="0"/>
              <w:pageBreakBefore w:val="0"/>
              <w:kinsoku/>
              <w:wordWrap/>
              <w:overflowPunct/>
              <w:topLinePunct w:val="0"/>
              <w:bidi w:val="0"/>
              <w:adjustRightInd/>
              <w:snapToGrid/>
              <w:spacing w:line="400" w:lineRule="exact"/>
              <w:ind w:left="0" w:right="0"/>
              <w:jc w:val="left"/>
              <w:textAlignment w:val="auto"/>
              <w:rPr>
                <w:rFonts w:hint="eastAsia" w:cs="宋体"/>
                <w:color w:val="auto"/>
                <w:kern w:val="2"/>
                <w:sz w:val="24"/>
                <w:szCs w:val="24"/>
                <w:highlight w:val="none"/>
                <w:lang w:val="en-US" w:eastAsia="zh-CN" w:bidi="ar-SA"/>
              </w:rPr>
            </w:pPr>
            <w:r>
              <w:rPr>
                <w:rFonts w:hint="eastAsia" w:ascii="宋体" w:hAnsi="宋体" w:eastAsia="宋体" w:cs="宋体"/>
                <w:color w:val="auto"/>
                <w:sz w:val="24"/>
                <w:szCs w:val="24"/>
              </w:rPr>
              <w:t>③人员配置</w:t>
            </w:r>
            <w:r>
              <w:rPr>
                <w:rFonts w:hint="eastAsia" w:ascii="宋体" w:hAnsi="宋体" w:cs="宋体"/>
                <w:color w:val="auto"/>
                <w:sz w:val="24"/>
                <w:szCs w:val="24"/>
                <w:lang w:val="en-US" w:eastAsia="zh-CN"/>
              </w:rPr>
              <w:t>不足3人得1分，少于2人得0分</w:t>
            </w:r>
            <w:r>
              <w:rPr>
                <w:rFonts w:hint="eastAsia" w:ascii="宋体" w:hAnsi="宋体" w:eastAsia="宋体" w:cs="宋体"/>
                <w:color w:val="auto"/>
                <w:sz w:val="24"/>
                <w:szCs w:val="24"/>
              </w:rPr>
              <w:t>。</w:t>
            </w:r>
          </w:p>
        </w:tc>
      </w:tr>
      <w:tr w14:paraId="39670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4" w:hRule="atLeast"/>
        </w:trPr>
        <w:tc>
          <w:tcPr>
            <w:tcW w:w="789" w:type="dxa"/>
            <w:vMerge w:val="continue"/>
            <w:noWrap w:val="0"/>
            <w:vAlign w:val="center"/>
          </w:tcPr>
          <w:p w14:paraId="64DE2EC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512B391D">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0144668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50FB8368">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2"/>
                <w:sz w:val="24"/>
                <w:szCs w:val="24"/>
                <w:highlight w:val="none"/>
                <w:lang w:val="en-US" w:eastAsia="zh-CN" w:bidi="ar-SA"/>
              </w:rPr>
              <w:t>配送车辆（6分）</w:t>
            </w:r>
            <w:r>
              <w:rPr>
                <w:rFonts w:hint="eastAsia" w:ascii="宋体" w:hAnsi="宋体" w:eastAsia="宋体" w:cs="宋体"/>
                <w:color w:val="auto"/>
                <w:kern w:val="2"/>
                <w:sz w:val="24"/>
                <w:szCs w:val="24"/>
                <w:highlight w:val="none"/>
                <w:lang w:val="en-US" w:eastAsia="zh-CN" w:bidi="ar-SA"/>
              </w:rPr>
              <w:t>：投标人须具有</w:t>
            </w: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辆以上自有或租赁（租赁车辆须提供租赁合同等证明材料）符合安全运输标准的厢式运输专用车辆等相关配送设备，须提供车辆</w:t>
            </w:r>
            <w:r>
              <w:rPr>
                <w:rFonts w:hint="eastAsia" w:cs="宋体"/>
                <w:color w:val="auto"/>
                <w:kern w:val="2"/>
                <w:sz w:val="24"/>
                <w:szCs w:val="24"/>
                <w:highlight w:val="none"/>
                <w:lang w:val="en-US" w:eastAsia="zh-CN" w:bidi="ar-SA"/>
              </w:rPr>
              <w:t>（车辆照片彩页）、</w:t>
            </w:r>
            <w:r>
              <w:rPr>
                <w:rFonts w:hint="eastAsia" w:ascii="宋体" w:hAnsi="宋体" w:eastAsia="宋体" w:cs="宋体"/>
                <w:color w:val="auto"/>
                <w:kern w:val="2"/>
                <w:sz w:val="24"/>
                <w:szCs w:val="24"/>
                <w:highlight w:val="none"/>
                <w:lang w:val="en-US" w:eastAsia="zh-CN" w:bidi="ar-SA"/>
              </w:rPr>
              <w:t>行驶证满足项目基本配送车辆要求得3分（少于</w:t>
            </w: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辆不得分），车辆数量每增加1辆加1分，最多加3分，满分6分。</w:t>
            </w:r>
          </w:p>
        </w:tc>
      </w:tr>
      <w:tr w14:paraId="3FEA3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78" w:hRule="atLeast"/>
        </w:trPr>
        <w:tc>
          <w:tcPr>
            <w:tcW w:w="789" w:type="dxa"/>
            <w:vMerge w:val="continue"/>
            <w:noWrap w:val="0"/>
            <w:vAlign w:val="center"/>
          </w:tcPr>
          <w:p w14:paraId="59D1642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noWrap w:val="0"/>
            <w:vAlign w:val="center"/>
          </w:tcPr>
          <w:p w14:paraId="4F0190CD">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467" w:type="dxa"/>
            <w:noWrap w:val="0"/>
            <w:vAlign w:val="center"/>
          </w:tcPr>
          <w:p w14:paraId="79A7601E">
            <w:pPr>
              <w:pStyle w:val="50"/>
              <w:keepNext w:val="0"/>
              <w:keepLines w:val="0"/>
              <w:pageBreakBefore w:val="0"/>
              <w:tabs>
                <w:tab w:val="clear" w:pos="4153"/>
                <w:tab w:val="clear" w:pos="8306"/>
              </w:tabs>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质量及安全控制措施</w:t>
            </w:r>
            <w:r>
              <w:rPr>
                <w:rFonts w:hint="eastAsia" w:ascii="宋体" w:hAnsi="宋体" w:eastAsia="宋体" w:cs="宋体"/>
                <w:bCs/>
                <w:color w:val="auto"/>
                <w:sz w:val="24"/>
                <w:szCs w:val="24"/>
                <w:highlight w:val="none"/>
              </w:rPr>
              <w:t>（</w:t>
            </w:r>
            <w:r>
              <w:rPr>
                <w:rFonts w:hint="eastAsia" w:cs="宋体"/>
                <w:bCs/>
                <w:color w:val="auto"/>
                <w:sz w:val="24"/>
                <w:szCs w:val="24"/>
                <w:highlight w:val="none"/>
                <w:lang w:val="en-US" w:eastAsia="zh-CN"/>
              </w:rPr>
              <w:t>10</w:t>
            </w:r>
            <w:r>
              <w:rPr>
                <w:rFonts w:hint="eastAsia" w:ascii="宋体" w:hAnsi="宋体" w:eastAsia="宋体" w:cs="宋体"/>
                <w:bCs/>
                <w:color w:val="auto"/>
                <w:sz w:val="24"/>
                <w:szCs w:val="24"/>
                <w:highlight w:val="none"/>
              </w:rPr>
              <w:t>分）</w:t>
            </w:r>
          </w:p>
        </w:tc>
        <w:tc>
          <w:tcPr>
            <w:tcW w:w="6529" w:type="dxa"/>
            <w:noWrap w:val="0"/>
            <w:vAlign w:val="center"/>
          </w:tcPr>
          <w:p w14:paraId="6604D755">
            <w:pPr>
              <w:keepNext w:val="0"/>
              <w:keepLines w:val="0"/>
              <w:pageBreakBefore w:val="0"/>
              <w:numPr>
                <w:ilvl w:val="0"/>
                <w:numId w:val="8"/>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根据项目需求内容制定整体质量保证措施：方案至少包括①质量安全保证具体措施；②卫生安全；③货物的来源；④采购环节控制；⑤加工包装保存运输等环节。提供必要的证明材料复印件或扫描件（包括但不限于销售协议、代理商授权、检测报告等）。以上5项内容齐全，针对性强、条理清晰、表述准确得分10分。每缺少一项内容扣2分（缺陷是指在完整性、可实施性和针对性等方面存在瑕疵或实用性不强）。</w:t>
            </w:r>
          </w:p>
          <w:p w14:paraId="3FF00ACE">
            <w:pPr>
              <w:keepNext w:val="0"/>
              <w:keepLines w:val="0"/>
              <w:pageBreakBefore w:val="0"/>
              <w:numPr>
                <w:ilvl w:val="0"/>
                <w:numId w:val="8"/>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根据评审标准对供应商技术方案进行评审，每一条不符合本项目特点和实际需求，存在缺陷或实用性不强的扣1分，扣完为止。</w:t>
            </w:r>
          </w:p>
          <w:p w14:paraId="10C9BE0D">
            <w:pPr>
              <w:keepNext w:val="0"/>
              <w:keepLines w:val="0"/>
              <w:pageBreakBefore w:val="0"/>
              <w:numPr>
                <w:ilvl w:val="0"/>
                <w:numId w:val="8"/>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评审标准： </w:t>
            </w:r>
          </w:p>
          <w:p w14:paraId="21B54D2C">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完整性：方案须全面，对评审内容中的各项要求有详细描述； </w:t>
            </w:r>
          </w:p>
          <w:p w14:paraId="53038F80">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可实施性：切合本项目实际情况，实施步骤清晰、合理； </w:t>
            </w:r>
          </w:p>
          <w:p w14:paraId="47D20228">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针对性：方案能够紧扣项目实际情况，内容科学合理。 </w:t>
            </w:r>
          </w:p>
        </w:tc>
      </w:tr>
      <w:tr w14:paraId="6CE40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0" w:hRule="atLeast"/>
        </w:trPr>
        <w:tc>
          <w:tcPr>
            <w:tcW w:w="789" w:type="dxa"/>
            <w:vMerge w:val="continue"/>
            <w:noWrap w:val="0"/>
            <w:vAlign w:val="center"/>
          </w:tcPr>
          <w:p w14:paraId="2F065A6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noWrap w:val="0"/>
            <w:vAlign w:val="center"/>
          </w:tcPr>
          <w:p w14:paraId="74AFF7A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467" w:type="dxa"/>
            <w:noWrap w:val="0"/>
            <w:vAlign w:val="center"/>
          </w:tcPr>
          <w:p w14:paraId="1228BB9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w:t>
            </w:r>
          </w:p>
          <w:p w14:paraId="6F8F0CF0">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p>
        </w:tc>
        <w:tc>
          <w:tcPr>
            <w:tcW w:w="6529" w:type="dxa"/>
            <w:noWrap w:val="0"/>
            <w:vAlign w:val="center"/>
          </w:tcPr>
          <w:p w14:paraId="6F87158D">
            <w:pPr>
              <w:keepNext w:val="0"/>
              <w:keepLines w:val="0"/>
              <w:pageBreakBefore w:val="0"/>
              <w:numPr>
                <w:ilvl w:val="0"/>
                <w:numId w:val="9"/>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制定在验货时出现问题的方案：包括但不限于①</w:t>
            </w:r>
            <w:r>
              <w:rPr>
                <w:rFonts w:hint="eastAsia" w:cs="宋体"/>
                <w:color w:val="auto"/>
                <w:sz w:val="24"/>
                <w:szCs w:val="24"/>
                <w:highlight w:val="none"/>
                <w:lang w:val="en-US" w:eastAsia="zh-CN"/>
              </w:rPr>
              <w:t>应急方案措施；</w:t>
            </w:r>
            <w:r>
              <w:rPr>
                <w:rFonts w:hint="eastAsia" w:ascii="宋体" w:hAnsi="宋体" w:eastAsia="宋体" w:cs="宋体"/>
                <w:color w:val="auto"/>
                <w:sz w:val="24"/>
                <w:szCs w:val="24"/>
                <w:highlight w:val="none"/>
                <w:lang w:val="en-US" w:eastAsia="zh-CN"/>
              </w:rPr>
              <w:t>②响应速度快；③退换货服务方案描述无缺漏；</w:t>
            </w:r>
            <w:r>
              <w:rPr>
                <w:rFonts w:hint="eastAsia" w:cs="宋体"/>
                <w:color w:val="auto"/>
                <w:sz w:val="24"/>
                <w:szCs w:val="24"/>
                <w:highlight w:val="none"/>
                <w:lang w:val="en-US" w:eastAsia="zh-CN"/>
              </w:rPr>
              <w:t>④</w:t>
            </w:r>
            <w:r>
              <w:rPr>
                <w:rFonts w:hint="eastAsia" w:ascii="宋体" w:hAnsi="宋体" w:eastAsia="宋体" w:cs="宋体"/>
                <w:color w:val="auto"/>
                <w:sz w:val="24"/>
                <w:szCs w:val="24"/>
                <w:highlight w:val="none"/>
                <w:lang w:val="en-US" w:eastAsia="zh-CN"/>
              </w:rPr>
              <w:t>联系人员及电话。</w:t>
            </w:r>
          </w:p>
          <w:p w14:paraId="51D637F6">
            <w:pPr>
              <w:keepNext w:val="0"/>
              <w:keepLines w:val="0"/>
              <w:pageBreakBefore w:val="0"/>
              <w:numPr>
                <w:ilvl w:val="0"/>
                <w:numId w:val="9"/>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项内容齐全，针对性强、条理清晰、表述准确得分</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分。每缺少一项内容扣</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分，每一项存在缺陷扣0.</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分（缺陷是指在完整性、可实施性和针对性等方面存在瑕疵或实用性不强）。</w:t>
            </w:r>
          </w:p>
          <w:p w14:paraId="17F573DE">
            <w:pPr>
              <w:keepNext w:val="0"/>
              <w:keepLines w:val="0"/>
              <w:pageBreakBefore w:val="0"/>
              <w:numPr>
                <w:ilvl w:val="0"/>
                <w:numId w:val="9"/>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评审标准： </w:t>
            </w:r>
          </w:p>
          <w:p w14:paraId="091646DD">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完整性：方案须全面，对评审内容中的各项要求有详细描述； </w:t>
            </w:r>
          </w:p>
          <w:p w14:paraId="3E1B89AD">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可实施性：切合本项目实际情况，实施步骤清晰、合理； </w:t>
            </w:r>
          </w:p>
          <w:p w14:paraId="00C252A1">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针对性：方案能够紧扣项目实际情况，内容科学合理。</w:t>
            </w:r>
          </w:p>
        </w:tc>
      </w:tr>
      <w:tr w14:paraId="2107C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0" w:hRule="atLeast"/>
        </w:trPr>
        <w:tc>
          <w:tcPr>
            <w:tcW w:w="789" w:type="dxa"/>
            <w:noWrap w:val="0"/>
            <w:vAlign w:val="center"/>
          </w:tcPr>
          <w:p w14:paraId="3B61B3DD">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w:t>
            </w:r>
          </w:p>
          <w:p w14:paraId="5F542F33">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743" w:type="dxa"/>
            <w:noWrap w:val="0"/>
            <w:vAlign w:val="center"/>
          </w:tcPr>
          <w:p w14:paraId="1004FB85">
            <w:pPr>
              <w:keepNext w:val="0"/>
              <w:keepLines w:val="0"/>
              <w:pageBreakBefore w:val="0"/>
              <w:kinsoku/>
              <w:wordWrap/>
              <w:overflowPunct/>
              <w:topLinePunct w:val="0"/>
              <w:bidi w:val="0"/>
              <w:adjustRightInd/>
              <w:snapToGrid/>
              <w:spacing w:line="40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p>
        </w:tc>
        <w:tc>
          <w:tcPr>
            <w:tcW w:w="1467" w:type="dxa"/>
            <w:noWrap w:val="0"/>
            <w:vAlign w:val="center"/>
          </w:tcPr>
          <w:p w14:paraId="16F2D12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业绩</w:t>
            </w:r>
          </w:p>
          <w:p w14:paraId="5282AF7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p>
        </w:tc>
        <w:tc>
          <w:tcPr>
            <w:tcW w:w="6529" w:type="dxa"/>
            <w:noWrap w:val="0"/>
            <w:vAlign w:val="center"/>
          </w:tcPr>
          <w:p w14:paraId="341B5B1F">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供应商提供自</w:t>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月至今，具有</w:t>
            </w:r>
            <w:r>
              <w:rPr>
                <w:rFonts w:hint="eastAsia" w:cs="宋体"/>
                <w:color w:val="auto"/>
                <w:sz w:val="24"/>
                <w:szCs w:val="24"/>
                <w:highlight w:val="none"/>
                <w:lang w:val="en-US" w:eastAsia="zh-CN"/>
              </w:rPr>
              <w:t>同类</w:t>
            </w:r>
            <w:r>
              <w:rPr>
                <w:rFonts w:hint="eastAsia" w:ascii="宋体" w:hAnsi="宋体" w:eastAsia="宋体" w:cs="宋体"/>
                <w:color w:val="auto"/>
                <w:sz w:val="24"/>
                <w:szCs w:val="24"/>
                <w:highlight w:val="none"/>
              </w:rPr>
              <w:t>项目业绩</w:t>
            </w:r>
            <w:r>
              <w:rPr>
                <w:rFonts w:hint="eastAsia" w:cs="宋体"/>
                <w:color w:val="auto"/>
                <w:sz w:val="24"/>
                <w:szCs w:val="24"/>
                <w:highlight w:val="none"/>
                <w:lang w:eastAsia="zh-CN"/>
              </w:rPr>
              <w:t>（</w:t>
            </w:r>
            <w:r>
              <w:rPr>
                <w:rFonts w:hint="eastAsia" w:cs="宋体"/>
                <w:color w:val="auto"/>
                <w:sz w:val="24"/>
                <w:szCs w:val="24"/>
                <w:lang w:eastAsia="zh-CN"/>
              </w:rPr>
              <w:t>包括但不限于各级各类学校、党政机关、企事业单位、医疗机构等食材配送服务项目），</w:t>
            </w:r>
            <w:r>
              <w:rPr>
                <w:rFonts w:hint="eastAsia" w:ascii="宋体" w:hAnsi="宋体" w:eastAsia="宋体" w:cs="宋体"/>
                <w:color w:val="auto"/>
                <w:sz w:val="24"/>
                <w:szCs w:val="24"/>
                <w:highlight w:val="none"/>
                <w:lang w:val="en-US" w:eastAsia="zh-CN"/>
              </w:rPr>
              <w:t>以合同复印件和中标通知书为准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每提供一个</w:t>
            </w:r>
            <w:r>
              <w:rPr>
                <w:rFonts w:hint="eastAsia" w:ascii="宋体" w:hAnsi="宋体" w:eastAsia="宋体" w:cs="宋体"/>
                <w:color w:val="auto"/>
                <w:sz w:val="24"/>
                <w:szCs w:val="24"/>
                <w:highlight w:val="none"/>
                <w:lang w:val="en-US" w:eastAsia="zh-CN"/>
              </w:rPr>
              <w:t>得</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分，满分</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r>
      <w:tr w14:paraId="02695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19" w:hRule="atLeast"/>
        </w:trPr>
        <w:tc>
          <w:tcPr>
            <w:tcW w:w="2999" w:type="dxa"/>
            <w:gridSpan w:val="3"/>
            <w:noWrap w:val="0"/>
            <w:vAlign w:val="center"/>
          </w:tcPr>
          <w:p w14:paraId="341A4AB0">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评标程序</w:t>
            </w:r>
          </w:p>
          <w:p w14:paraId="664A678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p>
        </w:tc>
        <w:tc>
          <w:tcPr>
            <w:tcW w:w="6529" w:type="dxa"/>
            <w:noWrap w:val="0"/>
            <w:vAlign w:val="top"/>
          </w:tcPr>
          <w:p w14:paraId="09D9901E">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1.开标后，由</w:t>
            </w:r>
            <w:r>
              <w:rPr>
                <w:rFonts w:hint="eastAsia" w:cs="宋体"/>
                <w:color w:val="auto"/>
                <w:sz w:val="24"/>
                <w:szCs w:val="24"/>
                <w:highlight w:val="none"/>
                <w:lang w:val="en-US" w:eastAsia="zh-CN"/>
              </w:rPr>
              <w:t>采购人或代理机构</w:t>
            </w:r>
            <w:r>
              <w:rPr>
                <w:rFonts w:hint="eastAsia" w:ascii="宋体" w:hAnsi="宋体" w:eastAsia="宋体" w:cs="宋体"/>
                <w:color w:val="auto"/>
                <w:sz w:val="24"/>
                <w:szCs w:val="24"/>
                <w:highlight w:val="none"/>
                <w:lang w:val="en-US" w:eastAsia="zh-CN"/>
              </w:rPr>
              <w:t xml:space="preserve">对投标单位进行资格性评审，资格性评审合格的响应文件进行符合性评审。不合格的单位，不再对其进行后续评审与分值评定。 </w:t>
            </w:r>
          </w:p>
          <w:p w14:paraId="6895A2AA">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2.如经过对所有供应商的响应文件进行评审，有效投标不足三个使得投标明显缺乏竞</w:t>
            </w:r>
            <w:r>
              <w:rPr>
                <w:rFonts w:hint="eastAsia" w:cs="宋体"/>
                <w:color w:val="auto"/>
                <w:sz w:val="24"/>
                <w:szCs w:val="24"/>
                <w:highlight w:val="none"/>
                <w:lang w:val="en-US" w:eastAsia="zh-CN"/>
              </w:rPr>
              <w:t>争性</w:t>
            </w:r>
            <w:r>
              <w:rPr>
                <w:rFonts w:hint="eastAsia" w:ascii="宋体" w:hAnsi="宋体" w:eastAsia="宋体" w:cs="宋体"/>
                <w:color w:val="auto"/>
                <w:sz w:val="24"/>
                <w:szCs w:val="24"/>
                <w:highlight w:val="none"/>
                <w:lang w:val="en-US" w:eastAsia="zh-CN"/>
              </w:rPr>
              <w:t>的，</w:t>
            </w:r>
            <w:r>
              <w:rPr>
                <w:rFonts w:hint="eastAsia" w:cs="宋体"/>
                <w:color w:val="auto"/>
                <w:sz w:val="24"/>
                <w:szCs w:val="24"/>
                <w:highlight w:val="none"/>
                <w:lang w:val="en-US" w:eastAsia="zh-CN"/>
              </w:rPr>
              <w:t>评标委员会</w:t>
            </w:r>
            <w:r>
              <w:rPr>
                <w:rFonts w:hint="eastAsia" w:ascii="宋体" w:hAnsi="宋体" w:eastAsia="宋体" w:cs="宋体"/>
                <w:color w:val="auto"/>
                <w:sz w:val="24"/>
                <w:szCs w:val="24"/>
                <w:highlight w:val="none"/>
                <w:lang w:val="en-US" w:eastAsia="zh-CN"/>
              </w:rPr>
              <w:t xml:space="preserve">可以否决全部投标。 </w:t>
            </w:r>
          </w:p>
          <w:p w14:paraId="074B34F4">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评标委员会</w:t>
            </w:r>
            <w:r>
              <w:rPr>
                <w:rFonts w:hint="eastAsia" w:ascii="宋体" w:hAnsi="宋体" w:eastAsia="宋体" w:cs="宋体"/>
                <w:color w:val="auto"/>
                <w:sz w:val="24"/>
                <w:szCs w:val="24"/>
                <w:highlight w:val="none"/>
                <w:lang w:val="en-US" w:eastAsia="zh-CN"/>
              </w:rPr>
              <w:t>应当根据综合评分情况，按照评审得分由高到低顺序推荐 3 名以上成交候选供应商，并编写评审报告报采购人。评审得分相同的，按照最后报价由低到高的顺序推荐。评审得分且最后报价相同的，按照</w:t>
            </w:r>
            <w:r>
              <w:rPr>
                <w:rFonts w:hint="eastAsia"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方案优劣顺序推荐。</w:t>
            </w:r>
          </w:p>
        </w:tc>
      </w:tr>
    </w:tbl>
    <w:p w14:paraId="73EA81E4">
      <w:pPr>
        <w:rPr>
          <w:rFonts w:hint="eastAsia"/>
          <w:color w:val="auto"/>
          <w:lang w:val="en-US" w:eastAsia="zh-CN"/>
        </w:rPr>
      </w:pPr>
      <w:r>
        <w:rPr>
          <w:rFonts w:hint="eastAsia"/>
          <w:color w:val="auto"/>
          <w:lang w:val="en-US" w:eastAsia="zh-CN"/>
        </w:rPr>
        <w:br w:type="page"/>
      </w:r>
    </w:p>
    <w:p w14:paraId="08B70B62">
      <w:pPr>
        <w:pStyle w:val="7"/>
        <w:keepNext w:val="0"/>
        <w:keepLines w:val="0"/>
        <w:pageBreakBefore w:val="0"/>
        <w:kinsoku/>
        <w:wordWrap/>
        <w:overflowPunct/>
        <w:topLinePunct w:val="0"/>
        <w:bidi w:val="0"/>
        <w:adjustRightInd/>
        <w:snapToGrid/>
        <w:spacing w:line="400" w:lineRule="exact"/>
        <w:ind w:left="0" w:leftChars="0" w:right="0" w:rightChars="0" w:firstLine="0" w:firstLineChars="0"/>
        <w:textAlignment w:val="auto"/>
        <w:rPr>
          <w:rFonts w:hint="eastAsia" w:cs="宋体"/>
          <w:color w:val="auto"/>
          <w:lang w:val="en-US" w:eastAsia="zh-CN"/>
        </w:rPr>
      </w:pPr>
      <w:r>
        <w:rPr>
          <w:rFonts w:hint="eastAsia"/>
          <w:color w:val="auto"/>
          <w:lang w:val="en-US" w:eastAsia="zh-CN"/>
        </w:rPr>
        <w:t>合同包二</w:t>
      </w:r>
      <w:r>
        <w:rPr>
          <w:rFonts w:hint="eastAsia" w:ascii="宋体" w:hAnsi="宋体" w:eastAsia="宋体" w:cs="宋体"/>
          <w:color w:val="auto"/>
          <w:lang w:val="en-US" w:eastAsia="zh-CN"/>
        </w:rPr>
        <w:t>：</w:t>
      </w:r>
      <w:r>
        <w:rPr>
          <w:rFonts w:hint="eastAsia" w:cs="宋体"/>
          <w:color w:val="auto"/>
          <w:lang w:val="en-US" w:eastAsia="zh-CN"/>
        </w:rPr>
        <w:t>A片区肉蛋禽采购</w:t>
      </w:r>
    </w:p>
    <w:tbl>
      <w:tblPr>
        <w:tblStyle w:val="23"/>
        <w:tblW w:w="9528"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743"/>
        <w:gridCol w:w="1467"/>
        <w:gridCol w:w="6529"/>
      </w:tblGrid>
      <w:tr w14:paraId="6A978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5" w:hRule="atLeast"/>
        </w:trPr>
        <w:tc>
          <w:tcPr>
            <w:tcW w:w="789" w:type="dxa"/>
            <w:noWrap w:val="0"/>
            <w:vAlign w:val="center"/>
          </w:tcPr>
          <w:p w14:paraId="504906F6">
            <w:pPr>
              <w:pStyle w:val="49"/>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类别</w:t>
            </w:r>
          </w:p>
        </w:tc>
        <w:tc>
          <w:tcPr>
            <w:tcW w:w="743" w:type="dxa"/>
            <w:noWrap w:val="0"/>
            <w:vAlign w:val="center"/>
          </w:tcPr>
          <w:p w14:paraId="0F4F4C9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467" w:type="dxa"/>
            <w:noWrap w:val="0"/>
            <w:vAlign w:val="center"/>
          </w:tcPr>
          <w:p w14:paraId="5E236621">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评审要素及分值</w:t>
            </w:r>
          </w:p>
        </w:tc>
        <w:tc>
          <w:tcPr>
            <w:tcW w:w="6529" w:type="dxa"/>
            <w:noWrap w:val="0"/>
            <w:vAlign w:val="center"/>
          </w:tcPr>
          <w:p w14:paraId="0C1688E3">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赋分标准</w:t>
            </w:r>
          </w:p>
        </w:tc>
      </w:tr>
      <w:tr w14:paraId="59F1A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54" w:hRule="atLeast"/>
        </w:trPr>
        <w:tc>
          <w:tcPr>
            <w:tcW w:w="789" w:type="dxa"/>
            <w:noWrap w:val="0"/>
            <w:vAlign w:val="center"/>
          </w:tcPr>
          <w:p w14:paraId="2B2501CC">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p w14:paraId="637EA92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w:t>
            </w:r>
          </w:p>
        </w:tc>
        <w:tc>
          <w:tcPr>
            <w:tcW w:w="743" w:type="dxa"/>
            <w:noWrap w:val="0"/>
            <w:vAlign w:val="center"/>
          </w:tcPr>
          <w:p w14:paraId="0450047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67" w:type="dxa"/>
            <w:noWrap w:val="0"/>
            <w:vAlign w:val="center"/>
          </w:tcPr>
          <w:p w14:paraId="4B13DE58">
            <w:pPr>
              <w:keepNext w:val="0"/>
              <w:keepLines w:val="0"/>
              <w:pageBreakBefore w:val="0"/>
              <w:widowControl/>
              <w:kinsoku/>
              <w:wordWrap/>
              <w:overflowPunct/>
              <w:topLinePunct w:val="0"/>
              <w:bidi w:val="0"/>
              <w:adjustRightInd/>
              <w:snapToGrid/>
              <w:spacing w:line="400" w:lineRule="exact"/>
              <w:ind w:left="0" w:right="0" w:hanging="2"/>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w:t>
            </w:r>
          </w:p>
          <w:p w14:paraId="5DC286AA">
            <w:pPr>
              <w:keepNext w:val="0"/>
              <w:keepLines w:val="0"/>
              <w:pageBreakBefore w:val="0"/>
              <w:widowControl/>
              <w:kinsoku/>
              <w:wordWrap/>
              <w:overflowPunct/>
              <w:topLinePunct w:val="0"/>
              <w:bidi w:val="0"/>
              <w:adjustRightInd/>
              <w:snapToGrid/>
              <w:spacing w:line="400" w:lineRule="exact"/>
              <w:ind w:left="0" w:right="0" w:hanging="2"/>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30分</w:t>
            </w:r>
            <w:r>
              <w:rPr>
                <w:rFonts w:hint="eastAsia" w:cs="宋体"/>
                <w:color w:val="auto"/>
                <w:sz w:val="24"/>
                <w:szCs w:val="24"/>
                <w:highlight w:val="none"/>
                <w:lang w:val="en-US" w:eastAsia="zh-CN"/>
              </w:rPr>
              <w:t>）</w:t>
            </w:r>
          </w:p>
        </w:tc>
        <w:tc>
          <w:tcPr>
            <w:tcW w:w="6529" w:type="dxa"/>
            <w:noWrap w:val="0"/>
            <w:vAlign w:val="center"/>
          </w:tcPr>
          <w:p w14:paraId="07E9BB4D">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以满足招标文件要求且投标报价最低的为评标基准价，其价格分为满分 30 分，其他供应商的价格分按照下列公式计算：投标报价得分=（评标基准价/投标报价）×30。</w:t>
            </w:r>
            <w:r>
              <w:rPr>
                <w:rFonts w:hint="eastAsia" w:cs="宋体"/>
                <w:color w:val="auto"/>
                <w:sz w:val="24"/>
                <w:szCs w:val="24"/>
                <w:highlight w:val="none"/>
                <w:lang w:val="en-US" w:eastAsia="zh-CN"/>
              </w:rPr>
              <w:t>（</w:t>
            </w:r>
            <w:r>
              <w:rPr>
                <w:rFonts w:hint="eastAsia"/>
                <w:b/>
                <w:bCs/>
                <w:color w:val="auto"/>
                <w:sz w:val="24"/>
                <w:szCs w:val="24"/>
                <w:lang w:val="en-US" w:eastAsia="zh-CN"/>
              </w:rPr>
              <w:t>符合招标文件规定的小微企业、监狱企业或残疾人福利性单位优惠条件的供应商，价格给予10%的扣除（不重复优惠，最高为10%），用扣除后的价格参与评审。</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 </w:t>
            </w:r>
          </w:p>
        </w:tc>
      </w:tr>
      <w:tr w14:paraId="5B992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restart"/>
            <w:noWrap w:val="0"/>
            <w:vAlign w:val="center"/>
          </w:tcPr>
          <w:p w14:paraId="2D298CB0">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p>
          <w:p w14:paraId="0D2007A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64</w:t>
            </w:r>
            <w:r>
              <w:rPr>
                <w:rFonts w:hint="eastAsia" w:ascii="宋体" w:hAnsi="宋体" w:eastAsia="宋体" w:cs="宋体"/>
                <w:color w:val="auto"/>
                <w:sz w:val="24"/>
                <w:szCs w:val="24"/>
                <w:highlight w:val="none"/>
              </w:rPr>
              <w:t>分</w:t>
            </w:r>
          </w:p>
        </w:tc>
        <w:tc>
          <w:tcPr>
            <w:tcW w:w="743" w:type="dxa"/>
            <w:vMerge w:val="restart"/>
            <w:noWrap w:val="0"/>
            <w:vAlign w:val="center"/>
          </w:tcPr>
          <w:p w14:paraId="192A7BAD">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467" w:type="dxa"/>
            <w:vMerge w:val="restart"/>
            <w:noWrap w:val="0"/>
            <w:vAlign w:val="center"/>
          </w:tcPr>
          <w:p w14:paraId="22A6685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技术方案</w:t>
            </w:r>
          </w:p>
          <w:p w14:paraId="0FE59D2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w:t>
            </w:r>
            <w:r>
              <w:rPr>
                <w:rFonts w:hint="eastAsia" w:cs="宋体"/>
                <w:bCs/>
                <w:color w:val="auto"/>
                <w:sz w:val="24"/>
                <w:szCs w:val="24"/>
                <w:highlight w:val="none"/>
                <w:lang w:val="en-US" w:eastAsia="zh-CN"/>
              </w:rPr>
              <w:t>50</w:t>
            </w:r>
            <w:r>
              <w:rPr>
                <w:rFonts w:hint="eastAsia" w:ascii="宋体" w:hAnsi="宋体" w:eastAsia="宋体" w:cs="宋体"/>
                <w:bCs/>
                <w:color w:val="auto"/>
                <w:sz w:val="24"/>
                <w:szCs w:val="24"/>
                <w:highlight w:val="none"/>
              </w:rPr>
              <w:t>分）</w:t>
            </w:r>
          </w:p>
        </w:tc>
        <w:tc>
          <w:tcPr>
            <w:tcW w:w="6529" w:type="dxa"/>
            <w:noWrap w:val="0"/>
            <w:vAlign w:val="center"/>
          </w:tcPr>
          <w:p w14:paraId="79435C6D">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产品渠道（5分）：</w:t>
            </w:r>
          </w:p>
          <w:p w14:paraId="53274F96">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1.产品来源渠道合法且相关证明材料（包括但不限于销售协议、代理协议、原厂授权等）符合要求的得3分，提供但不完整的得2分，未提供或存在明显问题的得0分。</w:t>
            </w:r>
          </w:p>
          <w:p w14:paraId="3C51864E">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2.核心产品生产厂家连带质量责任承担承诺，符合规范的得 2分，承诺不规范的得1分，无有效承诺的得0分。</w:t>
            </w:r>
          </w:p>
          <w:p w14:paraId="5F1DBCB5">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技术指标（1</w:t>
            </w:r>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提供所投产品执行</w:t>
            </w:r>
            <w:r>
              <w:rPr>
                <w:rFonts w:hint="eastAsia" w:cs="宋体"/>
                <w:color w:val="auto"/>
                <w:sz w:val="24"/>
                <w:szCs w:val="24"/>
                <w:highlight w:val="none"/>
                <w:lang w:val="en-US" w:eastAsia="zh-CN"/>
              </w:rPr>
              <w:t>国家</w:t>
            </w:r>
            <w:r>
              <w:rPr>
                <w:rFonts w:hint="eastAsia" w:ascii="宋体" w:hAnsi="宋体" w:eastAsia="宋体" w:cs="宋体"/>
                <w:color w:val="auto"/>
                <w:sz w:val="24"/>
                <w:szCs w:val="24"/>
                <w:highlight w:val="none"/>
                <w:lang w:val="en-US" w:eastAsia="zh-CN"/>
              </w:rPr>
              <w:t>标准所检测的本年度产品技术参数及质检报告，参数清晰明确，技术指标和规格完全满足招标文件要求，检测报告等印证资料齐全。</w:t>
            </w:r>
          </w:p>
          <w:p w14:paraId="3F07B90F">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1.产品完全满足要求、质量优良，印证资料完善、符合标准规范、能充分佐证产品质量的，得1</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44B64EC9">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2.产品满足要求、质量优良，印证资料较为完善、符合标准规范、能佐证产品质量的，得</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p w14:paraId="2D3067A7">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3.产品基本满足要求、质量合格，印证资料较为完善、基本符合标准规范、能佐证产品质量的，得</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348B94BE">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4.产品不能满足要求，印证资料不完善、不符合标准规范、难以佐证产品质量的，得0分。</w:t>
            </w:r>
          </w:p>
          <w:p w14:paraId="44E23493">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ascii="宋体" w:hAnsi="宋体" w:eastAsia="宋体" w:cs="宋体"/>
                <w:b/>
                <w:bCs/>
                <w:color w:val="auto"/>
                <w:sz w:val="24"/>
                <w:szCs w:val="24"/>
                <w:highlight w:val="none"/>
                <w:lang w:val="en-US"/>
              </w:rPr>
            </w:pPr>
            <w:r>
              <w:rPr>
                <w:rFonts w:hint="eastAsia" w:cs="宋体"/>
                <w:b/>
                <w:bCs/>
                <w:color w:val="auto"/>
                <w:sz w:val="24"/>
                <w:szCs w:val="24"/>
                <w:highlight w:val="none"/>
                <w:lang w:val="en-US" w:eastAsia="zh-CN"/>
              </w:rPr>
              <w:t>（所有材料需提供原件的扫描件）</w:t>
            </w:r>
          </w:p>
        </w:tc>
      </w:tr>
      <w:tr w14:paraId="2BF68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89" w:hRule="atLeast"/>
        </w:trPr>
        <w:tc>
          <w:tcPr>
            <w:tcW w:w="789" w:type="dxa"/>
            <w:vMerge w:val="continue"/>
            <w:noWrap w:val="0"/>
            <w:vAlign w:val="center"/>
          </w:tcPr>
          <w:p w14:paraId="2A815B0C">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32DB01E1">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p>
        </w:tc>
        <w:tc>
          <w:tcPr>
            <w:tcW w:w="1467" w:type="dxa"/>
            <w:vMerge w:val="continue"/>
            <w:noWrap w:val="0"/>
            <w:vAlign w:val="center"/>
          </w:tcPr>
          <w:p w14:paraId="447D8F5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p>
        </w:tc>
        <w:tc>
          <w:tcPr>
            <w:tcW w:w="6529" w:type="dxa"/>
            <w:noWrap w:val="0"/>
            <w:vAlign w:val="center"/>
          </w:tcPr>
          <w:p w14:paraId="637112C0">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总体方案（</w:t>
            </w:r>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w:t>
            </w:r>
          </w:p>
          <w:p w14:paraId="48BEAD85">
            <w:pPr>
              <w:rPr>
                <w:rFonts w:hint="eastAsia" w:ascii="宋体" w:hAnsi="宋体" w:eastAsia="宋体" w:cs="宋体"/>
                <w:sz w:val="24"/>
                <w:szCs w:val="24"/>
              </w:rPr>
            </w:pPr>
            <w:r>
              <w:rPr>
                <w:rFonts w:hint="eastAsia" w:ascii="宋体" w:hAnsi="宋体" w:eastAsia="宋体" w:cs="宋体"/>
                <w:sz w:val="24"/>
                <w:szCs w:val="24"/>
              </w:rPr>
              <w:t>根据项目需求编制</w:t>
            </w:r>
            <w:r>
              <w:rPr>
                <w:rFonts w:hint="eastAsia" w:ascii="宋体" w:hAnsi="宋体" w:eastAsia="宋体" w:cs="宋体"/>
                <w:sz w:val="24"/>
                <w:szCs w:val="24"/>
                <w:lang w:eastAsia="zh-CN"/>
              </w:rPr>
              <w:t>实施</w:t>
            </w:r>
            <w:r>
              <w:rPr>
                <w:rFonts w:hint="eastAsia" w:ascii="宋体" w:hAnsi="宋体" w:eastAsia="宋体" w:cs="宋体"/>
                <w:sz w:val="24"/>
                <w:szCs w:val="24"/>
              </w:rPr>
              <w:t>方案</w:t>
            </w:r>
            <w:r>
              <w:rPr>
                <w:rFonts w:hint="eastAsia" w:ascii="宋体" w:hAnsi="宋体" w:cs="宋体"/>
                <w:sz w:val="24"/>
                <w:szCs w:val="24"/>
                <w:lang w:eastAsia="zh-CN"/>
              </w:rPr>
              <w:t>：</w:t>
            </w:r>
            <w:r>
              <w:rPr>
                <w:rFonts w:hint="eastAsia" w:ascii="宋体" w:hAnsi="宋体" w:cs="宋体"/>
                <w:sz w:val="24"/>
                <w:szCs w:val="24"/>
                <w:lang w:val="en-US" w:eastAsia="zh-CN"/>
              </w:rPr>
              <w:t>方案至少包括</w:t>
            </w:r>
            <w:r>
              <w:rPr>
                <w:rFonts w:hint="eastAsia" w:ascii="宋体" w:hAnsi="宋体" w:eastAsia="宋体" w:cs="宋体"/>
                <w:sz w:val="24"/>
                <w:szCs w:val="24"/>
              </w:rPr>
              <w:t>①供货保障</w:t>
            </w:r>
            <w:r>
              <w:rPr>
                <w:rFonts w:hint="eastAsia" w:ascii="宋体" w:hAnsi="宋体" w:cs="宋体"/>
                <w:sz w:val="24"/>
                <w:szCs w:val="24"/>
                <w:lang w:eastAsia="zh-CN"/>
              </w:rPr>
              <w:t>；</w:t>
            </w:r>
            <w:r>
              <w:rPr>
                <w:rFonts w:hint="eastAsia" w:ascii="宋体" w:hAnsi="宋体" w:eastAsia="宋体" w:cs="宋体"/>
                <w:sz w:val="24"/>
                <w:szCs w:val="24"/>
              </w:rPr>
              <w:t>②管理制度</w:t>
            </w:r>
            <w:r>
              <w:rPr>
                <w:rFonts w:hint="eastAsia" w:ascii="宋体" w:hAnsi="宋体" w:cs="宋体"/>
                <w:sz w:val="24"/>
                <w:szCs w:val="24"/>
                <w:lang w:eastAsia="zh-CN"/>
              </w:rPr>
              <w:t>；</w:t>
            </w:r>
            <w:r>
              <w:rPr>
                <w:rFonts w:hint="eastAsia" w:ascii="宋体" w:hAnsi="宋体" w:eastAsia="宋体" w:cs="宋体"/>
                <w:sz w:val="24"/>
                <w:szCs w:val="24"/>
              </w:rPr>
              <w:t>③运行模式</w:t>
            </w:r>
            <w:r>
              <w:rPr>
                <w:rFonts w:hint="eastAsia" w:ascii="宋体" w:hAnsi="宋体" w:cs="宋体"/>
                <w:sz w:val="24"/>
                <w:szCs w:val="24"/>
                <w:lang w:eastAsia="zh-CN"/>
              </w:rPr>
              <w:t>。</w:t>
            </w:r>
            <w:r>
              <w:rPr>
                <w:rFonts w:hint="eastAsia" w:ascii="宋体" w:hAnsi="宋体" w:eastAsia="宋体" w:cs="宋体"/>
                <w:sz w:val="24"/>
                <w:szCs w:val="24"/>
                <w:lang w:eastAsia="zh-CN"/>
              </w:rPr>
              <w:t>以上</w:t>
            </w:r>
            <w:r>
              <w:rPr>
                <w:rFonts w:hint="eastAsia" w:ascii="宋体" w:hAnsi="宋体" w:eastAsia="宋体" w:cs="宋体"/>
                <w:sz w:val="24"/>
                <w:szCs w:val="24"/>
                <w:lang w:val="en-US" w:eastAsia="zh-CN"/>
              </w:rPr>
              <w:t>3项内容齐全，针对性强、条理清晰、表述准确得分</w:t>
            </w:r>
            <w:r>
              <w:rPr>
                <w:rFonts w:hint="eastAsia" w:cs="宋体"/>
                <w:sz w:val="24"/>
                <w:szCs w:val="24"/>
                <w:lang w:val="en-US" w:eastAsia="zh-CN"/>
              </w:rPr>
              <w:t>6</w:t>
            </w:r>
            <w:r>
              <w:rPr>
                <w:rFonts w:hint="eastAsia" w:ascii="宋体" w:hAnsi="宋体" w:eastAsia="宋体" w:cs="宋体"/>
                <w:sz w:val="24"/>
                <w:szCs w:val="24"/>
                <w:lang w:val="en-US" w:eastAsia="zh-CN"/>
              </w:rPr>
              <w:t>分。每缺少一项内容扣</w:t>
            </w:r>
            <w:r>
              <w:rPr>
                <w:rFonts w:hint="eastAsia" w:cs="宋体"/>
                <w:sz w:val="24"/>
                <w:szCs w:val="24"/>
                <w:lang w:val="en-US" w:eastAsia="zh-CN"/>
              </w:rPr>
              <w:t>2</w:t>
            </w:r>
            <w:r>
              <w:rPr>
                <w:rFonts w:hint="eastAsia" w:ascii="宋体" w:hAnsi="宋体" w:eastAsia="宋体" w:cs="宋体"/>
                <w:sz w:val="24"/>
                <w:szCs w:val="24"/>
                <w:lang w:val="en-US" w:eastAsia="zh-CN"/>
              </w:rPr>
              <w:t>分（缺陷是指在完整性、可实施性和针对性等方面存在瑕疵或实用性不强）</w:t>
            </w:r>
            <w:r>
              <w:rPr>
                <w:rFonts w:hint="eastAsia" w:ascii="宋体" w:hAnsi="宋体" w:eastAsia="宋体" w:cs="宋体"/>
                <w:sz w:val="24"/>
                <w:szCs w:val="24"/>
              </w:rPr>
              <w:t>。</w:t>
            </w:r>
          </w:p>
          <w:p w14:paraId="737A6682">
            <w:pPr>
              <w:rPr>
                <w:rFonts w:hint="eastAsia" w:ascii="宋体" w:hAnsi="宋体" w:eastAsia="宋体" w:cs="宋体"/>
                <w:sz w:val="24"/>
                <w:szCs w:val="24"/>
              </w:rPr>
            </w:pPr>
            <w:r>
              <w:rPr>
                <w:rFonts w:hint="eastAsia" w:ascii="宋体" w:hAnsi="宋体" w:eastAsia="宋体" w:cs="宋体"/>
                <w:sz w:val="24"/>
                <w:szCs w:val="24"/>
              </w:rPr>
              <w:t>根据评审标准对供应商技术方案进行评审，每一条不符合本项目特点和实际需求，存在缺陷或实用性不强的扣1分，扣完为止。</w:t>
            </w:r>
          </w:p>
          <w:p w14:paraId="078B71E2">
            <w:pPr>
              <w:rPr>
                <w:rFonts w:hint="eastAsia" w:ascii="宋体" w:hAnsi="宋体" w:eastAsia="宋体" w:cs="宋体"/>
                <w:sz w:val="24"/>
                <w:szCs w:val="24"/>
              </w:rPr>
            </w:pPr>
            <w:r>
              <w:rPr>
                <w:rFonts w:hint="eastAsia" w:ascii="宋体" w:hAnsi="宋体" w:eastAsia="宋体" w:cs="宋体"/>
                <w:sz w:val="24"/>
                <w:szCs w:val="24"/>
              </w:rPr>
              <w:t xml:space="preserve">评审标准： </w:t>
            </w:r>
          </w:p>
          <w:p w14:paraId="3253E23F">
            <w:pPr>
              <w:rPr>
                <w:rFonts w:hint="eastAsia" w:ascii="宋体" w:hAnsi="宋体" w:eastAsia="宋体" w:cs="宋体"/>
                <w:sz w:val="24"/>
                <w:szCs w:val="24"/>
              </w:rPr>
            </w:pPr>
            <w:r>
              <w:rPr>
                <w:rFonts w:hint="eastAsia" w:ascii="宋体" w:hAnsi="宋体" w:eastAsia="宋体" w:cs="宋体"/>
                <w:sz w:val="24"/>
                <w:szCs w:val="24"/>
              </w:rPr>
              <w:t xml:space="preserve">完整性：方案须全面，对评审内容中的各项要求有详细描述； </w:t>
            </w:r>
          </w:p>
          <w:p w14:paraId="405113BB">
            <w:pPr>
              <w:rPr>
                <w:rFonts w:hint="eastAsia" w:ascii="宋体" w:hAnsi="宋体" w:eastAsia="宋体" w:cs="宋体"/>
                <w:sz w:val="24"/>
                <w:szCs w:val="24"/>
              </w:rPr>
            </w:pPr>
            <w:r>
              <w:rPr>
                <w:rFonts w:hint="eastAsia" w:ascii="宋体" w:hAnsi="宋体" w:eastAsia="宋体" w:cs="宋体"/>
                <w:sz w:val="24"/>
                <w:szCs w:val="24"/>
              </w:rPr>
              <w:t xml:space="preserve">可实施性：切合本项目实际情况，实施步骤清晰、合理； </w:t>
            </w:r>
          </w:p>
          <w:p w14:paraId="539A4D95">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针对性：方案能够紧扣项目实际情况，内容科学合理。 </w:t>
            </w:r>
          </w:p>
        </w:tc>
      </w:tr>
      <w:tr w14:paraId="20449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continue"/>
            <w:noWrap w:val="0"/>
            <w:vAlign w:val="center"/>
          </w:tcPr>
          <w:p w14:paraId="092C7C3C">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60FFA9C4">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6D589F5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6350CC0C">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仓储</w:t>
            </w:r>
            <w:r>
              <w:rPr>
                <w:rFonts w:hint="eastAsia" w:ascii="宋体" w:hAnsi="宋体" w:eastAsia="宋体" w:cs="宋体"/>
                <w:b/>
                <w:bCs/>
                <w:color w:val="auto"/>
                <w:sz w:val="24"/>
                <w:szCs w:val="24"/>
                <w:highlight w:val="none"/>
              </w:rPr>
              <w:t>和冷藏</w:t>
            </w:r>
            <w:r>
              <w:rPr>
                <w:rFonts w:hint="eastAsia" w:ascii="宋体" w:hAnsi="宋体" w:eastAsia="宋体" w:cs="宋体"/>
                <w:b/>
                <w:bCs/>
                <w:color w:val="auto"/>
                <w:sz w:val="24"/>
                <w:szCs w:val="24"/>
                <w:highlight w:val="none"/>
                <w:lang w:eastAsia="zh-CN"/>
              </w:rPr>
              <w:t>保</w:t>
            </w:r>
            <w:r>
              <w:rPr>
                <w:rFonts w:hint="eastAsia" w:ascii="宋体" w:hAnsi="宋体" w:eastAsia="宋体" w:cs="宋体"/>
                <w:b/>
                <w:bCs/>
                <w:color w:val="auto"/>
                <w:sz w:val="24"/>
                <w:szCs w:val="24"/>
                <w:highlight w:val="none"/>
              </w:rPr>
              <w:t>鲜</w:t>
            </w:r>
            <w:r>
              <w:rPr>
                <w:rFonts w:hint="eastAsia" w:ascii="宋体" w:hAnsi="宋体" w:eastAsia="宋体" w:cs="宋体"/>
                <w:b/>
                <w:bCs/>
                <w:color w:val="auto"/>
                <w:sz w:val="24"/>
                <w:szCs w:val="24"/>
                <w:highlight w:val="none"/>
                <w:lang w:val="en-US" w:eastAsia="zh-CN"/>
              </w:rPr>
              <w:t>能力（</w:t>
            </w:r>
            <w:r>
              <w:rPr>
                <w:rFonts w:hint="eastAsia" w:cs="宋体"/>
                <w:b/>
                <w:bCs/>
                <w:color w:val="auto"/>
                <w:sz w:val="24"/>
                <w:szCs w:val="24"/>
                <w:highlight w:val="none"/>
                <w:lang w:val="en-US" w:eastAsia="zh-CN"/>
              </w:rPr>
              <w:t>12</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kern w:val="2"/>
                <w:sz w:val="24"/>
                <w:szCs w:val="24"/>
                <w:highlight w:val="none"/>
                <w:lang w:val="en-US" w:eastAsia="zh-CN" w:bidi="ar-SA"/>
              </w:rPr>
              <w:t>：有独立的</w:t>
            </w:r>
            <w:r>
              <w:rPr>
                <w:rFonts w:hint="eastAsia" w:cs="宋体"/>
                <w:color w:val="auto"/>
                <w:kern w:val="2"/>
                <w:sz w:val="24"/>
                <w:szCs w:val="24"/>
                <w:highlight w:val="none"/>
                <w:lang w:val="en-US" w:eastAsia="zh-CN" w:bidi="ar-SA"/>
              </w:rPr>
              <w:t>冷藏库</w:t>
            </w:r>
            <w:r>
              <w:rPr>
                <w:rFonts w:hint="eastAsia" w:ascii="宋体" w:hAnsi="宋体" w:eastAsia="宋体" w:cs="宋体"/>
                <w:color w:val="auto"/>
                <w:kern w:val="2"/>
                <w:sz w:val="24"/>
                <w:szCs w:val="24"/>
                <w:highlight w:val="none"/>
                <w:lang w:val="en-US" w:eastAsia="zh-CN" w:bidi="ar-SA"/>
              </w:rPr>
              <w:t>，且为</w:t>
            </w:r>
            <w:r>
              <w:rPr>
                <w:rFonts w:hint="eastAsia" w:cs="宋体"/>
                <w:color w:val="auto"/>
                <w:kern w:val="2"/>
                <w:sz w:val="24"/>
                <w:szCs w:val="24"/>
                <w:highlight w:val="none"/>
                <w:lang w:val="en-US" w:eastAsia="zh-CN" w:bidi="ar-SA"/>
              </w:rPr>
              <w:t>食品</w:t>
            </w:r>
            <w:r>
              <w:rPr>
                <w:rFonts w:hint="eastAsia" w:ascii="宋体" w:hAnsi="宋体" w:eastAsia="宋体" w:cs="宋体"/>
                <w:color w:val="auto"/>
                <w:kern w:val="2"/>
                <w:sz w:val="24"/>
                <w:szCs w:val="24"/>
                <w:highlight w:val="none"/>
                <w:lang w:val="en-US" w:eastAsia="zh-CN" w:bidi="ar-SA"/>
              </w:rPr>
              <w:t>材料存储专用库</w:t>
            </w:r>
            <w:r>
              <w:rPr>
                <w:rFonts w:hint="eastAsia"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提供库房自有证明或租赁合同和仓储设备及其他能反映出其适合产品储存、周转的证明材料，满足相关食材所要求的存储要求</w:t>
            </w:r>
            <w:r>
              <w:rPr>
                <w:rFonts w:hint="eastAsia" w:cs="宋体"/>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en-US" w:eastAsia="zh-CN" w:bidi="ar-SA"/>
              </w:rPr>
              <w:t>证明材料中所用的照片必须为清晰的全方位彩色照片</w:t>
            </w:r>
            <w:r>
              <w:rPr>
                <w:rFonts w:hint="eastAsia" w:cs="宋体"/>
                <w:b/>
                <w:bCs/>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 </w:t>
            </w:r>
          </w:p>
          <w:p w14:paraId="03BC8052">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1.库房面积（</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分）：根据投标人提供的有效证明材料，库房面积≥100㎡，得</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分，库房面积＜100㎡，得</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r>
              <w:rPr>
                <w:rFonts w:hint="eastAsia" w:ascii="宋体" w:hAnsi="宋体" w:eastAsia="宋体" w:cs="宋体"/>
                <w:color w:val="auto"/>
                <w:kern w:val="2"/>
                <w:sz w:val="24"/>
                <w:szCs w:val="24"/>
                <w:highlight w:val="none"/>
                <w:lang w:val="en-US" w:eastAsia="zh-CN" w:bidi="ar-SA"/>
              </w:rPr>
              <w:t>无独立专用库</w:t>
            </w:r>
            <w:r>
              <w:rPr>
                <w:rFonts w:hint="eastAsia" w:cs="宋体"/>
                <w:color w:val="auto"/>
                <w:kern w:val="2"/>
                <w:sz w:val="24"/>
                <w:szCs w:val="24"/>
                <w:highlight w:val="none"/>
                <w:lang w:val="en-US" w:eastAsia="zh-CN" w:bidi="ar-SA"/>
              </w:rPr>
              <w:t>房得0分</w:t>
            </w:r>
            <w:r>
              <w:rPr>
                <w:rFonts w:hint="eastAsia" w:ascii="宋体" w:hAnsi="宋体" w:eastAsia="宋体" w:cs="宋体"/>
                <w:color w:val="auto"/>
                <w:sz w:val="24"/>
                <w:szCs w:val="24"/>
                <w:highlight w:val="none"/>
                <w:lang w:val="en-US" w:eastAsia="zh-CN"/>
              </w:rPr>
              <w:t>。</w:t>
            </w:r>
          </w:p>
          <w:p w14:paraId="40D606D5">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2.仓储设备（</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shd w:val="clear" w:color="auto" w:fill="auto"/>
                <w:lang w:val="en-US" w:eastAsia="zh-CN"/>
              </w:rPr>
              <w:t>有冻货专用</w:t>
            </w:r>
            <w:r>
              <w:rPr>
                <w:rFonts w:hint="eastAsia" w:cs="宋体"/>
                <w:color w:val="auto"/>
                <w:sz w:val="24"/>
                <w:szCs w:val="24"/>
                <w:highlight w:val="none"/>
                <w:shd w:val="clear" w:color="auto" w:fill="auto"/>
                <w:lang w:val="en-US" w:eastAsia="zh-CN"/>
              </w:rPr>
              <w:t>设备，有</w:t>
            </w:r>
            <w:r>
              <w:rPr>
                <w:rFonts w:hint="eastAsia" w:ascii="宋体" w:hAnsi="宋体" w:eastAsia="宋体" w:cs="宋体"/>
                <w:color w:val="auto"/>
                <w:sz w:val="24"/>
                <w:szCs w:val="24"/>
                <w:highlight w:val="none"/>
                <w:shd w:val="clear" w:color="auto" w:fill="auto"/>
                <w:lang w:val="en-US" w:eastAsia="zh-CN"/>
              </w:rPr>
              <w:t>通风、</w:t>
            </w:r>
            <w:r>
              <w:rPr>
                <w:rFonts w:hint="eastAsia" w:cs="宋体"/>
                <w:color w:val="auto"/>
                <w:sz w:val="24"/>
                <w:szCs w:val="24"/>
                <w:highlight w:val="none"/>
                <w:shd w:val="clear" w:color="auto" w:fill="auto"/>
                <w:lang w:val="en-US" w:eastAsia="zh-CN"/>
              </w:rPr>
              <w:t>温度</w:t>
            </w:r>
            <w:r>
              <w:rPr>
                <w:rFonts w:hint="eastAsia" w:ascii="宋体" w:hAnsi="宋体" w:eastAsia="宋体" w:cs="宋体"/>
                <w:color w:val="auto"/>
                <w:sz w:val="24"/>
                <w:szCs w:val="24"/>
                <w:highlight w:val="none"/>
                <w:shd w:val="clear" w:color="auto" w:fill="auto"/>
                <w:lang w:val="en-US" w:eastAsia="zh-CN"/>
              </w:rPr>
              <w:t>、</w:t>
            </w:r>
            <w:r>
              <w:rPr>
                <w:rFonts w:hint="eastAsia" w:cs="宋体"/>
                <w:color w:val="auto"/>
                <w:sz w:val="24"/>
                <w:szCs w:val="24"/>
                <w:highlight w:val="none"/>
                <w:shd w:val="clear" w:color="auto" w:fill="auto"/>
                <w:lang w:val="en-US" w:eastAsia="zh-CN"/>
              </w:rPr>
              <w:t>湿度控制</w:t>
            </w:r>
            <w:r>
              <w:rPr>
                <w:rFonts w:hint="eastAsia" w:ascii="宋体" w:hAnsi="宋体" w:eastAsia="宋体" w:cs="宋体"/>
                <w:color w:val="auto"/>
                <w:sz w:val="24"/>
                <w:szCs w:val="24"/>
                <w:highlight w:val="none"/>
                <w:shd w:val="clear" w:color="auto" w:fill="auto"/>
                <w:lang w:val="en-US" w:eastAsia="zh-CN"/>
              </w:rPr>
              <w:t>设备，能满足相关食材存储所要求的温</w:t>
            </w:r>
            <w:r>
              <w:rPr>
                <w:rFonts w:hint="eastAsia" w:cs="宋体"/>
                <w:color w:val="auto"/>
                <w:sz w:val="24"/>
                <w:szCs w:val="24"/>
                <w:highlight w:val="none"/>
                <w:shd w:val="clear" w:color="auto" w:fill="auto"/>
                <w:lang w:val="en-US" w:eastAsia="zh-CN"/>
              </w:rPr>
              <w:t>度</w:t>
            </w:r>
            <w:r>
              <w:rPr>
                <w:rFonts w:hint="eastAsia" w:ascii="宋体" w:hAnsi="宋体" w:eastAsia="宋体" w:cs="宋体"/>
                <w:color w:val="auto"/>
                <w:sz w:val="24"/>
                <w:szCs w:val="24"/>
                <w:highlight w:val="none"/>
                <w:shd w:val="clear" w:color="auto" w:fill="auto"/>
                <w:lang w:val="en-US" w:eastAsia="zh-CN"/>
              </w:rPr>
              <w:t>、湿度、安全条件，设备齐全共得3分，缺少一项设备扣1分</w:t>
            </w:r>
            <w:r>
              <w:rPr>
                <w:rFonts w:hint="eastAsia" w:cs="宋体"/>
                <w:color w:val="auto"/>
                <w:sz w:val="24"/>
                <w:szCs w:val="24"/>
                <w:highlight w:val="none"/>
                <w:shd w:val="clear" w:color="auto" w:fill="auto"/>
                <w:lang w:val="en-US" w:eastAsia="zh-CN"/>
              </w:rPr>
              <w:t>。</w:t>
            </w:r>
          </w:p>
          <w:p w14:paraId="58CF2359">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 库房“七防”设施（防火、防盗、防潮、防投毒、防鼠、防蝇、防尘）设施图片及制度齐全，得3分；不全得0分。</w:t>
            </w:r>
          </w:p>
          <w:p w14:paraId="47075DDA">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rPr>
            </w:pP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 xml:space="preserve"> 库房</w:t>
            </w:r>
            <w:r>
              <w:rPr>
                <w:rFonts w:hint="eastAsia" w:cs="宋体"/>
                <w:color w:val="auto"/>
                <w:kern w:val="2"/>
                <w:sz w:val="24"/>
                <w:szCs w:val="24"/>
                <w:highlight w:val="none"/>
                <w:lang w:val="en-US" w:eastAsia="zh-CN" w:bidi="ar-SA"/>
              </w:rPr>
              <w:t>内</w:t>
            </w:r>
            <w:r>
              <w:rPr>
                <w:rFonts w:hint="eastAsia" w:ascii="宋体" w:hAnsi="宋体" w:eastAsia="宋体" w:cs="宋体"/>
                <w:color w:val="auto"/>
                <w:kern w:val="2"/>
                <w:sz w:val="24"/>
                <w:szCs w:val="24"/>
                <w:highlight w:val="none"/>
                <w:lang w:val="en-US" w:eastAsia="zh-CN" w:bidi="ar-SA"/>
              </w:rPr>
              <w:t>外安装有监控设备且全方位覆盖，得2分；未达到上述要求，得0分</w:t>
            </w:r>
            <w:r>
              <w:rPr>
                <w:rFonts w:hint="eastAsia" w:ascii="宋体" w:hAnsi="宋体" w:eastAsia="宋体" w:cs="宋体"/>
                <w:color w:val="auto"/>
                <w:kern w:val="0"/>
                <w:sz w:val="24"/>
                <w:szCs w:val="24"/>
                <w:lang w:val="en-US" w:eastAsia="zh-CN" w:bidi="ar"/>
              </w:rPr>
              <w:t>。</w:t>
            </w:r>
          </w:p>
        </w:tc>
      </w:tr>
      <w:tr w14:paraId="3EFB7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continue"/>
            <w:noWrap w:val="0"/>
            <w:vAlign w:val="center"/>
          </w:tcPr>
          <w:p w14:paraId="576D21F4">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715A6F7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409FB81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25206F37">
            <w:pPr>
              <w:pStyle w:val="52"/>
              <w:jc w:val="left"/>
              <w:rPr>
                <w:rFonts w:hint="eastAsia" w:ascii="宋体" w:hAnsi="宋体" w:eastAsia="宋体" w:cs="宋体"/>
                <w:b/>
                <w:bCs/>
                <w:sz w:val="24"/>
                <w:szCs w:val="24"/>
                <w:lang w:eastAsia="zh-CN"/>
              </w:rPr>
            </w:pPr>
            <w:r>
              <w:rPr>
                <w:rFonts w:hint="eastAsia" w:ascii="宋体" w:hAnsi="宋体" w:eastAsia="宋体" w:cs="宋体"/>
                <w:b/>
                <w:bCs/>
                <w:sz w:val="24"/>
                <w:szCs w:val="24"/>
              </w:rPr>
              <w:t>人员配备</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5分</w:t>
            </w:r>
            <w:r>
              <w:rPr>
                <w:rFonts w:hint="eastAsia" w:ascii="宋体" w:hAnsi="宋体" w:eastAsia="宋体" w:cs="宋体"/>
                <w:b/>
                <w:bCs/>
                <w:sz w:val="24"/>
                <w:szCs w:val="24"/>
                <w:lang w:eastAsia="zh-CN"/>
              </w:rPr>
              <w:t>）</w:t>
            </w:r>
          </w:p>
          <w:p w14:paraId="2CD0321E">
            <w:pPr>
              <w:pStyle w:val="52"/>
              <w:jc w:val="left"/>
              <w:rPr>
                <w:rFonts w:hint="eastAsia" w:ascii="宋体" w:hAnsi="宋体" w:cs="宋体"/>
                <w:color w:val="auto"/>
                <w:sz w:val="24"/>
                <w:szCs w:val="24"/>
                <w:lang w:eastAsia="zh-CN"/>
              </w:rPr>
            </w:pPr>
            <w:r>
              <w:rPr>
                <w:rFonts w:hint="eastAsia" w:ascii="宋体" w:hAnsi="宋体" w:eastAsia="宋体" w:cs="宋体"/>
                <w:sz w:val="24"/>
                <w:szCs w:val="24"/>
              </w:rPr>
              <w:t>岗</w:t>
            </w:r>
            <w:r>
              <w:rPr>
                <w:rFonts w:hint="eastAsia" w:ascii="宋体" w:hAnsi="宋体" w:eastAsia="宋体" w:cs="宋体"/>
                <w:color w:val="auto"/>
                <w:sz w:val="24"/>
                <w:szCs w:val="24"/>
              </w:rPr>
              <w:t>位设置齐全、职责明确、人员配置合理充足，</w:t>
            </w:r>
            <w:r>
              <w:rPr>
                <w:rFonts w:hint="eastAsia" w:ascii="宋体" w:hAnsi="宋体" w:eastAsia="宋体" w:cs="宋体"/>
                <w:color w:val="auto"/>
                <w:sz w:val="24"/>
                <w:szCs w:val="24"/>
                <w:lang w:val="en-US" w:eastAsia="zh-CN"/>
              </w:rPr>
              <w:t>相关</w:t>
            </w:r>
            <w:r>
              <w:rPr>
                <w:rFonts w:hint="eastAsia" w:ascii="宋体" w:hAnsi="宋体" w:eastAsia="宋体" w:cs="宋体"/>
                <w:color w:val="auto"/>
                <w:sz w:val="24"/>
                <w:szCs w:val="24"/>
              </w:rPr>
              <w:t>人员提供人员身份证、健康证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劳务合同</w:t>
            </w:r>
            <w:r>
              <w:rPr>
                <w:rFonts w:hint="eastAsia" w:ascii="宋体" w:hAnsi="宋体" w:eastAsia="宋体" w:cs="宋体"/>
                <w:color w:val="auto"/>
                <w:sz w:val="24"/>
                <w:szCs w:val="24"/>
                <w:lang w:val="en-US" w:eastAsia="zh-CN"/>
              </w:rPr>
              <w:t>及无犯罪证明</w:t>
            </w:r>
            <w:r>
              <w:rPr>
                <w:rFonts w:hint="eastAsia" w:ascii="宋体" w:hAnsi="宋体" w:eastAsia="宋体" w:cs="宋体"/>
                <w:color w:val="auto"/>
                <w:sz w:val="24"/>
                <w:szCs w:val="24"/>
              </w:rPr>
              <w:t>等</w:t>
            </w:r>
            <w:r>
              <w:rPr>
                <w:rFonts w:hint="eastAsia" w:ascii="宋体" w:hAnsi="宋体" w:cs="宋体"/>
                <w:color w:val="auto"/>
                <w:sz w:val="24"/>
                <w:szCs w:val="24"/>
                <w:lang w:eastAsia="zh-CN"/>
              </w:rPr>
              <w:t>；</w:t>
            </w:r>
            <w:r>
              <w:rPr>
                <w:rFonts w:hint="eastAsia" w:ascii="宋体" w:hAnsi="宋体" w:eastAsia="宋体" w:cs="宋体"/>
                <w:color w:val="auto"/>
                <w:sz w:val="24"/>
                <w:szCs w:val="24"/>
              </w:rPr>
              <w:t>司机</w:t>
            </w:r>
            <w:r>
              <w:rPr>
                <w:rFonts w:hint="eastAsia" w:ascii="宋体" w:hAnsi="宋体" w:eastAsia="宋体" w:cs="宋体"/>
                <w:color w:val="auto"/>
                <w:sz w:val="24"/>
                <w:szCs w:val="24"/>
                <w:lang w:val="en-US" w:eastAsia="zh-CN"/>
              </w:rPr>
              <w:t>还须提供</w:t>
            </w:r>
            <w:r>
              <w:rPr>
                <w:rFonts w:hint="eastAsia" w:ascii="宋体" w:hAnsi="宋体" w:eastAsia="宋体" w:cs="宋体"/>
                <w:color w:val="auto"/>
                <w:sz w:val="24"/>
                <w:szCs w:val="24"/>
              </w:rPr>
              <w:t>驾驶证</w:t>
            </w:r>
            <w:r>
              <w:rPr>
                <w:rFonts w:hint="eastAsia" w:ascii="宋体" w:hAnsi="宋体" w:cs="宋体"/>
                <w:color w:val="auto"/>
                <w:sz w:val="24"/>
                <w:szCs w:val="24"/>
                <w:lang w:eastAsia="zh-CN"/>
              </w:rPr>
              <w:t>。</w:t>
            </w:r>
          </w:p>
          <w:p w14:paraId="74DED476">
            <w:pPr>
              <w:pStyle w:val="52"/>
              <w:jc w:val="left"/>
              <w:rPr>
                <w:rFonts w:hint="eastAsia" w:ascii="宋体" w:hAnsi="宋体" w:eastAsia="宋体" w:cs="宋体"/>
                <w:color w:val="auto"/>
                <w:sz w:val="24"/>
                <w:szCs w:val="24"/>
              </w:rPr>
            </w:pPr>
            <w:r>
              <w:rPr>
                <w:rFonts w:hint="eastAsia" w:ascii="宋体" w:hAnsi="宋体" w:eastAsia="宋体" w:cs="宋体"/>
                <w:color w:val="auto"/>
                <w:sz w:val="24"/>
                <w:szCs w:val="24"/>
              </w:rPr>
              <w:t>①为本项目配备的服务团队人员上述条件齐全有效且达到</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人以上得5分；</w:t>
            </w:r>
          </w:p>
          <w:p w14:paraId="5BEAE235">
            <w:pPr>
              <w:pStyle w:val="52"/>
              <w:jc w:val="left"/>
              <w:rPr>
                <w:rFonts w:hint="eastAsia" w:ascii="宋体" w:hAnsi="宋体" w:eastAsia="宋体" w:cs="宋体"/>
                <w:color w:val="auto"/>
                <w:sz w:val="24"/>
                <w:szCs w:val="24"/>
              </w:rPr>
            </w:pPr>
            <w:r>
              <w:rPr>
                <w:rFonts w:hint="eastAsia" w:ascii="宋体" w:hAnsi="宋体" w:eastAsia="宋体" w:cs="宋体"/>
                <w:color w:val="auto"/>
                <w:sz w:val="24"/>
                <w:szCs w:val="24"/>
              </w:rPr>
              <w:t>②为本项目配备的服务团队人员上述条件齐全有效且达到</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人分得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14:paraId="5FA59313">
            <w:pPr>
              <w:keepNext w:val="0"/>
              <w:keepLines w:val="0"/>
              <w:pageBreakBefore w:val="0"/>
              <w:kinsoku/>
              <w:wordWrap/>
              <w:overflowPunct/>
              <w:topLinePunct w:val="0"/>
              <w:bidi w:val="0"/>
              <w:adjustRightInd/>
              <w:snapToGrid/>
              <w:spacing w:line="400" w:lineRule="exact"/>
              <w:ind w:left="0" w:right="0"/>
              <w:jc w:val="left"/>
              <w:textAlignment w:val="auto"/>
              <w:rPr>
                <w:rFonts w:hint="eastAsia" w:cs="宋体"/>
                <w:color w:val="auto"/>
                <w:kern w:val="2"/>
                <w:sz w:val="24"/>
                <w:szCs w:val="24"/>
                <w:highlight w:val="none"/>
                <w:lang w:val="en-US" w:eastAsia="zh-CN" w:bidi="ar-SA"/>
              </w:rPr>
            </w:pPr>
            <w:r>
              <w:rPr>
                <w:rFonts w:hint="eastAsia" w:ascii="宋体" w:hAnsi="宋体" w:eastAsia="宋体" w:cs="宋体"/>
                <w:sz w:val="24"/>
                <w:szCs w:val="24"/>
              </w:rPr>
              <w:t>③人员配置</w:t>
            </w:r>
            <w:r>
              <w:rPr>
                <w:rFonts w:hint="eastAsia" w:ascii="宋体" w:hAnsi="宋体" w:cs="宋体"/>
                <w:sz w:val="24"/>
                <w:szCs w:val="24"/>
                <w:lang w:val="en-US" w:eastAsia="zh-CN"/>
              </w:rPr>
              <w:t>不足3人得1分，少于2人得0分</w:t>
            </w:r>
            <w:r>
              <w:rPr>
                <w:rFonts w:hint="eastAsia" w:ascii="宋体" w:hAnsi="宋体" w:eastAsia="宋体" w:cs="宋体"/>
                <w:sz w:val="24"/>
                <w:szCs w:val="24"/>
              </w:rPr>
              <w:t>。</w:t>
            </w:r>
          </w:p>
        </w:tc>
      </w:tr>
      <w:tr w14:paraId="0FBD8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4" w:hRule="atLeast"/>
        </w:trPr>
        <w:tc>
          <w:tcPr>
            <w:tcW w:w="789" w:type="dxa"/>
            <w:vMerge w:val="continue"/>
            <w:noWrap w:val="0"/>
            <w:vAlign w:val="center"/>
          </w:tcPr>
          <w:p w14:paraId="7ADCD223">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25D9FF2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4AEA550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37988FA6">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2"/>
                <w:sz w:val="24"/>
                <w:szCs w:val="24"/>
                <w:highlight w:val="none"/>
                <w:lang w:val="en-US" w:eastAsia="zh-CN" w:bidi="ar-SA"/>
              </w:rPr>
              <w:t>配送车辆（6分）</w:t>
            </w:r>
            <w:r>
              <w:rPr>
                <w:rFonts w:hint="eastAsia" w:ascii="宋体" w:hAnsi="宋体" w:eastAsia="宋体" w:cs="宋体"/>
                <w:color w:val="auto"/>
                <w:kern w:val="2"/>
                <w:sz w:val="24"/>
                <w:szCs w:val="24"/>
                <w:highlight w:val="none"/>
                <w:lang w:val="en-US" w:eastAsia="zh-CN" w:bidi="ar-SA"/>
              </w:rPr>
              <w:t>：投标人须具有</w:t>
            </w: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辆以上自有或租赁（租赁车辆须提供租赁合同等证明材料）符合安全运输标准的厢式运输专用车辆等相关配送设备，须提供车辆</w:t>
            </w:r>
            <w:r>
              <w:rPr>
                <w:rFonts w:hint="eastAsia" w:cs="宋体"/>
                <w:color w:val="auto"/>
                <w:kern w:val="2"/>
                <w:sz w:val="24"/>
                <w:szCs w:val="24"/>
                <w:highlight w:val="none"/>
                <w:lang w:val="en-US" w:eastAsia="zh-CN" w:bidi="ar-SA"/>
              </w:rPr>
              <w:t>（车辆照片彩页）、</w:t>
            </w:r>
            <w:r>
              <w:rPr>
                <w:rFonts w:hint="eastAsia" w:ascii="宋体" w:hAnsi="宋体" w:eastAsia="宋体" w:cs="宋体"/>
                <w:color w:val="auto"/>
                <w:kern w:val="2"/>
                <w:sz w:val="24"/>
                <w:szCs w:val="24"/>
                <w:highlight w:val="none"/>
                <w:lang w:val="en-US" w:eastAsia="zh-CN" w:bidi="ar-SA"/>
              </w:rPr>
              <w:t>行驶证满足项目基本配送车辆要求得3分（少于</w:t>
            </w: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辆不得分），车辆数量每增加1辆加1分，最多加3分，满分6分。</w:t>
            </w:r>
          </w:p>
        </w:tc>
      </w:tr>
      <w:tr w14:paraId="14667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78" w:hRule="atLeast"/>
        </w:trPr>
        <w:tc>
          <w:tcPr>
            <w:tcW w:w="789" w:type="dxa"/>
            <w:vMerge w:val="continue"/>
            <w:noWrap w:val="0"/>
            <w:vAlign w:val="center"/>
          </w:tcPr>
          <w:p w14:paraId="6462157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noWrap w:val="0"/>
            <w:vAlign w:val="center"/>
          </w:tcPr>
          <w:p w14:paraId="32F93C7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467" w:type="dxa"/>
            <w:noWrap w:val="0"/>
            <w:vAlign w:val="center"/>
          </w:tcPr>
          <w:p w14:paraId="64C5C77F">
            <w:pPr>
              <w:pStyle w:val="50"/>
              <w:keepNext w:val="0"/>
              <w:keepLines w:val="0"/>
              <w:pageBreakBefore w:val="0"/>
              <w:tabs>
                <w:tab w:val="clear" w:pos="4153"/>
                <w:tab w:val="clear" w:pos="8306"/>
              </w:tabs>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质量及安全控制措施</w:t>
            </w:r>
            <w:r>
              <w:rPr>
                <w:rFonts w:hint="eastAsia" w:ascii="宋体" w:hAnsi="宋体" w:eastAsia="宋体" w:cs="宋体"/>
                <w:bCs/>
                <w:color w:val="auto"/>
                <w:sz w:val="24"/>
                <w:szCs w:val="24"/>
                <w:highlight w:val="none"/>
              </w:rPr>
              <w:t>（</w:t>
            </w:r>
            <w:r>
              <w:rPr>
                <w:rFonts w:hint="eastAsia" w:cs="宋体"/>
                <w:bCs/>
                <w:color w:val="auto"/>
                <w:sz w:val="24"/>
                <w:szCs w:val="24"/>
                <w:highlight w:val="none"/>
                <w:lang w:val="en-US" w:eastAsia="zh-CN"/>
              </w:rPr>
              <w:t>10</w:t>
            </w:r>
            <w:r>
              <w:rPr>
                <w:rFonts w:hint="eastAsia" w:ascii="宋体" w:hAnsi="宋体" w:eastAsia="宋体" w:cs="宋体"/>
                <w:bCs/>
                <w:color w:val="auto"/>
                <w:sz w:val="24"/>
                <w:szCs w:val="24"/>
                <w:highlight w:val="none"/>
              </w:rPr>
              <w:t>分）</w:t>
            </w:r>
          </w:p>
        </w:tc>
        <w:tc>
          <w:tcPr>
            <w:tcW w:w="6529" w:type="dxa"/>
            <w:noWrap w:val="0"/>
            <w:vAlign w:val="center"/>
          </w:tcPr>
          <w:p w14:paraId="3FA18943">
            <w:pPr>
              <w:keepNext w:val="0"/>
              <w:keepLines w:val="0"/>
              <w:pageBreakBefore w:val="0"/>
              <w:numPr>
                <w:ilvl w:val="0"/>
                <w:numId w:val="10"/>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根据项目需求内容制定整体质量保证措施：方案至少包括①质量安全保证具体措施；②卫生安全；③货物的来源；④采购环节控制；⑤加工包装保存运输等环节。提供必要的证明材料复印件或扫描件（包括但不限于销售协议、代理商授权、检测报告等）。以上5项内容齐全，针对性强、条理清晰、表述准确得分10分。每缺少一项内容扣2分（缺陷是指在完整性、可实施性和针对性等方面存在瑕疵或实用性不强）。</w:t>
            </w:r>
          </w:p>
          <w:p w14:paraId="5AD9D3D5">
            <w:pPr>
              <w:keepNext w:val="0"/>
              <w:keepLines w:val="0"/>
              <w:pageBreakBefore w:val="0"/>
              <w:numPr>
                <w:ilvl w:val="0"/>
                <w:numId w:val="10"/>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根据评审标准对供应商技术方案进行评审，每一条不符合本项目特点和实际需求，存在缺陷或实用性不强的扣1分，扣完为止。</w:t>
            </w:r>
          </w:p>
          <w:p w14:paraId="21A6702E">
            <w:pPr>
              <w:keepNext w:val="0"/>
              <w:keepLines w:val="0"/>
              <w:pageBreakBefore w:val="0"/>
              <w:numPr>
                <w:ilvl w:val="0"/>
                <w:numId w:val="10"/>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评审标准： </w:t>
            </w:r>
          </w:p>
          <w:p w14:paraId="77840F67">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完整性：方案须全面，对评审内容中的各项要求有详细描述； </w:t>
            </w:r>
          </w:p>
          <w:p w14:paraId="31782215">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可实施性：切合本项目实际情况，实施步骤清晰、合理； </w:t>
            </w:r>
          </w:p>
          <w:p w14:paraId="562CF7B2">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针对性：方案能够紧扣项目实际情况，内容科学合理。 </w:t>
            </w:r>
          </w:p>
        </w:tc>
      </w:tr>
      <w:tr w14:paraId="1C128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0" w:hRule="atLeast"/>
        </w:trPr>
        <w:tc>
          <w:tcPr>
            <w:tcW w:w="789" w:type="dxa"/>
            <w:vMerge w:val="continue"/>
            <w:noWrap w:val="0"/>
            <w:vAlign w:val="center"/>
          </w:tcPr>
          <w:p w14:paraId="29713FCC">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noWrap w:val="0"/>
            <w:vAlign w:val="center"/>
          </w:tcPr>
          <w:p w14:paraId="4113663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467" w:type="dxa"/>
            <w:noWrap w:val="0"/>
            <w:vAlign w:val="center"/>
          </w:tcPr>
          <w:p w14:paraId="71125F03">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w:t>
            </w:r>
          </w:p>
          <w:p w14:paraId="1C852B6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p>
        </w:tc>
        <w:tc>
          <w:tcPr>
            <w:tcW w:w="6529" w:type="dxa"/>
            <w:noWrap w:val="0"/>
            <w:vAlign w:val="center"/>
          </w:tcPr>
          <w:p w14:paraId="2A71A802">
            <w:pPr>
              <w:keepNext w:val="0"/>
              <w:keepLines w:val="0"/>
              <w:pageBreakBefore w:val="0"/>
              <w:numPr>
                <w:ilvl w:val="0"/>
                <w:numId w:val="11"/>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制定在验货时出现问题的方案：包括但不限于①</w:t>
            </w:r>
            <w:r>
              <w:rPr>
                <w:rFonts w:hint="eastAsia" w:cs="宋体"/>
                <w:color w:val="auto"/>
                <w:sz w:val="24"/>
                <w:szCs w:val="24"/>
                <w:highlight w:val="none"/>
                <w:lang w:val="en-US" w:eastAsia="zh-CN"/>
              </w:rPr>
              <w:t>应急方案措施；</w:t>
            </w:r>
            <w:r>
              <w:rPr>
                <w:rFonts w:hint="eastAsia" w:ascii="宋体" w:hAnsi="宋体" w:eastAsia="宋体" w:cs="宋体"/>
                <w:color w:val="auto"/>
                <w:sz w:val="24"/>
                <w:szCs w:val="24"/>
                <w:highlight w:val="none"/>
                <w:lang w:val="en-US" w:eastAsia="zh-CN"/>
              </w:rPr>
              <w:t>②响应速度快；③退换货服务方案描述无缺漏；</w:t>
            </w:r>
            <w:r>
              <w:rPr>
                <w:rFonts w:hint="eastAsia" w:cs="宋体"/>
                <w:color w:val="auto"/>
                <w:sz w:val="24"/>
                <w:szCs w:val="24"/>
                <w:highlight w:val="none"/>
                <w:lang w:val="en-US" w:eastAsia="zh-CN"/>
              </w:rPr>
              <w:t>④</w:t>
            </w:r>
            <w:r>
              <w:rPr>
                <w:rFonts w:hint="eastAsia" w:ascii="宋体" w:hAnsi="宋体" w:eastAsia="宋体" w:cs="宋体"/>
                <w:color w:val="auto"/>
                <w:sz w:val="24"/>
                <w:szCs w:val="24"/>
                <w:highlight w:val="none"/>
                <w:lang w:val="en-US" w:eastAsia="zh-CN"/>
              </w:rPr>
              <w:t>联系人员及电话。</w:t>
            </w:r>
          </w:p>
          <w:p w14:paraId="3AD9F7AA">
            <w:pPr>
              <w:keepNext w:val="0"/>
              <w:keepLines w:val="0"/>
              <w:pageBreakBefore w:val="0"/>
              <w:numPr>
                <w:ilvl w:val="0"/>
                <w:numId w:val="11"/>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项内容齐全，针对性强、条理清晰、表述准确得分</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分。每缺少一项内容扣</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分，每一项存在缺陷扣0.</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分（缺陷是指在完整性、可实施性和针对性等方面存在瑕疵或实用性不强）。</w:t>
            </w:r>
          </w:p>
          <w:p w14:paraId="669B7CB1">
            <w:pPr>
              <w:keepNext w:val="0"/>
              <w:keepLines w:val="0"/>
              <w:pageBreakBefore w:val="0"/>
              <w:numPr>
                <w:ilvl w:val="0"/>
                <w:numId w:val="11"/>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评审标准： </w:t>
            </w:r>
          </w:p>
          <w:p w14:paraId="6E76CFC6">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完整性：方案须全面，对评审内容中的各项要求有详细描述； </w:t>
            </w:r>
          </w:p>
          <w:p w14:paraId="0653170A">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可实施性：切合本项目实际情况，实施步骤清晰、合理； </w:t>
            </w:r>
          </w:p>
          <w:p w14:paraId="7BC00334">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针对性：方案能够紧扣项目实际情况，内容科学合理。</w:t>
            </w:r>
          </w:p>
        </w:tc>
      </w:tr>
      <w:tr w14:paraId="68B58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0" w:hRule="atLeast"/>
        </w:trPr>
        <w:tc>
          <w:tcPr>
            <w:tcW w:w="789" w:type="dxa"/>
            <w:noWrap w:val="0"/>
            <w:vAlign w:val="center"/>
          </w:tcPr>
          <w:p w14:paraId="53E3F81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w:t>
            </w:r>
          </w:p>
          <w:p w14:paraId="4FD0FE5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743" w:type="dxa"/>
            <w:noWrap w:val="0"/>
            <w:vAlign w:val="center"/>
          </w:tcPr>
          <w:p w14:paraId="4AD001BE">
            <w:pPr>
              <w:keepNext w:val="0"/>
              <w:keepLines w:val="0"/>
              <w:pageBreakBefore w:val="0"/>
              <w:kinsoku/>
              <w:wordWrap/>
              <w:overflowPunct/>
              <w:topLinePunct w:val="0"/>
              <w:bidi w:val="0"/>
              <w:adjustRightInd/>
              <w:snapToGrid/>
              <w:spacing w:line="40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p>
        </w:tc>
        <w:tc>
          <w:tcPr>
            <w:tcW w:w="1467" w:type="dxa"/>
            <w:noWrap w:val="0"/>
            <w:vAlign w:val="center"/>
          </w:tcPr>
          <w:p w14:paraId="0137C9DD">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业绩</w:t>
            </w:r>
          </w:p>
          <w:p w14:paraId="3D681B2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p>
        </w:tc>
        <w:tc>
          <w:tcPr>
            <w:tcW w:w="6529" w:type="dxa"/>
            <w:noWrap w:val="0"/>
            <w:vAlign w:val="center"/>
          </w:tcPr>
          <w:p w14:paraId="3C3DFE66">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供应商提供自2023年7月至今，具有同类项目业绩（</w:t>
            </w:r>
            <w:r>
              <w:rPr>
                <w:rFonts w:hint="eastAsia" w:cs="宋体"/>
                <w:color w:val="auto"/>
                <w:sz w:val="24"/>
                <w:szCs w:val="24"/>
                <w:highlight w:val="none"/>
                <w:lang w:val="en-US" w:eastAsia="zh-CN"/>
              </w:rPr>
              <w:t>包括但不限于各级各类学校、党政机关、企事业单位、医疗机构等食材配送服务项目</w:t>
            </w:r>
            <w:r>
              <w:rPr>
                <w:rFonts w:hint="eastAsia" w:ascii="宋体" w:hAnsi="宋体" w:eastAsia="宋体" w:cs="宋体"/>
                <w:color w:val="auto"/>
                <w:sz w:val="24"/>
                <w:szCs w:val="24"/>
                <w:highlight w:val="none"/>
                <w:lang w:val="en-US" w:eastAsia="zh-CN"/>
              </w:rPr>
              <w:t>），以合同复印件和中标通知书为准，每提供一个得</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分，满分</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tc>
      </w:tr>
      <w:tr w14:paraId="00FA1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19" w:hRule="atLeast"/>
        </w:trPr>
        <w:tc>
          <w:tcPr>
            <w:tcW w:w="2999" w:type="dxa"/>
            <w:gridSpan w:val="3"/>
            <w:noWrap w:val="0"/>
            <w:vAlign w:val="center"/>
          </w:tcPr>
          <w:p w14:paraId="051312A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评标程序</w:t>
            </w:r>
          </w:p>
          <w:p w14:paraId="30CA22F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p>
        </w:tc>
        <w:tc>
          <w:tcPr>
            <w:tcW w:w="6529" w:type="dxa"/>
            <w:noWrap w:val="0"/>
            <w:vAlign w:val="top"/>
          </w:tcPr>
          <w:p w14:paraId="3C98827A">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1.开标后，由</w:t>
            </w:r>
            <w:r>
              <w:rPr>
                <w:rFonts w:hint="eastAsia" w:cs="宋体"/>
                <w:color w:val="auto"/>
                <w:sz w:val="24"/>
                <w:szCs w:val="24"/>
                <w:highlight w:val="none"/>
                <w:lang w:val="en-US" w:eastAsia="zh-CN"/>
              </w:rPr>
              <w:t>采购人或代理机构</w:t>
            </w:r>
            <w:r>
              <w:rPr>
                <w:rFonts w:hint="eastAsia" w:ascii="宋体" w:hAnsi="宋体" w:eastAsia="宋体" w:cs="宋体"/>
                <w:color w:val="auto"/>
                <w:sz w:val="24"/>
                <w:szCs w:val="24"/>
                <w:highlight w:val="none"/>
                <w:lang w:val="en-US" w:eastAsia="zh-CN"/>
              </w:rPr>
              <w:t xml:space="preserve">对投标单位进行资格性评审，资格性评审合格的响应文件进行符合性评审。不合格的单位，不再对其进行后续评审与分值评定。 </w:t>
            </w:r>
          </w:p>
          <w:p w14:paraId="0257FEC5">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2.如经过对所有供应商的响应文件进行评审，有效投标不足三个使得投标明显缺乏竞</w:t>
            </w:r>
            <w:r>
              <w:rPr>
                <w:rFonts w:hint="eastAsia" w:cs="宋体"/>
                <w:color w:val="auto"/>
                <w:sz w:val="24"/>
                <w:szCs w:val="24"/>
                <w:highlight w:val="none"/>
                <w:lang w:val="en-US" w:eastAsia="zh-CN"/>
              </w:rPr>
              <w:t>争性</w:t>
            </w:r>
            <w:r>
              <w:rPr>
                <w:rFonts w:hint="eastAsia" w:ascii="宋体" w:hAnsi="宋体" w:eastAsia="宋体" w:cs="宋体"/>
                <w:color w:val="auto"/>
                <w:sz w:val="24"/>
                <w:szCs w:val="24"/>
                <w:highlight w:val="none"/>
                <w:lang w:val="en-US" w:eastAsia="zh-CN"/>
              </w:rPr>
              <w:t>的，</w:t>
            </w:r>
            <w:r>
              <w:rPr>
                <w:rFonts w:hint="eastAsia" w:cs="宋体"/>
                <w:color w:val="auto"/>
                <w:sz w:val="24"/>
                <w:szCs w:val="24"/>
                <w:highlight w:val="none"/>
                <w:lang w:val="en-US" w:eastAsia="zh-CN"/>
              </w:rPr>
              <w:t>评标委员会</w:t>
            </w:r>
            <w:r>
              <w:rPr>
                <w:rFonts w:hint="eastAsia" w:ascii="宋体" w:hAnsi="宋体" w:eastAsia="宋体" w:cs="宋体"/>
                <w:color w:val="auto"/>
                <w:sz w:val="24"/>
                <w:szCs w:val="24"/>
                <w:highlight w:val="none"/>
                <w:lang w:val="en-US" w:eastAsia="zh-CN"/>
              </w:rPr>
              <w:t xml:space="preserve">可以否决全部投标。 </w:t>
            </w:r>
          </w:p>
          <w:p w14:paraId="43237443">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评标委员会</w:t>
            </w:r>
            <w:r>
              <w:rPr>
                <w:rFonts w:hint="eastAsia" w:ascii="宋体" w:hAnsi="宋体" w:eastAsia="宋体" w:cs="宋体"/>
                <w:color w:val="auto"/>
                <w:sz w:val="24"/>
                <w:szCs w:val="24"/>
                <w:highlight w:val="none"/>
                <w:lang w:val="en-US" w:eastAsia="zh-CN"/>
              </w:rPr>
              <w:t>应当根据综合评分情况，按照评审得分由高到低顺序推荐 3 名以上成交候选供应商，并编写评审报告报采购人。评审得分相同的，按照最后报价由低到高的顺序推荐。评审得分且最后报价相同的，按照</w:t>
            </w:r>
            <w:r>
              <w:rPr>
                <w:rFonts w:hint="eastAsia"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方案优劣顺序推荐。</w:t>
            </w:r>
          </w:p>
        </w:tc>
      </w:tr>
    </w:tbl>
    <w:p w14:paraId="61D41017">
      <w:pPr>
        <w:rPr>
          <w:rFonts w:hint="eastAsia"/>
          <w:lang w:val="en-US" w:eastAsia="zh-CN"/>
        </w:rPr>
      </w:pPr>
    </w:p>
    <w:p w14:paraId="11AEDCE3">
      <w:pPr>
        <w:pStyle w:val="11"/>
        <w:rPr>
          <w:rFonts w:hint="eastAsia"/>
          <w:lang w:val="en-US" w:eastAsia="zh-CN"/>
        </w:rPr>
      </w:pPr>
    </w:p>
    <w:p w14:paraId="30AA654A">
      <w:pPr>
        <w:pStyle w:val="11"/>
        <w:rPr>
          <w:rFonts w:hint="eastAsia"/>
          <w:lang w:val="en-US" w:eastAsia="zh-CN"/>
        </w:rPr>
      </w:pPr>
    </w:p>
    <w:p w14:paraId="4B198BBD">
      <w:pPr>
        <w:pStyle w:val="11"/>
        <w:rPr>
          <w:rFonts w:hint="eastAsia"/>
          <w:lang w:val="en-US" w:eastAsia="zh-CN"/>
        </w:rPr>
      </w:pPr>
    </w:p>
    <w:p w14:paraId="6E69DE0E">
      <w:pPr>
        <w:pStyle w:val="11"/>
        <w:rPr>
          <w:rFonts w:hint="eastAsia"/>
          <w:lang w:val="en-US" w:eastAsia="zh-CN"/>
        </w:rPr>
      </w:pPr>
    </w:p>
    <w:p w14:paraId="6479707A">
      <w:pPr>
        <w:pStyle w:val="7"/>
        <w:keepNext w:val="0"/>
        <w:keepLines w:val="0"/>
        <w:pageBreakBefore w:val="0"/>
        <w:kinsoku/>
        <w:wordWrap/>
        <w:overflowPunct/>
        <w:topLinePunct w:val="0"/>
        <w:bidi w:val="0"/>
        <w:adjustRightInd/>
        <w:snapToGrid/>
        <w:spacing w:line="400" w:lineRule="exact"/>
        <w:ind w:left="0" w:leftChars="0" w:right="0" w:rightChars="0" w:firstLine="0" w:firstLineChars="0"/>
        <w:textAlignment w:val="auto"/>
        <w:rPr>
          <w:rFonts w:hint="eastAsia"/>
          <w:color w:val="auto"/>
          <w:lang w:val="en-US" w:eastAsia="zh-CN"/>
        </w:rPr>
      </w:pPr>
    </w:p>
    <w:p w14:paraId="23A913E2">
      <w:pPr>
        <w:rPr>
          <w:rFonts w:hint="eastAsia"/>
          <w:color w:val="auto"/>
          <w:lang w:val="en-US" w:eastAsia="zh-CN"/>
        </w:rPr>
      </w:pPr>
    </w:p>
    <w:p w14:paraId="7DE79939">
      <w:pPr>
        <w:pStyle w:val="11"/>
        <w:rPr>
          <w:rFonts w:hint="eastAsia"/>
          <w:color w:val="auto"/>
          <w:lang w:val="en-US" w:eastAsia="zh-CN"/>
        </w:rPr>
      </w:pPr>
    </w:p>
    <w:p w14:paraId="528CCB39">
      <w:pPr>
        <w:pStyle w:val="11"/>
        <w:rPr>
          <w:rFonts w:hint="eastAsia"/>
          <w:color w:val="auto"/>
          <w:lang w:val="en-US" w:eastAsia="zh-CN"/>
        </w:rPr>
      </w:pPr>
    </w:p>
    <w:p w14:paraId="5E762EF8">
      <w:pPr>
        <w:pStyle w:val="11"/>
        <w:rPr>
          <w:rFonts w:hint="eastAsia"/>
          <w:color w:val="auto"/>
          <w:lang w:val="en-US" w:eastAsia="zh-CN"/>
        </w:rPr>
      </w:pPr>
    </w:p>
    <w:p w14:paraId="789135C5">
      <w:pPr>
        <w:pStyle w:val="11"/>
        <w:rPr>
          <w:rFonts w:hint="eastAsia"/>
          <w:color w:val="auto"/>
          <w:lang w:val="en-US" w:eastAsia="zh-CN"/>
        </w:rPr>
      </w:pPr>
    </w:p>
    <w:p w14:paraId="35FA3266">
      <w:pPr>
        <w:pStyle w:val="11"/>
        <w:rPr>
          <w:rFonts w:hint="eastAsia"/>
          <w:color w:val="auto"/>
          <w:lang w:val="en-US" w:eastAsia="zh-CN"/>
        </w:rPr>
      </w:pPr>
    </w:p>
    <w:p w14:paraId="6F369E70">
      <w:pPr>
        <w:pStyle w:val="11"/>
        <w:rPr>
          <w:rFonts w:hint="eastAsia"/>
          <w:color w:val="auto"/>
          <w:lang w:val="en-US" w:eastAsia="zh-CN"/>
        </w:rPr>
      </w:pPr>
    </w:p>
    <w:p w14:paraId="2DE55D83">
      <w:pPr>
        <w:pStyle w:val="11"/>
        <w:rPr>
          <w:rFonts w:hint="eastAsia"/>
          <w:color w:val="auto"/>
          <w:lang w:val="en-US" w:eastAsia="zh-CN"/>
        </w:rPr>
      </w:pPr>
    </w:p>
    <w:p w14:paraId="5BEECE8E">
      <w:pPr>
        <w:pStyle w:val="11"/>
        <w:rPr>
          <w:rFonts w:hint="eastAsia"/>
          <w:color w:val="auto"/>
          <w:lang w:val="en-US" w:eastAsia="zh-CN"/>
        </w:rPr>
      </w:pPr>
    </w:p>
    <w:p w14:paraId="2F39D4D9">
      <w:pPr>
        <w:pStyle w:val="11"/>
        <w:rPr>
          <w:rFonts w:hint="eastAsia"/>
          <w:color w:val="auto"/>
          <w:lang w:val="en-US" w:eastAsia="zh-CN"/>
        </w:rPr>
      </w:pPr>
    </w:p>
    <w:p w14:paraId="359DFB37">
      <w:pPr>
        <w:pStyle w:val="11"/>
        <w:rPr>
          <w:rFonts w:hint="eastAsia"/>
          <w:color w:val="auto"/>
          <w:lang w:val="en-US" w:eastAsia="zh-CN"/>
        </w:rPr>
      </w:pPr>
    </w:p>
    <w:p w14:paraId="707A4483">
      <w:pPr>
        <w:pStyle w:val="11"/>
        <w:rPr>
          <w:rFonts w:hint="eastAsia"/>
          <w:color w:val="auto"/>
          <w:lang w:val="en-US" w:eastAsia="zh-CN"/>
        </w:rPr>
      </w:pPr>
    </w:p>
    <w:p w14:paraId="61607E3F">
      <w:pPr>
        <w:pStyle w:val="11"/>
        <w:rPr>
          <w:rFonts w:hint="eastAsia"/>
          <w:lang w:val="en-US" w:eastAsia="zh-CN"/>
        </w:rPr>
      </w:pPr>
    </w:p>
    <w:p w14:paraId="121FCB7A">
      <w:pPr>
        <w:pStyle w:val="7"/>
        <w:keepNext w:val="0"/>
        <w:keepLines w:val="0"/>
        <w:pageBreakBefore w:val="0"/>
        <w:kinsoku/>
        <w:wordWrap/>
        <w:overflowPunct/>
        <w:topLinePunct w:val="0"/>
        <w:bidi w:val="0"/>
        <w:adjustRightInd/>
        <w:snapToGrid/>
        <w:spacing w:line="400" w:lineRule="exact"/>
        <w:ind w:left="0" w:leftChars="0" w:right="0" w:rightChars="0" w:firstLine="0" w:firstLineChars="0"/>
        <w:textAlignment w:val="auto"/>
        <w:rPr>
          <w:color w:val="auto"/>
        </w:rPr>
      </w:pPr>
      <w:r>
        <w:rPr>
          <w:rFonts w:hint="eastAsia"/>
          <w:color w:val="auto"/>
          <w:lang w:val="en-US" w:eastAsia="zh-CN"/>
        </w:rPr>
        <w:t>合同包三</w:t>
      </w:r>
      <w:r>
        <w:rPr>
          <w:color w:val="auto"/>
        </w:rPr>
        <w:t>：</w:t>
      </w:r>
      <w:r>
        <w:rPr>
          <w:rFonts w:hint="eastAsia" w:cs="宋体"/>
          <w:color w:val="auto"/>
          <w:lang w:val="en-US" w:eastAsia="zh-CN"/>
        </w:rPr>
        <w:t>A片区营养午餐蔬菜、水果、干货及调味品采购</w:t>
      </w:r>
    </w:p>
    <w:p w14:paraId="3CBE29AD">
      <w:pPr>
        <w:pStyle w:val="22"/>
        <w:keepNext w:val="0"/>
        <w:keepLines w:val="0"/>
        <w:pageBreakBefore w:val="0"/>
        <w:kinsoku/>
        <w:wordWrap/>
        <w:overflowPunct/>
        <w:topLinePunct w:val="0"/>
        <w:bidi w:val="0"/>
        <w:adjustRightInd/>
        <w:snapToGrid/>
        <w:spacing w:line="400" w:lineRule="exact"/>
        <w:ind w:left="0" w:leftChars="0" w:right="0" w:rightChars="0" w:firstLine="420" w:firstLineChars="200"/>
        <w:jc w:val="right"/>
        <w:textAlignment w:val="auto"/>
        <w:rPr>
          <w:rFonts w:hint="eastAsia" w:eastAsia="宋体"/>
          <w:color w:val="auto"/>
          <w:sz w:val="21"/>
          <w:lang w:eastAsia="zh-CN"/>
        </w:rPr>
      </w:pPr>
    </w:p>
    <w:tbl>
      <w:tblPr>
        <w:tblStyle w:val="23"/>
        <w:tblW w:w="9528"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743"/>
        <w:gridCol w:w="1467"/>
        <w:gridCol w:w="6529"/>
      </w:tblGrid>
      <w:tr w14:paraId="115CE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5" w:hRule="atLeast"/>
        </w:trPr>
        <w:tc>
          <w:tcPr>
            <w:tcW w:w="789" w:type="dxa"/>
            <w:noWrap w:val="0"/>
            <w:vAlign w:val="center"/>
          </w:tcPr>
          <w:p w14:paraId="385BAD20">
            <w:pPr>
              <w:pStyle w:val="49"/>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类别</w:t>
            </w:r>
          </w:p>
        </w:tc>
        <w:tc>
          <w:tcPr>
            <w:tcW w:w="743" w:type="dxa"/>
            <w:noWrap w:val="0"/>
            <w:vAlign w:val="center"/>
          </w:tcPr>
          <w:p w14:paraId="490C55A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467" w:type="dxa"/>
            <w:noWrap w:val="0"/>
            <w:vAlign w:val="center"/>
          </w:tcPr>
          <w:p w14:paraId="09714B0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评审要素及分值</w:t>
            </w:r>
          </w:p>
        </w:tc>
        <w:tc>
          <w:tcPr>
            <w:tcW w:w="6529" w:type="dxa"/>
            <w:noWrap w:val="0"/>
            <w:vAlign w:val="center"/>
          </w:tcPr>
          <w:p w14:paraId="1B3C5D04">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赋分标准</w:t>
            </w:r>
          </w:p>
        </w:tc>
      </w:tr>
      <w:tr w14:paraId="026D5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54" w:hRule="atLeast"/>
        </w:trPr>
        <w:tc>
          <w:tcPr>
            <w:tcW w:w="789" w:type="dxa"/>
            <w:noWrap w:val="0"/>
            <w:vAlign w:val="center"/>
          </w:tcPr>
          <w:p w14:paraId="32E9FEBC">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p w14:paraId="22C01F9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w:t>
            </w:r>
          </w:p>
        </w:tc>
        <w:tc>
          <w:tcPr>
            <w:tcW w:w="743" w:type="dxa"/>
            <w:noWrap w:val="0"/>
            <w:vAlign w:val="center"/>
          </w:tcPr>
          <w:p w14:paraId="6ED5FA1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67" w:type="dxa"/>
            <w:noWrap w:val="0"/>
            <w:vAlign w:val="center"/>
          </w:tcPr>
          <w:p w14:paraId="1580661F">
            <w:pPr>
              <w:keepNext w:val="0"/>
              <w:keepLines w:val="0"/>
              <w:pageBreakBefore w:val="0"/>
              <w:widowControl/>
              <w:kinsoku/>
              <w:wordWrap/>
              <w:overflowPunct/>
              <w:topLinePunct w:val="0"/>
              <w:bidi w:val="0"/>
              <w:adjustRightInd/>
              <w:snapToGrid/>
              <w:spacing w:line="400" w:lineRule="exact"/>
              <w:ind w:left="0" w:right="0" w:hanging="2"/>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w:t>
            </w:r>
          </w:p>
          <w:p w14:paraId="531E5CCC">
            <w:pPr>
              <w:keepNext w:val="0"/>
              <w:keepLines w:val="0"/>
              <w:pageBreakBefore w:val="0"/>
              <w:widowControl/>
              <w:kinsoku/>
              <w:wordWrap/>
              <w:overflowPunct/>
              <w:topLinePunct w:val="0"/>
              <w:bidi w:val="0"/>
              <w:adjustRightInd/>
              <w:snapToGrid/>
              <w:spacing w:line="400" w:lineRule="exact"/>
              <w:ind w:left="0" w:right="0" w:hanging="2"/>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30分</w:t>
            </w:r>
            <w:r>
              <w:rPr>
                <w:rFonts w:hint="eastAsia" w:cs="宋体"/>
                <w:color w:val="auto"/>
                <w:sz w:val="24"/>
                <w:szCs w:val="24"/>
                <w:highlight w:val="none"/>
                <w:lang w:val="en-US" w:eastAsia="zh-CN"/>
              </w:rPr>
              <w:t>）</w:t>
            </w:r>
          </w:p>
        </w:tc>
        <w:tc>
          <w:tcPr>
            <w:tcW w:w="6529" w:type="dxa"/>
            <w:noWrap w:val="0"/>
            <w:vAlign w:val="center"/>
          </w:tcPr>
          <w:p w14:paraId="419B6887">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以满足招标文件要求且投标报价最低的为评标基准价，其价格分为满分 30 分，其他供应商的价格分按照下列公式计算：投标报价得分=（评标基准价/投标报价）×30。</w:t>
            </w:r>
            <w:r>
              <w:rPr>
                <w:rFonts w:hint="eastAsia" w:cs="宋体"/>
                <w:color w:val="auto"/>
                <w:sz w:val="24"/>
                <w:szCs w:val="24"/>
                <w:highlight w:val="none"/>
                <w:lang w:val="en-US" w:eastAsia="zh-CN"/>
              </w:rPr>
              <w:t>（</w:t>
            </w:r>
            <w:r>
              <w:rPr>
                <w:rFonts w:hint="eastAsia"/>
                <w:b/>
                <w:bCs/>
                <w:color w:val="auto"/>
                <w:sz w:val="24"/>
                <w:szCs w:val="24"/>
                <w:lang w:val="en-US" w:eastAsia="zh-CN"/>
              </w:rPr>
              <w:t>符合招标文件规定的小微企业、监狱企业或残疾人福利性单位优惠条件的供应商，价格给予10%的扣除（不重复优惠，最高为10%），用扣除后的价格参与评审。</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 </w:t>
            </w:r>
          </w:p>
        </w:tc>
      </w:tr>
      <w:tr w14:paraId="6E9F7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restart"/>
            <w:noWrap w:val="0"/>
            <w:vAlign w:val="center"/>
          </w:tcPr>
          <w:p w14:paraId="07CC1BB0">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p>
          <w:p w14:paraId="06C0A563">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64</w:t>
            </w:r>
            <w:r>
              <w:rPr>
                <w:rFonts w:hint="eastAsia" w:ascii="宋体" w:hAnsi="宋体" w:eastAsia="宋体" w:cs="宋体"/>
                <w:color w:val="auto"/>
                <w:sz w:val="24"/>
                <w:szCs w:val="24"/>
                <w:highlight w:val="none"/>
              </w:rPr>
              <w:t>分</w:t>
            </w:r>
          </w:p>
        </w:tc>
        <w:tc>
          <w:tcPr>
            <w:tcW w:w="743" w:type="dxa"/>
            <w:vMerge w:val="restart"/>
            <w:noWrap w:val="0"/>
            <w:vAlign w:val="center"/>
          </w:tcPr>
          <w:p w14:paraId="08CA5C1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467" w:type="dxa"/>
            <w:vMerge w:val="restart"/>
            <w:noWrap w:val="0"/>
            <w:vAlign w:val="center"/>
          </w:tcPr>
          <w:p w14:paraId="7D982B2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技术方案</w:t>
            </w:r>
          </w:p>
          <w:p w14:paraId="4920713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w:t>
            </w:r>
            <w:r>
              <w:rPr>
                <w:rFonts w:hint="eastAsia" w:cs="宋体"/>
                <w:bCs/>
                <w:color w:val="auto"/>
                <w:sz w:val="24"/>
                <w:szCs w:val="24"/>
                <w:highlight w:val="none"/>
                <w:lang w:val="en-US" w:eastAsia="zh-CN"/>
              </w:rPr>
              <w:t>50</w:t>
            </w:r>
            <w:r>
              <w:rPr>
                <w:rFonts w:hint="eastAsia" w:ascii="宋体" w:hAnsi="宋体" w:eastAsia="宋体" w:cs="宋体"/>
                <w:bCs/>
                <w:color w:val="auto"/>
                <w:sz w:val="24"/>
                <w:szCs w:val="24"/>
                <w:highlight w:val="none"/>
              </w:rPr>
              <w:t>分）</w:t>
            </w:r>
          </w:p>
        </w:tc>
        <w:tc>
          <w:tcPr>
            <w:tcW w:w="6529" w:type="dxa"/>
            <w:noWrap w:val="0"/>
            <w:vAlign w:val="center"/>
          </w:tcPr>
          <w:p w14:paraId="416C3EA0">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产品渠道（5分）：</w:t>
            </w:r>
          </w:p>
          <w:p w14:paraId="06EFF7DE">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1.产品来源渠道合法且相关证明材料（包括但不限于销售协议、代理协议、原厂授权等）符合要求的得3分，提供但不完整的得2分，未提供或存在明显问题的得0分。</w:t>
            </w:r>
          </w:p>
          <w:p w14:paraId="6BA847CE">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2.核心产品生产厂家连带质量责任承担承诺，符合规范的得 2分，承诺不规范的得1分，无有效承诺的得0分。</w:t>
            </w:r>
          </w:p>
          <w:p w14:paraId="588E25D9">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技术指标（1</w:t>
            </w:r>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提供所投产品执行</w:t>
            </w:r>
            <w:r>
              <w:rPr>
                <w:rFonts w:hint="eastAsia" w:cs="宋体"/>
                <w:color w:val="auto"/>
                <w:sz w:val="24"/>
                <w:szCs w:val="24"/>
                <w:highlight w:val="none"/>
                <w:lang w:val="en-US" w:eastAsia="zh-CN"/>
              </w:rPr>
              <w:t>国家</w:t>
            </w:r>
            <w:r>
              <w:rPr>
                <w:rFonts w:hint="eastAsia" w:ascii="宋体" w:hAnsi="宋体" w:eastAsia="宋体" w:cs="宋体"/>
                <w:color w:val="auto"/>
                <w:sz w:val="24"/>
                <w:szCs w:val="24"/>
                <w:highlight w:val="none"/>
                <w:lang w:val="en-US" w:eastAsia="zh-CN"/>
              </w:rPr>
              <w:t>标准所检测的本年度产品技术参数及质检报告，参数清晰明确，技术指标和规格完全满足招标文件要求，检测报告等印证资料齐全。</w:t>
            </w:r>
          </w:p>
          <w:p w14:paraId="4C7796C8">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1.产品完全满足要求、质量优良，印证资料完善、符合标准规范、能充分佐证产品质量的，得1</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270398A0">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2.产品满足要求、质量优良，印证资料较为完善、符合标准规范、能佐证产品质量的，得</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p w14:paraId="34B4E24D">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3.产品基本满足要求、质量合格，印证资料较为完善、基本符合标准规范、能佐证产品质量的，得</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58B173D3">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4.产品不能满足要求，印证资料不完善、不符合标准规范、难以佐证产品质量的，得0分。</w:t>
            </w:r>
          </w:p>
          <w:p w14:paraId="508224B5">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ascii="宋体" w:hAnsi="宋体" w:eastAsia="宋体" w:cs="宋体"/>
                <w:b/>
                <w:bCs/>
                <w:color w:val="auto"/>
                <w:sz w:val="24"/>
                <w:szCs w:val="24"/>
                <w:highlight w:val="none"/>
                <w:lang w:val="en-US"/>
              </w:rPr>
            </w:pPr>
            <w:r>
              <w:rPr>
                <w:rFonts w:hint="eastAsia" w:cs="宋体"/>
                <w:b/>
                <w:bCs/>
                <w:color w:val="auto"/>
                <w:sz w:val="24"/>
                <w:szCs w:val="24"/>
                <w:highlight w:val="none"/>
                <w:lang w:val="en-US" w:eastAsia="zh-CN"/>
              </w:rPr>
              <w:t>（所有材料需提供原件的扫描件）</w:t>
            </w:r>
          </w:p>
        </w:tc>
      </w:tr>
      <w:tr w14:paraId="660B1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89" w:hRule="atLeast"/>
        </w:trPr>
        <w:tc>
          <w:tcPr>
            <w:tcW w:w="789" w:type="dxa"/>
            <w:vMerge w:val="continue"/>
            <w:noWrap w:val="0"/>
            <w:vAlign w:val="center"/>
          </w:tcPr>
          <w:p w14:paraId="5ABDE6D3">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463077B3">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p>
        </w:tc>
        <w:tc>
          <w:tcPr>
            <w:tcW w:w="1467" w:type="dxa"/>
            <w:vMerge w:val="continue"/>
            <w:noWrap w:val="0"/>
            <w:vAlign w:val="center"/>
          </w:tcPr>
          <w:p w14:paraId="1A043C34">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p>
        </w:tc>
        <w:tc>
          <w:tcPr>
            <w:tcW w:w="6529" w:type="dxa"/>
            <w:noWrap w:val="0"/>
            <w:vAlign w:val="center"/>
          </w:tcPr>
          <w:p w14:paraId="4D6ED012">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总体方案（</w:t>
            </w:r>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w:t>
            </w:r>
          </w:p>
          <w:p w14:paraId="3F0B0EDD">
            <w:pPr>
              <w:rPr>
                <w:rFonts w:hint="eastAsia" w:ascii="宋体" w:hAnsi="宋体" w:eastAsia="宋体" w:cs="宋体"/>
                <w:sz w:val="24"/>
                <w:szCs w:val="24"/>
              </w:rPr>
            </w:pPr>
            <w:r>
              <w:rPr>
                <w:rFonts w:hint="eastAsia" w:ascii="宋体" w:hAnsi="宋体" w:eastAsia="宋体" w:cs="宋体"/>
                <w:sz w:val="24"/>
                <w:szCs w:val="24"/>
              </w:rPr>
              <w:t>根据项目需求编制</w:t>
            </w:r>
            <w:r>
              <w:rPr>
                <w:rFonts w:hint="eastAsia" w:ascii="宋体" w:hAnsi="宋体" w:eastAsia="宋体" w:cs="宋体"/>
                <w:sz w:val="24"/>
                <w:szCs w:val="24"/>
                <w:lang w:eastAsia="zh-CN"/>
              </w:rPr>
              <w:t>实施</w:t>
            </w:r>
            <w:r>
              <w:rPr>
                <w:rFonts w:hint="eastAsia" w:ascii="宋体" w:hAnsi="宋体" w:eastAsia="宋体" w:cs="宋体"/>
                <w:sz w:val="24"/>
                <w:szCs w:val="24"/>
              </w:rPr>
              <w:t>方案</w:t>
            </w:r>
            <w:r>
              <w:rPr>
                <w:rFonts w:hint="eastAsia" w:ascii="宋体" w:hAnsi="宋体" w:cs="宋体"/>
                <w:sz w:val="24"/>
                <w:szCs w:val="24"/>
                <w:lang w:eastAsia="zh-CN"/>
              </w:rPr>
              <w:t>：</w:t>
            </w:r>
            <w:r>
              <w:rPr>
                <w:rFonts w:hint="eastAsia" w:ascii="宋体" w:hAnsi="宋体" w:cs="宋体"/>
                <w:sz w:val="24"/>
                <w:szCs w:val="24"/>
                <w:lang w:val="en-US" w:eastAsia="zh-CN"/>
              </w:rPr>
              <w:t>方案至少包括</w:t>
            </w:r>
            <w:r>
              <w:rPr>
                <w:rFonts w:hint="eastAsia" w:ascii="宋体" w:hAnsi="宋体" w:eastAsia="宋体" w:cs="宋体"/>
                <w:sz w:val="24"/>
                <w:szCs w:val="24"/>
              </w:rPr>
              <w:t>①供货保障</w:t>
            </w:r>
            <w:r>
              <w:rPr>
                <w:rFonts w:hint="eastAsia" w:ascii="宋体" w:hAnsi="宋体" w:cs="宋体"/>
                <w:sz w:val="24"/>
                <w:szCs w:val="24"/>
                <w:lang w:eastAsia="zh-CN"/>
              </w:rPr>
              <w:t>；</w:t>
            </w:r>
            <w:r>
              <w:rPr>
                <w:rFonts w:hint="eastAsia" w:ascii="宋体" w:hAnsi="宋体" w:eastAsia="宋体" w:cs="宋体"/>
                <w:sz w:val="24"/>
                <w:szCs w:val="24"/>
              </w:rPr>
              <w:t>②管理制度</w:t>
            </w:r>
            <w:r>
              <w:rPr>
                <w:rFonts w:hint="eastAsia" w:ascii="宋体" w:hAnsi="宋体" w:cs="宋体"/>
                <w:sz w:val="24"/>
                <w:szCs w:val="24"/>
                <w:lang w:eastAsia="zh-CN"/>
              </w:rPr>
              <w:t>；</w:t>
            </w:r>
            <w:r>
              <w:rPr>
                <w:rFonts w:hint="eastAsia" w:ascii="宋体" w:hAnsi="宋体" w:eastAsia="宋体" w:cs="宋体"/>
                <w:sz w:val="24"/>
                <w:szCs w:val="24"/>
              </w:rPr>
              <w:t>③运行模式</w:t>
            </w:r>
            <w:r>
              <w:rPr>
                <w:rFonts w:hint="eastAsia" w:ascii="宋体" w:hAnsi="宋体" w:cs="宋体"/>
                <w:sz w:val="24"/>
                <w:szCs w:val="24"/>
                <w:lang w:eastAsia="zh-CN"/>
              </w:rPr>
              <w:t>。</w:t>
            </w:r>
            <w:r>
              <w:rPr>
                <w:rFonts w:hint="eastAsia" w:ascii="宋体" w:hAnsi="宋体" w:eastAsia="宋体" w:cs="宋体"/>
                <w:sz w:val="24"/>
                <w:szCs w:val="24"/>
                <w:lang w:eastAsia="zh-CN"/>
              </w:rPr>
              <w:t>以上</w:t>
            </w:r>
            <w:r>
              <w:rPr>
                <w:rFonts w:hint="eastAsia" w:ascii="宋体" w:hAnsi="宋体" w:eastAsia="宋体" w:cs="宋体"/>
                <w:sz w:val="24"/>
                <w:szCs w:val="24"/>
                <w:lang w:val="en-US" w:eastAsia="zh-CN"/>
              </w:rPr>
              <w:t>3项内容齐全，针对性强、条理清晰、表述准确得分</w:t>
            </w:r>
            <w:r>
              <w:rPr>
                <w:rFonts w:hint="eastAsia" w:cs="宋体"/>
                <w:sz w:val="24"/>
                <w:szCs w:val="24"/>
                <w:lang w:val="en-US" w:eastAsia="zh-CN"/>
              </w:rPr>
              <w:t>6</w:t>
            </w:r>
            <w:r>
              <w:rPr>
                <w:rFonts w:hint="eastAsia" w:ascii="宋体" w:hAnsi="宋体" w:eastAsia="宋体" w:cs="宋体"/>
                <w:sz w:val="24"/>
                <w:szCs w:val="24"/>
                <w:lang w:val="en-US" w:eastAsia="zh-CN"/>
              </w:rPr>
              <w:t>分。每缺少一项内容扣</w:t>
            </w:r>
            <w:r>
              <w:rPr>
                <w:rFonts w:hint="eastAsia" w:cs="宋体"/>
                <w:sz w:val="24"/>
                <w:szCs w:val="24"/>
                <w:lang w:val="en-US" w:eastAsia="zh-CN"/>
              </w:rPr>
              <w:t>2</w:t>
            </w:r>
            <w:r>
              <w:rPr>
                <w:rFonts w:hint="eastAsia" w:ascii="宋体" w:hAnsi="宋体" w:eastAsia="宋体" w:cs="宋体"/>
                <w:sz w:val="24"/>
                <w:szCs w:val="24"/>
                <w:lang w:val="en-US" w:eastAsia="zh-CN"/>
              </w:rPr>
              <w:t>分（缺陷是指在完整性、可实施性和针对性等方面存在瑕疵或实用性不强）</w:t>
            </w:r>
            <w:r>
              <w:rPr>
                <w:rFonts w:hint="eastAsia" w:ascii="宋体" w:hAnsi="宋体" w:eastAsia="宋体" w:cs="宋体"/>
                <w:sz w:val="24"/>
                <w:szCs w:val="24"/>
              </w:rPr>
              <w:t>。</w:t>
            </w:r>
          </w:p>
          <w:p w14:paraId="49EBD5D6">
            <w:pPr>
              <w:rPr>
                <w:rFonts w:hint="eastAsia" w:ascii="宋体" w:hAnsi="宋体" w:eastAsia="宋体" w:cs="宋体"/>
                <w:sz w:val="24"/>
                <w:szCs w:val="24"/>
              </w:rPr>
            </w:pPr>
            <w:r>
              <w:rPr>
                <w:rFonts w:hint="eastAsia" w:ascii="宋体" w:hAnsi="宋体" w:eastAsia="宋体" w:cs="宋体"/>
                <w:sz w:val="24"/>
                <w:szCs w:val="24"/>
              </w:rPr>
              <w:t>根据评审标准对供应商技术方案进行评审，每一条不符合本项目特点和实际需求，存在缺陷或实用性不强的扣1分，扣完为止。</w:t>
            </w:r>
          </w:p>
          <w:p w14:paraId="0BA278D7">
            <w:pPr>
              <w:rPr>
                <w:rFonts w:hint="eastAsia" w:ascii="宋体" w:hAnsi="宋体" w:eastAsia="宋体" w:cs="宋体"/>
                <w:sz w:val="24"/>
                <w:szCs w:val="24"/>
              </w:rPr>
            </w:pPr>
            <w:r>
              <w:rPr>
                <w:rFonts w:hint="eastAsia" w:ascii="宋体" w:hAnsi="宋体" w:eastAsia="宋体" w:cs="宋体"/>
                <w:sz w:val="24"/>
                <w:szCs w:val="24"/>
              </w:rPr>
              <w:t xml:space="preserve">评审标准： </w:t>
            </w:r>
          </w:p>
          <w:p w14:paraId="07B05A24">
            <w:pPr>
              <w:rPr>
                <w:rFonts w:hint="eastAsia" w:ascii="宋体" w:hAnsi="宋体" w:eastAsia="宋体" w:cs="宋体"/>
                <w:sz w:val="24"/>
                <w:szCs w:val="24"/>
              </w:rPr>
            </w:pPr>
            <w:r>
              <w:rPr>
                <w:rFonts w:hint="eastAsia" w:ascii="宋体" w:hAnsi="宋体" w:eastAsia="宋体" w:cs="宋体"/>
                <w:sz w:val="24"/>
                <w:szCs w:val="24"/>
              </w:rPr>
              <w:t xml:space="preserve">完整性：方案须全面，对评审内容中的各项要求有详细描述； </w:t>
            </w:r>
          </w:p>
          <w:p w14:paraId="09CD8F08">
            <w:pPr>
              <w:rPr>
                <w:rFonts w:hint="eastAsia" w:ascii="宋体" w:hAnsi="宋体" w:eastAsia="宋体" w:cs="宋体"/>
                <w:sz w:val="24"/>
                <w:szCs w:val="24"/>
              </w:rPr>
            </w:pPr>
            <w:r>
              <w:rPr>
                <w:rFonts w:hint="eastAsia" w:ascii="宋体" w:hAnsi="宋体" w:eastAsia="宋体" w:cs="宋体"/>
                <w:sz w:val="24"/>
                <w:szCs w:val="24"/>
              </w:rPr>
              <w:t xml:space="preserve">可实施性：切合本项目实际情况，实施步骤清晰、合理； </w:t>
            </w:r>
          </w:p>
          <w:p w14:paraId="74D291DA">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针对性：方案能够紧扣项目实际情况，内容科学合理。 </w:t>
            </w:r>
          </w:p>
        </w:tc>
      </w:tr>
      <w:tr w14:paraId="7C846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continue"/>
            <w:noWrap w:val="0"/>
            <w:vAlign w:val="center"/>
          </w:tcPr>
          <w:p w14:paraId="7D312D6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5610A4F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7ADF18BC">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1F429278">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仓储</w:t>
            </w:r>
            <w:r>
              <w:rPr>
                <w:rFonts w:hint="eastAsia" w:ascii="宋体" w:hAnsi="宋体" w:eastAsia="宋体" w:cs="宋体"/>
                <w:b/>
                <w:bCs/>
                <w:color w:val="auto"/>
                <w:sz w:val="24"/>
                <w:szCs w:val="24"/>
                <w:highlight w:val="none"/>
              </w:rPr>
              <w:t>和冷藏</w:t>
            </w:r>
            <w:r>
              <w:rPr>
                <w:rFonts w:hint="eastAsia" w:ascii="宋体" w:hAnsi="宋体" w:eastAsia="宋体" w:cs="宋体"/>
                <w:b/>
                <w:bCs/>
                <w:color w:val="auto"/>
                <w:sz w:val="24"/>
                <w:szCs w:val="24"/>
                <w:highlight w:val="none"/>
                <w:lang w:eastAsia="zh-CN"/>
              </w:rPr>
              <w:t>保</w:t>
            </w:r>
            <w:r>
              <w:rPr>
                <w:rFonts w:hint="eastAsia" w:ascii="宋体" w:hAnsi="宋体" w:eastAsia="宋体" w:cs="宋体"/>
                <w:b/>
                <w:bCs/>
                <w:color w:val="auto"/>
                <w:sz w:val="24"/>
                <w:szCs w:val="24"/>
                <w:highlight w:val="none"/>
              </w:rPr>
              <w:t>鲜</w:t>
            </w:r>
            <w:r>
              <w:rPr>
                <w:rFonts w:hint="eastAsia" w:ascii="宋体" w:hAnsi="宋体" w:eastAsia="宋体" w:cs="宋体"/>
                <w:b/>
                <w:bCs/>
                <w:color w:val="auto"/>
                <w:sz w:val="24"/>
                <w:szCs w:val="24"/>
                <w:highlight w:val="none"/>
                <w:lang w:val="en-US" w:eastAsia="zh-CN"/>
              </w:rPr>
              <w:t>能力（</w:t>
            </w:r>
            <w:r>
              <w:rPr>
                <w:rFonts w:hint="eastAsia" w:cs="宋体"/>
                <w:b/>
                <w:bCs/>
                <w:color w:val="auto"/>
                <w:sz w:val="24"/>
                <w:szCs w:val="24"/>
                <w:highlight w:val="none"/>
                <w:lang w:val="en-US" w:eastAsia="zh-CN"/>
              </w:rPr>
              <w:t>12</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kern w:val="2"/>
                <w:sz w:val="24"/>
                <w:szCs w:val="24"/>
                <w:highlight w:val="none"/>
                <w:lang w:val="en-US" w:eastAsia="zh-CN" w:bidi="ar-SA"/>
              </w:rPr>
              <w:t>：有独立的仓库，且为</w:t>
            </w:r>
            <w:r>
              <w:rPr>
                <w:rFonts w:hint="eastAsia" w:cs="宋体"/>
                <w:color w:val="auto"/>
                <w:kern w:val="2"/>
                <w:sz w:val="24"/>
                <w:szCs w:val="24"/>
                <w:highlight w:val="none"/>
                <w:lang w:val="en-US" w:eastAsia="zh-CN" w:bidi="ar-SA"/>
              </w:rPr>
              <w:t>食品</w:t>
            </w:r>
            <w:r>
              <w:rPr>
                <w:rFonts w:hint="eastAsia" w:ascii="宋体" w:hAnsi="宋体" w:eastAsia="宋体" w:cs="宋体"/>
                <w:color w:val="auto"/>
                <w:kern w:val="2"/>
                <w:sz w:val="24"/>
                <w:szCs w:val="24"/>
                <w:highlight w:val="none"/>
                <w:lang w:val="en-US" w:eastAsia="zh-CN" w:bidi="ar-SA"/>
              </w:rPr>
              <w:t>材料存储专用库</w:t>
            </w:r>
            <w:r>
              <w:rPr>
                <w:rFonts w:hint="eastAsia"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提供库房自有证明或租赁合同和仓储设备及其他能反映出其适合产品储存、周转的证明材料，满足相关食材所要求的存储要求</w:t>
            </w:r>
            <w:r>
              <w:rPr>
                <w:rFonts w:hint="eastAsia" w:cs="宋体"/>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en-US" w:eastAsia="zh-CN" w:bidi="ar-SA"/>
              </w:rPr>
              <w:t>证明材料中所用的照片必须为清晰的全方位彩色照片</w:t>
            </w:r>
            <w:r>
              <w:rPr>
                <w:rFonts w:hint="eastAsia" w:cs="宋体"/>
                <w:b/>
                <w:bCs/>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 </w:t>
            </w:r>
          </w:p>
          <w:p w14:paraId="6EB8AB96">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 xml:space="preserve"> 投标人有独立的仓库，且为</w:t>
            </w:r>
            <w:r>
              <w:rPr>
                <w:rFonts w:hint="eastAsia" w:cs="宋体"/>
                <w:color w:val="auto"/>
                <w:kern w:val="2"/>
                <w:sz w:val="24"/>
                <w:szCs w:val="24"/>
                <w:highlight w:val="none"/>
                <w:lang w:val="en-US" w:eastAsia="zh-CN" w:bidi="ar-SA"/>
              </w:rPr>
              <w:t>食品</w:t>
            </w:r>
            <w:r>
              <w:rPr>
                <w:rFonts w:hint="eastAsia" w:ascii="宋体" w:hAnsi="宋体" w:eastAsia="宋体" w:cs="宋体"/>
                <w:color w:val="auto"/>
                <w:kern w:val="2"/>
                <w:sz w:val="24"/>
                <w:szCs w:val="24"/>
                <w:highlight w:val="none"/>
                <w:lang w:val="en-US" w:eastAsia="zh-CN" w:bidi="ar-SA"/>
              </w:rPr>
              <w:t>材料存储专用库，根据库房位置、面积，以及提供库房场所自有或租赁证明资料、仓储设备证明材料、</w:t>
            </w:r>
            <w:r>
              <w:rPr>
                <w:rFonts w:hint="eastAsia" w:cs="宋体"/>
                <w:color w:val="auto"/>
                <w:kern w:val="2"/>
                <w:sz w:val="24"/>
                <w:szCs w:val="24"/>
                <w:highlight w:val="none"/>
                <w:lang w:val="en-US" w:eastAsia="zh-CN" w:bidi="ar-SA"/>
              </w:rPr>
              <w:t>仓库管理</w:t>
            </w:r>
            <w:r>
              <w:rPr>
                <w:rFonts w:hint="eastAsia" w:ascii="宋体" w:hAnsi="宋体" w:eastAsia="宋体" w:cs="宋体"/>
                <w:color w:val="auto"/>
                <w:kern w:val="2"/>
                <w:sz w:val="24"/>
                <w:szCs w:val="24"/>
                <w:highlight w:val="none"/>
                <w:lang w:val="en-US" w:eastAsia="zh-CN" w:bidi="ar-SA"/>
              </w:rPr>
              <w:t>制度等，库房面积≥300㎡，得4分；库房面积＜</w:t>
            </w:r>
            <w:r>
              <w:rPr>
                <w:rFonts w:hint="eastAsia"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00㎡，得</w:t>
            </w:r>
            <w:r>
              <w:rPr>
                <w:rFonts w:hint="eastAsia"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分</w:t>
            </w:r>
            <w:r>
              <w:rPr>
                <w:rFonts w:hint="eastAsia"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无独立库</w:t>
            </w:r>
            <w:r>
              <w:rPr>
                <w:rFonts w:hint="eastAsia" w:cs="宋体"/>
                <w:color w:val="auto"/>
                <w:kern w:val="2"/>
                <w:sz w:val="24"/>
                <w:szCs w:val="24"/>
                <w:highlight w:val="none"/>
                <w:lang w:val="en-US" w:eastAsia="zh-CN" w:bidi="ar-SA"/>
              </w:rPr>
              <w:t>房得0分</w:t>
            </w:r>
            <w:r>
              <w:rPr>
                <w:rFonts w:hint="eastAsia" w:ascii="宋体" w:hAnsi="宋体" w:eastAsia="宋体" w:cs="宋体"/>
                <w:color w:val="auto"/>
                <w:kern w:val="2"/>
                <w:sz w:val="24"/>
                <w:szCs w:val="24"/>
                <w:highlight w:val="none"/>
                <w:lang w:val="en-US" w:eastAsia="zh-CN" w:bidi="ar-SA"/>
              </w:rPr>
              <w:t xml:space="preserve">。 </w:t>
            </w:r>
          </w:p>
          <w:p w14:paraId="2C44A98D">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 xml:space="preserve"> 仓库</w:t>
            </w:r>
            <w:r>
              <w:rPr>
                <w:rFonts w:hint="eastAsia" w:cs="宋体"/>
                <w:color w:val="auto"/>
                <w:kern w:val="2"/>
                <w:sz w:val="24"/>
                <w:szCs w:val="24"/>
                <w:highlight w:val="none"/>
                <w:lang w:val="en-US" w:eastAsia="zh-CN" w:bidi="ar-SA"/>
              </w:rPr>
              <w:t>条件能满足</w:t>
            </w:r>
            <w:r>
              <w:rPr>
                <w:rFonts w:hint="eastAsia" w:ascii="宋体" w:hAnsi="宋体" w:eastAsia="宋体" w:cs="宋体"/>
                <w:color w:val="auto"/>
                <w:kern w:val="2"/>
                <w:sz w:val="24"/>
                <w:szCs w:val="24"/>
                <w:highlight w:val="none"/>
                <w:lang w:val="en-US" w:eastAsia="zh-CN" w:bidi="ar-SA"/>
              </w:rPr>
              <w:t>相关食材存储所要求的</w:t>
            </w:r>
            <w:r>
              <w:rPr>
                <w:rFonts w:hint="eastAsia" w:cs="宋体"/>
                <w:color w:val="auto"/>
                <w:kern w:val="2"/>
                <w:sz w:val="24"/>
                <w:szCs w:val="24"/>
                <w:highlight w:val="none"/>
                <w:lang w:val="en-US" w:eastAsia="zh-CN" w:bidi="ar-SA"/>
              </w:rPr>
              <w:t>通风、</w:t>
            </w:r>
            <w:r>
              <w:rPr>
                <w:rFonts w:hint="eastAsia" w:ascii="宋体" w:hAnsi="宋体" w:eastAsia="宋体" w:cs="宋体"/>
                <w:color w:val="auto"/>
                <w:kern w:val="2"/>
                <w:sz w:val="24"/>
                <w:szCs w:val="24"/>
                <w:highlight w:val="none"/>
                <w:lang w:val="en-US" w:eastAsia="zh-CN" w:bidi="ar-SA"/>
              </w:rPr>
              <w:t>温</w:t>
            </w:r>
            <w:r>
              <w:rPr>
                <w:rFonts w:hint="eastAsia" w:cs="宋体"/>
                <w:color w:val="auto"/>
                <w:kern w:val="2"/>
                <w:sz w:val="24"/>
                <w:szCs w:val="24"/>
                <w:highlight w:val="none"/>
                <w:lang w:val="en-US" w:eastAsia="zh-CN" w:bidi="ar-SA"/>
              </w:rPr>
              <w:t>度</w:t>
            </w:r>
            <w:r>
              <w:rPr>
                <w:rFonts w:hint="eastAsia" w:ascii="宋体" w:hAnsi="宋体" w:eastAsia="宋体" w:cs="宋体"/>
                <w:color w:val="auto"/>
                <w:kern w:val="2"/>
                <w:sz w:val="24"/>
                <w:szCs w:val="24"/>
                <w:highlight w:val="none"/>
                <w:lang w:val="en-US" w:eastAsia="zh-CN" w:bidi="ar-SA"/>
              </w:rPr>
              <w:t>、湿度条件</w:t>
            </w:r>
            <w:r>
              <w:rPr>
                <w:rFonts w:hint="eastAsia" w:cs="宋体"/>
                <w:color w:val="auto"/>
                <w:kern w:val="2"/>
                <w:sz w:val="24"/>
                <w:szCs w:val="24"/>
                <w:highlight w:val="none"/>
                <w:lang w:val="en-US" w:eastAsia="zh-CN" w:bidi="ar-SA"/>
              </w:rPr>
              <w:t>的</w:t>
            </w:r>
            <w:r>
              <w:rPr>
                <w:rFonts w:hint="eastAsia" w:ascii="宋体" w:hAnsi="宋体" w:eastAsia="宋体" w:cs="宋体"/>
                <w:color w:val="auto"/>
                <w:kern w:val="2"/>
                <w:sz w:val="24"/>
                <w:szCs w:val="24"/>
                <w:highlight w:val="none"/>
                <w:lang w:val="en-US" w:eastAsia="zh-CN" w:bidi="ar-SA"/>
              </w:rPr>
              <w:t>得3分</w:t>
            </w:r>
            <w:r>
              <w:rPr>
                <w:rFonts w:hint="eastAsia" w:cs="宋体"/>
                <w:color w:val="auto"/>
                <w:kern w:val="2"/>
                <w:sz w:val="24"/>
                <w:szCs w:val="24"/>
                <w:highlight w:val="none"/>
                <w:lang w:val="en-US" w:eastAsia="zh-CN" w:bidi="ar-SA"/>
              </w:rPr>
              <w:t>，无法满足的得0分</w:t>
            </w:r>
            <w:r>
              <w:rPr>
                <w:rFonts w:hint="eastAsia" w:ascii="宋体" w:hAnsi="宋体" w:eastAsia="宋体" w:cs="宋体"/>
                <w:color w:val="auto"/>
                <w:kern w:val="2"/>
                <w:sz w:val="24"/>
                <w:szCs w:val="24"/>
                <w:highlight w:val="none"/>
                <w:lang w:val="en-US" w:eastAsia="zh-CN" w:bidi="ar-SA"/>
              </w:rPr>
              <w:t xml:space="preserve">。 </w:t>
            </w:r>
          </w:p>
          <w:p w14:paraId="1E7A3E59">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 xml:space="preserve"> 库房“七防”设施（防火、防盗、防潮、防投毒、防鼠、防蝇、防尘）设施图片及制度齐全，得3分；不全得0分。 </w:t>
            </w:r>
          </w:p>
          <w:p w14:paraId="1C065BAA">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rPr>
            </w:pP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 xml:space="preserve"> 库房</w:t>
            </w:r>
            <w:r>
              <w:rPr>
                <w:rFonts w:hint="eastAsia" w:cs="宋体"/>
                <w:color w:val="auto"/>
                <w:kern w:val="2"/>
                <w:sz w:val="24"/>
                <w:szCs w:val="24"/>
                <w:highlight w:val="none"/>
                <w:lang w:val="en-US" w:eastAsia="zh-CN" w:bidi="ar-SA"/>
              </w:rPr>
              <w:t>内</w:t>
            </w:r>
            <w:r>
              <w:rPr>
                <w:rFonts w:hint="eastAsia" w:ascii="宋体" w:hAnsi="宋体" w:eastAsia="宋体" w:cs="宋体"/>
                <w:color w:val="auto"/>
                <w:kern w:val="2"/>
                <w:sz w:val="24"/>
                <w:szCs w:val="24"/>
                <w:highlight w:val="none"/>
                <w:lang w:val="en-US" w:eastAsia="zh-CN" w:bidi="ar-SA"/>
              </w:rPr>
              <w:t>外安装有监控设备且全方位覆盖，得2分；未达到上述要求，得0分</w:t>
            </w:r>
            <w:r>
              <w:rPr>
                <w:rFonts w:hint="eastAsia" w:ascii="宋体" w:hAnsi="宋体" w:eastAsia="宋体" w:cs="宋体"/>
                <w:color w:val="auto"/>
                <w:kern w:val="0"/>
                <w:sz w:val="24"/>
                <w:szCs w:val="24"/>
                <w:lang w:val="en-US" w:eastAsia="zh-CN" w:bidi="ar"/>
              </w:rPr>
              <w:t>。</w:t>
            </w:r>
          </w:p>
        </w:tc>
      </w:tr>
      <w:tr w14:paraId="0C8D5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continue"/>
            <w:noWrap w:val="0"/>
            <w:vAlign w:val="center"/>
          </w:tcPr>
          <w:p w14:paraId="3A54AC53">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082039D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092B76C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2B12E52E">
            <w:pPr>
              <w:pStyle w:val="52"/>
              <w:jc w:val="lef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人员配备</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5分</w:t>
            </w:r>
            <w:r>
              <w:rPr>
                <w:rFonts w:hint="eastAsia" w:ascii="宋体" w:hAnsi="宋体" w:eastAsia="宋体" w:cs="宋体"/>
                <w:b/>
                <w:bCs/>
                <w:color w:val="auto"/>
                <w:sz w:val="24"/>
                <w:szCs w:val="24"/>
                <w:lang w:eastAsia="zh-CN"/>
              </w:rPr>
              <w:t>）</w:t>
            </w:r>
          </w:p>
          <w:p w14:paraId="3C9049F0">
            <w:pPr>
              <w:pStyle w:val="52"/>
              <w:jc w:val="left"/>
              <w:rPr>
                <w:rFonts w:hint="eastAsia" w:ascii="宋体" w:hAnsi="宋体" w:cs="宋体"/>
                <w:color w:val="auto"/>
                <w:sz w:val="24"/>
                <w:szCs w:val="24"/>
                <w:lang w:eastAsia="zh-CN"/>
              </w:rPr>
            </w:pPr>
            <w:r>
              <w:rPr>
                <w:rFonts w:hint="eastAsia" w:ascii="宋体" w:hAnsi="宋体" w:eastAsia="宋体" w:cs="宋体"/>
                <w:color w:val="auto"/>
                <w:sz w:val="24"/>
                <w:szCs w:val="24"/>
              </w:rPr>
              <w:t>岗位设置齐全、职责明确、人员配置合理充足，</w:t>
            </w:r>
            <w:r>
              <w:rPr>
                <w:rFonts w:hint="eastAsia" w:ascii="宋体" w:hAnsi="宋体" w:eastAsia="宋体" w:cs="宋体"/>
                <w:color w:val="auto"/>
                <w:sz w:val="24"/>
                <w:szCs w:val="24"/>
                <w:lang w:val="en-US" w:eastAsia="zh-CN"/>
              </w:rPr>
              <w:t>相关</w:t>
            </w:r>
            <w:r>
              <w:rPr>
                <w:rFonts w:hint="eastAsia" w:ascii="宋体" w:hAnsi="宋体" w:eastAsia="宋体" w:cs="宋体"/>
                <w:color w:val="auto"/>
                <w:sz w:val="24"/>
                <w:szCs w:val="24"/>
              </w:rPr>
              <w:t>人员提供人员身份证、健康证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劳务合同</w:t>
            </w:r>
            <w:r>
              <w:rPr>
                <w:rFonts w:hint="eastAsia" w:ascii="宋体" w:hAnsi="宋体" w:eastAsia="宋体" w:cs="宋体"/>
                <w:color w:val="auto"/>
                <w:sz w:val="24"/>
                <w:szCs w:val="24"/>
                <w:lang w:val="en-US" w:eastAsia="zh-CN"/>
              </w:rPr>
              <w:t>及无犯罪证明</w:t>
            </w:r>
            <w:r>
              <w:rPr>
                <w:rFonts w:hint="eastAsia" w:ascii="宋体" w:hAnsi="宋体" w:eastAsia="宋体" w:cs="宋体"/>
                <w:color w:val="auto"/>
                <w:sz w:val="24"/>
                <w:szCs w:val="24"/>
              </w:rPr>
              <w:t>等</w:t>
            </w:r>
            <w:r>
              <w:rPr>
                <w:rFonts w:hint="eastAsia" w:ascii="宋体" w:hAnsi="宋体" w:cs="宋体"/>
                <w:color w:val="auto"/>
                <w:sz w:val="24"/>
                <w:szCs w:val="24"/>
                <w:lang w:eastAsia="zh-CN"/>
              </w:rPr>
              <w:t>；</w:t>
            </w:r>
            <w:r>
              <w:rPr>
                <w:rFonts w:hint="eastAsia" w:ascii="宋体" w:hAnsi="宋体" w:eastAsia="宋体" w:cs="宋体"/>
                <w:color w:val="auto"/>
                <w:sz w:val="24"/>
                <w:szCs w:val="24"/>
              </w:rPr>
              <w:t>司机</w:t>
            </w:r>
            <w:r>
              <w:rPr>
                <w:rFonts w:hint="eastAsia" w:ascii="宋体" w:hAnsi="宋体" w:eastAsia="宋体" w:cs="宋体"/>
                <w:color w:val="auto"/>
                <w:sz w:val="24"/>
                <w:szCs w:val="24"/>
                <w:lang w:val="en-US" w:eastAsia="zh-CN"/>
              </w:rPr>
              <w:t>还须提供</w:t>
            </w:r>
            <w:r>
              <w:rPr>
                <w:rFonts w:hint="eastAsia" w:ascii="宋体" w:hAnsi="宋体" w:eastAsia="宋体" w:cs="宋体"/>
                <w:color w:val="auto"/>
                <w:sz w:val="24"/>
                <w:szCs w:val="24"/>
              </w:rPr>
              <w:t>驾驶证</w:t>
            </w:r>
            <w:r>
              <w:rPr>
                <w:rFonts w:hint="eastAsia" w:ascii="宋体" w:hAnsi="宋体" w:cs="宋体"/>
                <w:color w:val="auto"/>
                <w:sz w:val="24"/>
                <w:szCs w:val="24"/>
                <w:lang w:eastAsia="zh-CN"/>
              </w:rPr>
              <w:t>。</w:t>
            </w:r>
          </w:p>
          <w:p w14:paraId="4A4AB3BD">
            <w:pPr>
              <w:pStyle w:val="52"/>
              <w:jc w:val="left"/>
              <w:rPr>
                <w:rFonts w:hint="eastAsia" w:ascii="宋体" w:hAnsi="宋体" w:eastAsia="宋体" w:cs="宋体"/>
                <w:color w:val="auto"/>
                <w:sz w:val="24"/>
                <w:szCs w:val="24"/>
              </w:rPr>
            </w:pPr>
            <w:r>
              <w:rPr>
                <w:rFonts w:hint="eastAsia" w:ascii="宋体" w:hAnsi="宋体" w:eastAsia="宋体" w:cs="宋体"/>
                <w:color w:val="auto"/>
                <w:sz w:val="24"/>
                <w:szCs w:val="24"/>
              </w:rPr>
              <w:t>①为本项目配备的服务团队人员上述条件齐全有效且达到</w:t>
            </w:r>
            <w:r>
              <w:rPr>
                <w:rFonts w:hint="eastAsia" w:ascii="宋体" w:hAnsi="宋体" w:cs="宋体"/>
                <w:color w:val="auto"/>
                <w:sz w:val="24"/>
                <w:szCs w:val="24"/>
                <w:lang w:val="en-US" w:eastAsia="zh-CN"/>
              </w:rPr>
              <w:t>12</w:t>
            </w:r>
            <w:r>
              <w:rPr>
                <w:rFonts w:hint="eastAsia" w:ascii="宋体" w:hAnsi="宋体" w:eastAsia="宋体" w:cs="宋体"/>
                <w:color w:val="auto"/>
                <w:sz w:val="24"/>
                <w:szCs w:val="24"/>
              </w:rPr>
              <w:t>人以上得5分；</w:t>
            </w:r>
          </w:p>
          <w:p w14:paraId="043D4BF5">
            <w:pPr>
              <w:pStyle w:val="52"/>
              <w:jc w:val="left"/>
              <w:rPr>
                <w:rFonts w:hint="eastAsia" w:ascii="宋体" w:hAnsi="宋体" w:eastAsia="宋体" w:cs="宋体"/>
                <w:color w:val="auto"/>
                <w:sz w:val="24"/>
                <w:szCs w:val="24"/>
              </w:rPr>
            </w:pPr>
            <w:r>
              <w:rPr>
                <w:rFonts w:hint="eastAsia" w:ascii="宋体" w:hAnsi="宋体" w:eastAsia="宋体" w:cs="宋体"/>
                <w:color w:val="auto"/>
                <w:sz w:val="24"/>
                <w:szCs w:val="24"/>
              </w:rPr>
              <w:t>②为本项目配备的服务团队人员上述条件齐全有效且达到</w:t>
            </w:r>
            <w:r>
              <w:rPr>
                <w:rFonts w:hint="eastAsia" w:ascii="宋体" w:hAnsi="宋体" w:cs="宋体"/>
                <w:color w:val="auto"/>
                <w:sz w:val="24"/>
                <w:szCs w:val="24"/>
                <w:lang w:val="en-US" w:eastAsia="zh-CN"/>
              </w:rPr>
              <w:t>8-12</w:t>
            </w:r>
            <w:r>
              <w:rPr>
                <w:rFonts w:hint="eastAsia" w:ascii="宋体" w:hAnsi="宋体" w:eastAsia="宋体" w:cs="宋体"/>
                <w:color w:val="auto"/>
                <w:sz w:val="24"/>
                <w:szCs w:val="24"/>
              </w:rPr>
              <w:t>人分得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14:paraId="74CF155F">
            <w:pPr>
              <w:keepNext w:val="0"/>
              <w:keepLines w:val="0"/>
              <w:pageBreakBefore w:val="0"/>
              <w:kinsoku/>
              <w:wordWrap/>
              <w:overflowPunct/>
              <w:topLinePunct w:val="0"/>
              <w:bidi w:val="0"/>
              <w:adjustRightInd/>
              <w:snapToGrid/>
              <w:spacing w:line="400" w:lineRule="exact"/>
              <w:ind w:left="0" w:right="0"/>
              <w:jc w:val="left"/>
              <w:textAlignment w:val="auto"/>
              <w:rPr>
                <w:rFonts w:hint="eastAsia" w:cs="宋体"/>
                <w:color w:val="auto"/>
                <w:kern w:val="2"/>
                <w:sz w:val="24"/>
                <w:szCs w:val="24"/>
                <w:highlight w:val="none"/>
                <w:lang w:val="en-US" w:eastAsia="zh-CN" w:bidi="ar-SA"/>
              </w:rPr>
            </w:pPr>
            <w:r>
              <w:rPr>
                <w:rFonts w:hint="eastAsia" w:ascii="宋体" w:hAnsi="宋体" w:eastAsia="宋体" w:cs="宋体"/>
                <w:color w:val="auto"/>
                <w:sz w:val="24"/>
                <w:szCs w:val="24"/>
              </w:rPr>
              <w:t>③人员配置</w:t>
            </w:r>
            <w:r>
              <w:rPr>
                <w:rFonts w:hint="eastAsia" w:ascii="宋体" w:hAnsi="宋体" w:cs="宋体"/>
                <w:color w:val="auto"/>
                <w:sz w:val="24"/>
                <w:szCs w:val="24"/>
                <w:lang w:val="en-US" w:eastAsia="zh-CN"/>
              </w:rPr>
              <w:t>不足</w:t>
            </w:r>
            <w:r>
              <w:rPr>
                <w:rFonts w:hint="eastAsia" w:cs="宋体"/>
                <w:color w:val="auto"/>
                <w:sz w:val="24"/>
                <w:szCs w:val="24"/>
                <w:lang w:val="en-US" w:eastAsia="zh-CN"/>
              </w:rPr>
              <w:t>8</w:t>
            </w:r>
            <w:r>
              <w:rPr>
                <w:rFonts w:hint="eastAsia" w:ascii="宋体" w:hAnsi="宋体" w:cs="宋体"/>
                <w:color w:val="auto"/>
                <w:sz w:val="24"/>
                <w:szCs w:val="24"/>
                <w:lang w:val="en-US" w:eastAsia="zh-CN"/>
              </w:rPr>
              <w:t>人得1分，少于</w:t>
            </w:r>
            <w:r>
              <w:rPr>
                <w:rFonts w:hint="eastAsia" w:cs="宋体"/>
                <w:color w:val="auto"/>
                <w:sz w:val="24"/>
                <w:szCs w:val="24"/>
                <w:lang w:val="en-US" w:eastAsia="zh-CN"/>
              </w:rPr>
              <w:t>7</w:t>
            </w:r>
            <w:r>
              <w:rPr>
                <w:rFonts w:hint="eastAsia" w:ascii="宋体" w:hAnsi="宋体" w:cs="宋体"/>
                <w:color w:val="auto"/>
                <w:sz w:val="24"/>
                <w:szCs w:val="24"/>
                <w:lang w:val="en-US" w:eastAsia="zh-CN"/>
              </w:rPr>
              <w:t>人得0分</w:t>
            </w:r>
            <w:r>
              <w:rPr>
                <w:rFonts w:hint="eastAsia" w:ascii="宋体" w:hAnsi="宋体" w:eastAsia="宋体" w:cs="宋体"/>
                <w:color w:val="auto"/>
                <w:sz w:val="24"/>
                <w:szCs w:val="24"/>
              </w:rPr>
              <w:t>。</w:t>
            </w:r>
          </w:p>
        </w:tc>
      </w:tr>
      <w:tr w14:paraId="5A094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4" w:hRule="atLeast"/>
        </w:trPr>
        <w:tc>
          <w:tcPr>
            <w:tcW w:w="789" w:type="dxa"/>
            <w:vMerge w:val="continue"/>
            <w:noWrap w:val="0"/>
            <w:vAlign w:val="center"/>
          </w:tcPr>
          <w:p w14:paraId="5E82386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0E89431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2633A4A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456031E9">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2"/>
                <w:sz w:val="24"/>
                <w:szCs w:val="24"/>
                <w:highlight w:val="none"/>
                <w:lang w:val="en-US" w:eastAsia="zh-CN" w:bidi="ar-SA"/>
              </w:rPr>
              <w:t>配送车辆（6分）</w:t>
            </w:r>
            <w:r>
              <w:rPr>
                <w:rFonts w:hint="eastAsia" w:ascii="宋体" w:hAnsi="宋体" w:eastAsia="宋体" w:cs="宋体"/>
                <w:color w:val="auto"/>
                <w:kern w:val="2"/>
                <w:sz w:val="24"/>
                <w:szCs w:val="24"/>
                <w:highlight w:val="none"/>
                <w:lang w:val="en-US" w:eastAsia="zh-CN" w:bidi="ar-SA"/>
              </w:rPr>
              <w:t>：投标人须具有</w:t>
            </w:r>
            <w:r>
              <w:rPr>
                <w:rFonts w:hint="eastAsia" w:cs="宋体"/>
                <w:color w:val="auto"/>
                <w:kern w:val="2"/>
                <w:sz w:val="24"/>
                <w:szCs w:val="24"/>
                <w:highlight w:val="none"/>
                <w:lang w:val="en-US" w:eastAsia="zh-CN" w:bidi="ar-SA"/>
              </w:rPr>
              <w:t>6</w:t>
            </w:r>
            <w:r>
              <w:rPr>
                <w:rFonts w:hint="eastAsia" w:ascii="宋体" w:hAnsi="宋体" w:eastAsia="宋体" w:cs="宋体"/>
                <w:color w:val="auto"/>
                <w:kern w:val="2"/>
                <w:sz w:val="24"/>
                <w:szCs w:val="24"/>
                <w:highlight w:val="none"/>
                <w:lang w:val="en-US" w:eastAsia="zh-CN" w:bidi="ar-SA"/>
              </w:rPr>
              <w:t>辆以上自有或租赁（租赁车辆须提供租赁合同等证明材料）符合安全运输标准的厢式运输专用车辆等相关配送设备，须提供车辆</w:t>
            </w:r>
            <w:r>
              <w:rPr>
                <w:rFonts w:hint="eastAsia" w:cs="宋体"/>
                <w:color w:val="auto"/>
                <w:kern w:val="2"/>
                <w:sz w:val="24"/>
                <w:szCs w:val="24"/>
                <w:highlight w:val="none"/>
                <w:lang w:val="en-US" w:eastAsia="zh-CN" w:bidi="ar-SA"/>
              </w:rPr>
              <w:t>（车辆照片彩页）、</w:t>
            </w:r>
            <w:r>
              <w:rPr>
                <w:rFonts w:hint="eastAsia" w:ascii="宋体" w:hAnsi="宋体" w:eastAsia="宋体" w:cs="宋体"/>
                <w:color w:val="auto"/>
                <w:kern w:val="2"/>
                <w:sz w:val="24"/>
                <w:szCs w:val="24"/>
                <w:highlight w:val="none"/>
                <w:lang w:val="en-US" w:eastAsia="zh-CN" w:bidi="ar-SA"/>
              </w:rPr>
              <w:t>行驶证满足项目基本配送车辆要求得3分（少于</w:t>
            </w:r>
            <w:r>
              <w:rPr>
                <w:rFonts w:hint="eastAsia" w:cs="宋体"/>
                <w:color w:val="auto"/>
                <w:kern w:val="2"/>
                <w:sz w:val="24"/>
                <w:szCs w:val="24"/>
                <w:highlight w:val="none"/>
                <w:lang w:val="en-US" w:eastAsia="zh-CN" w:bidi="ar-SA"/>
              </w:rPr>
              <w:t>6</w:t>
            </w:r>
            <w:r>
              <w:rPr>
                <w:rFonts w:hint="eastAsia" w:ascii="宋体" w:hAnsi="宋体" w:eastAsia="宋体" w:cs="宋体"/>
                <w:color w:val="auto"/>
                <w:kern w:val="2"/>
                <w:sz w:val="24"/>
                <w:szCs w:val="24"/>
                <w:highlight w:val="none"/>
                <w:lang w:val="en-US" w:eastAsia="zh-CN" w:bidi="ar-SA"/>
              </w:rPr>
              <w:t>辆不得分），车辆数量每增加1辆加1分，最多加3分，满分6分。</w:t>
            </w:r>
          </w:p>
        </w:tc>
      </w:tr>
      <w:tr w14:paraId="64B57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78" w:hRule="atLeast"/>
        </w:trPr>
        <w:tc>
          <w:tcPr>
            <w:tcW w:w="789" w:type="dxa"/>
            <w:vMerge w:val="continue"/>
            <w:noWrap w:val="0"/>
            <w:vAlign w:val="center"/>
          </w:tcPr>
          <w:p w14:paraId="0DB886B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noWrap w:val="0"/>
            <w:vAlign w:val="center"/>
          </w:tcPr>
          <w:p w14:paraId="700B2411">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467" w:type="dxa"/>
            <w:noWrap w:val="0"/>
            <w:vAlign w:val="center"/>
          </w:tcPr>
          <w:p w14:paraId="6D4D1999">
            <w:pPr>
              <w:pStyle w:val="50"/>
              <w:keepNext w:val="0"/>
              <w:keepLines w:val="0"/>
              <w:pageBreakBefore w:val="0"/>
              <w:tabs>
                <w:tab w:val="clear" w:pos="4153"/>
                <w:tab w:val="clear" w:pos="8306"/>
              </w:tabs>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质量及安全控制措施</w:t>
            </w:r>
            <w:r>
              <w:rPr>
                <w:rFonts w:hint="eastAsia" w:ascii="宋体" w:hAnsi="宋体" w:eastAsia="宋体" w:cs="宋体"/>
                <w:bCs/>
                <w:color w:val="auto"/>
                <w:sz w:val="24"/>
                <w:szCs w:val="24"/>
                <w:highlight w:val="none"/>
              </w:rPr>
              <w:t>（</w:t>
            </w:r>
            <w:r>
              <w:rPr>
                <w:rFonts w:hint="eastAsia" w:cs="宋体"/>
                <w:bCs/>
                <w:color w:val="auto"/>
                <w:sz w:val="24"/>
                <w:szCs w:val="24"/>
                <w:highlight w:val="none"/>
                <w:lang w:val="en-US" w:eastAsia="zh-CN"/>
              </w:rPr>
              <w:t>10</w:t>
            </w:r>
            <w:r>
              <w:rPr>
                <w:rFonts w:hint="eastAsia" w:ascii="宋体" w:hAnsi="宋体" w:eastAsia="宋体" w:cs="宋体"/>
                <w:bCs/>
                <w:color w:val="auto"/>
                <w:sz w:val="24"/>
                <w:szCs w:val="24"/>
                <w:highlight w:val="none"/>
              </w:rPr>
              <w:t>分）</w:t>
            </w:r>
          </w:p>
        </w:tc>
        <w:tc>
          <w:tcPr>
            <w:tcW w:w="6529" w:type="dxa"/>
            <w:noWrap w:val="0"/>
            <w:vAlign w:val="center"/>
          </w:tcPr>
          <w:p w14:paraId="4143039F">
            <w:pPr>
              <w:keepNext w:val="0"/>
              <w:keepLines w:val="0"/>
              <w:pageBreakBefore w:val="0"/>
              <w:numPr>
                <w:ilvl w:val="0"/>
                <w:numId w:val="12"/>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根据项目需求内容制定整体质量保证措施：方案至少包括①质量安全保证具体措施；②卫生安全；③货物的来源；④采购环节控制；⑤加工包装保存运输等环节。提供必要的证明材料复印件或扫描件（包括但不限于销售协议、代理商授权、检测报告等）。以上5项内容齐全，针对性强、条理清晰、表述准确得分10分。每缺少一项内容扣2分（缺陷是指在完整性、可实施性和针对性等方面存在瑕疵或实用性不强）。</w:t>
            </w:r>
          </w:p>
          <w:p w14:paraId="54DE146C">
            <w:pPr>
              <w:keepNext w:val="0"/>
              <w:keepLines w:val="0"/>
              <w:pageBreakBefore w:val="0"/>
              <w:numPr>
                <w:ilvl w:val="0"/>
                <w:numId w:val="12"/>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根据评审标准对供应商技术方案进行评审，每一条不符合本项目特点和实际需求，存在缺陷或实用性不强的扣1分，扣完为止。</w:t>
            </w:r>
          </w:p>
          <w:p w14:paraId="5B3AA37E">
            <w:pPr>
              <w:keepNext w:val="0"/>
              <w:keepLines w:val="0"/>
              <w:pageBreakBefore w:val="0"/>
              <w:numPr>
                <w:ilvl w:val="0"/>
                <w:numId w:val="12"/>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评审标准： </w:t>
            </w:r>
          </w:p>
          <w:p w14:paraId="49C2C641">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完整性：方案须全面，对评审内容中的各项要求有详细描述； </w:t>
            </w:r>
          </w:p>
          <w:p w14:paraId="7588FCB9">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可实施性：切合本项目实际情况，实施步骤清晰、合理； </w:t>
            </w:r>
          </w:p>
          <w:p w14:paraId="6AB158B1">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针对性：方案能够紧扣项目实际情况，内容科学合理。 </w:t>
            </w:r>
          </w:p>
        </w:tc>
      </w:tr>
      <w:tr w14:paraId="05E22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0" w:hRule="atLeast"/>
        </w:trPr>
        <w:tc>
          <w:tcPr>
            <w:tcW w:w="789" w:type="dxa"/>
            <w:vMerge w:val="continue"/>
            <w:noWrap w:val="0"/>
            <w:vAlign w:val="center"/>
          </w:tcPr>
          <w:p w14:paraId="0DA21D3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noWrap w:val="0"/>
            <w:vAlign w:val="center"/>
          </w:tcPr>
          <w:p w14:paraId="3369491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467" w:type="dxa"/>
            <w:noWrap w:val="0"/>
            <w:vAlign w:val="center"/>
          </w:tcPr>
          <w:p w14:paraId="62DEC2E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w:t>
            </w:r>
          </w:p>
          <w:p w14:paraId="15C9A16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p>
        </w:tc>
        <w:tc>
          <w:tcPr>
            <w:tcW w:w="6529" w:type="dxa"/>
            <w:noWrap w:val="0"/>
            <w:vAlign w:val="center"/>
          </w:tcPr>
          <w:p w14:paraId="17E8F91C">
            <w:pPr>
              <w:keepNext w:val="0"/>
              <w:keepLines w:val="0"/>
              <w:pageBreakBefore w:val="0"/>
              <w:numPr>
                <w:ilvl w:val="0"/>
                <w:numId w:val="13"/>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制定在验货时出现问题的方案：包括但不限于①</w:t>
            </w:r>
            <w:r>
              <w:rPr>
                <w:rFonts w:hint="eastAsia" w:cs="宋体"/>
                <w:color w:val="auto"/>
                <w:sz w:val="24"/>
                <w:szCs w:val="24"/>
                <w:highlight w:val="none"/>
                <w:lang w:val="en-US" w:eastAsia="zh-CN"/>
              </w:rPr>
              <w:t>应急方案措施；</w:t>
            </w:r>
            <w:r>
              <w:rPr>
                <w:rFonts w:hint="eastAsia" w:ascii="宋体" w:hAnsi="宋体" w:eastAsia="宋体" w:cs="宋体"/>
                <w:color w:val="auto"/>
                <w:sz w:val="24"/>
                <w:szCs w:val="24"/>
                <w:highlight w:val="none"/>
                <w:lang w:val="en-US" w:eastAsia="zh-CN"/>
              </w:rPr>
              <w:t>②响应速度快；③退换货服务方案描述无缺漏；</w:t>
            </w:r>
            <w:r>
              <w:rPr>
                <w:rFonts w:hint="eastAsia" w:cs="宋体"/>
                <w:color w:val="auto"/>
                <w:sz w:val="24"/>
                <w:szCs w:val="24"/>
                <w:highlight w:val="none"/>
                <w:lang w:val="en-US" w:eastAsia="zh-CN"/>
              </w:rPr>
              <w:t>④</w:t>
            </w:r>
            <w:r>
              <w:rPr>
                <w:rFonts w:hint="eastAsia" w:ascii="宋体" w:hAnsi="宋体" w:eastAsia="宋体" w:cs="宋体"/>
                <w:color w:val="auto"/>
                <w:sz w:val="24"/>
                <w:szCs w:val="24"/>
                <w:highlight w:val="none"/>
                <w:lang w:val="en-US" w:eastAsia="zh-CN"/>
              </w:rPr>
              <w:t>联系人员及电话。</w:t>
            </w:r>
          </w:p>
          <w:p w14:paraId="6244B482">
            <w:pPr>
              <w:keepNext w:val="0"/>
              <w:keepLines w:val="0"/>
              <w:pageBreakBefore w:val="0"/>
              <w:numPr>
                <w:ilvl w:val="0"/>
                <w:numId w:val="13"/>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项内容齐全，针对性强、条理清晰、表述准确得分</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分。每缺少一项内容扣</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分，每一项存在缺陷扣0.</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分（缺陷是指在完整性、可实施性和针对性等方面存在瑕疵或实用性不强）。</w:t>
            </w:r>
          </w:p>
          <w:p w14:paraId="0BAD7FB4">
            <w:pPr>
              <w:keepNext w:val="0"/>
              <w:keepLines w:val="0"/>
              <w:pageBreakBefore w:val="0"/>
              <w:numPr>
                <w:ilvl w:val="0"/>
                <w:numId w:val="13"/>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评审标准： </w:t>
            </w:r>
          </w:p>
          <w:p w14:paraId="73223D6A">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完整性：方案须全面，对评审内容中的各项要求有详细描述； </w:t>
            </w:r>
          </w:p>
          <w:p w14:paraId="5C23FE0E">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可实施性：切合本项目实际情况，实施步骤清晰、合理； </w:t>
            </w:r>
          </w:p>
          <w:p w14:paraId="77CCA404">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针对性：方案能够紧扣项目实际情况，内容科学合理。</w:t>
            </w:r>
          </w:p>
        </w:tc>
      </w:tr>
      <w:tr w14:paraId="0C360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0" w:hRule="atLeast"/>
        </w:trPr>
        <w:tc>
          <w:tcPr>
            <w:tcW w:w="789" w:type="dxa"/>
            <w:noWrap w:val="0"/>
            <w:vAlign w:val="center"/>
          </w:tcPr>
          <w:p w14:paraId="283781B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w:t>
            </w:r>
          </w:p>
          <w:p w14:paraId="1CE79784">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743" w:type="dxa"/>
            <w:noWrap w:val="0"/>
            <w:vAlign w:val="center"/>
          </w:tcPr>
          <w:p w14:paraId="65EED31F">
            <w:pPr>
              <w:keepNext w:val="0"/>
              <w:keepLines w:val="0"/>
              <w:pageBreakBefore w:val="0"/>
              <w:kinsoku/>
              <w:wordWrap/>
              <w:overflowPunct/>
              <w:topLinePunct w:val="0"/>
              <w:bidi w:val="0"/>
              <w:adjustRightInd/>
              <w:snapToGrid/>
              <w:spacing w:line="40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p>
        </w:tc>
        <w:tc>
          <w:tcPr>
            <w:tcW w:w="1467" w:type="dxa"/>
            <w:noWrap w:val="0"/>
            <w:vAlign w:val="center"/>
          </w:tcPr>
          <w:p w14:paraId="364B4EB3">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业绩</w:t>
            </w:r>
          </w:p>
          <w:p w14:paraId="2154866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p>
        </w:tc>
        <w:tc>
          <w:tcPr>
            <w:tcW w:w="6529" w:type="dxa"/>
            <w:noWrap w:val="0"/>
            <w:vAlign w:val="center"/>
          </w:tcPr>
          <w:p w14:paraId="61AB08FD">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供应商提供自2023年7月至今，具有同类项目业绩（</w:t>
            </w:r>
            <w:r>
              <w:rPr>
                <w:rFonts w:hint="eastAsia" w:cs="宋体"/>
                <w:color w:val="auto"/>
                <w:sz w:val="24"/>
                <w:szCs w:val="24"/>
                <w:highlight w:val="none"/>
                <w:lang w:val="en-US" w:eastAsia="zh-CN"/>
              </w:rPr>
              <w:t>包括但不限于各级各类学校、党政机关、企事业单位、医疗机构等食材配送服务项目</w:t>
            </w:r>
            <w:r>
              <w:rPr>
                <w:rFonts w:hint="eastAsia" w:ascii="宋体" w:hAnsi="宋体" w:eastAsia="宋体" w:cs="宋体"/>
                <w:color w:val="auto"/>
                <w:sz w:val="24"/>
                <w:szCs w:val="24"/>
                <w:highlight w:val="none"/>
                <w:lang w:val="en-US" w:eastAsia="zh-CN"/>
              </w:rPr>
              <w:t>），以合同复印件和中标通知书为准，每提供一个得</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分，满分</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tc>
      </w:tr>
      <w:tr w14:paraId="76B43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19" w:hRule="atLeast"/>
        </w:trPr>
        <w:tc>
          <w:tcPr>
            <w:tcW w:w="2999" w:type="dxa"/>
            <w:gridSpan w:val="3"/>
            <w:noWrap w:val="0"/>
            <w:vAlign w:val="center"/>
          </w:tcPr>
          <w:p w14:paraId="60BA6D5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评标程序</w:t>
            </w:r>
          </w:p>
          <w:p w14:paraId="2F5387F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p>
        </w:tc>
        <w:tc>
          <w:tcPr>
            <w:tcW w:w="6529" w:type="dxa"/>
            <w:noWrap w:val="0"/>
            <w:vAlign w:val="top"/>
          </w:tcPr>
          <w:p w14:paraId="0741D731">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1.开标后，由</w:t>
            </w:r>
            <w:r>
              <w:rPr>
                <w:rFonts w:hint="eastAsia" w:cs="宋体"/>
                <w:color w:val="auto"/>
                <w:sz w:val="24"/>
                <w:szCs w:val="24"/>
                <w:highlight w:val="none"/>
                <w:lang w:val="en-US" w:eastAsia="zh-CN"/>
              </w:rPr>
              <w:t>采购人或代理机构</w:t>
            </w:r>
            <w:r>
              <w:rPr>
                <w:rFonts w:hint="eastAsia" w:ascii="宋体" w:hAnsi="宋体" w:eastAsia="宋体" w:cs="宋体"/>
                <w:color w:val="auto"/>
                <w:sz w:val="24"/>
                <w:szCs w:val="24"/>
                <w:highlight w:val="none"/>
                <w:lang w:val="en-US" w:eastAsia="zh-CN"/>
              </w:rPr>
              <w:t xml:space="preserve">对投标单位进行资格性评审，资格性评审合格的响应文件进行符合性评审。不合格的单位，不再对其进行后续评审与分值评定。 </w:t>
            </w:r>
          </w:p>
          <w:p w14:paraId="071CDEC0">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2.如经过对所有供应商的响应文件进行评审，有效投标不足三个使得投标明显缺乏竞</w:t>
            </w:r>
            <w:r>
              <w:rPr>
                <w:rFonts w:hint="eastAsia" w:cs="宋体"/>
                <w:color w:val="auto"/>
                <w:sz w:val="24"/>
                <w:szCs w:val="24"/>
                <w:highlight w:val="none"/>
                <w:lang w:val="en-US" w:eastAsia="zh-CN"/>
              </w:rPr>
              <w:t>争性</w:t>
            </w:r>
            <w:r>
              <w:rPr>
                <w:rFonts w:hint="eastAsia" w:ascii="宋体" w:hAnsi="宋体" w:eastAsia="宋体" w:cs="宋体"/>
                <w:color w:val="auto"/>
                <w:sz w:val="24"/>
                <w:szCs w:val="24"/>
                <w:highlight w:val="none"/>
                <w:lang w:val="en-US" w:eastAsia="zh-CN"/>
              </w:rPr>
              <w:t>的，</w:t>
            </w:r>
            <w:r>
              <w:rPr>
                <w:rFonts w:hint="eastAsia" w:cs="宋体"/>
                <w:color w:val="auto"/>
                <w:sz w:val="24"/>
                <w:szCs w:val="24"/>
                <w:highlight w:val="none"/>
                <w:lang w:val="en-US" w:eastAsia="zh-CN"/>
              </w:rPr>
              <w:t>评标委员会</w:t>
            </w:r>
            <w:r>
              <w:rPr>
                <w:rFonts w:hint="eastAsia" w:ascii="宋体" w:hAnsi="宋体" w:eastAsia="宋体" w:cs="宋体"/>
                <w:color w:val="auto"/>
                <w:sz w:val="24"/>
                <w:szCs w:val="24"/>
                <w:highlight w:val="none"/>
                <w:lang w:val="en-US" w:eastAsia="zh-CN"/>
              </w:rPr>
              <w:t xml:space="preserve">可以否决全部投标。 </w:t>
            </w:r>
          </w:p>
          <w:p w14:paraId="326862E1">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评标委员会</w:t>
            </w:r>
            <w:r>
              <w:rPr>
                <w:rFonts w:hint="eastAsia" w:ascii="宋体" w:hAnsi="宋体" w:eastAsia="宋体" w:cs="宋体"/>
                <w:color w:val="auto"/>
                <w:sz w:val="24"/>
                <w:szCs w:val="24"/>
                <w:highlight w:val="none"/>
                <w:lang w:val="en-US" w:eastAsia="zh-CN"/>
              </w:rPr>
              <w:t>应当根据综合评分情况，按照评审得分由高到低顺序推荐 3 名以上成交候选供应商，并编写评审报告报采购人。评审得分相同的，按照最后报价由低到高的顺序推荐。评审得分且最后报价相同的，按照</w:t>
            </w:r>
            <w:r>
              <w:rPr>
                <w:rFonts w:hint="eastAsia"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方案优劣顺序推荐。</w:t>
            </w:r>
          </w:p>
        </w:tc>
      </w:tr>
    </w:tbl>
    <w:p w14:paraId="692095B7">
      <w:pPr>
        <w:rPr>
          <w:rFonts w:hint="eastAsia"/>
          <w:color w:val="auto"/>
          <w:highlight w:val="none"/>
          <w:lang w:val="en-US" w:eastAsia="zh-CN"/>
        </w:rPr>
      </w:pPr>
      <w:r>
        <w:rPr>
          <w:rFonts w:hint="eastAsia"/>
          <w:color w:val="auto"/>
          <w:highlight w:val="none"/>
          <w:lang w:val="en-US" w:eastAsia="zh-CN"/>
        </w:rPr>
        <w:br w:type="page"/>
      </w:r>
    </w:p>
    <w:p w14:paraId="4304650B">
      <w:pPr>
        <w:pStyle w:val="7"/>
        <w:keepNext w:val="0"/>
        <w:keepLines w:val="0"/>
        <w:pageBreakBefore w:val="0"/>
        <w:kinsoku/>
        <w:wordWrap/>
        <w:overflowPunct/>
        <w:topLinePunct w:val="0"/>
        <w:bidi w:val="0"/>
        <w:adjustRightInd/>
        <w:snapToGrid/>
        <w:spacing w:line="400" w:lineRule="exact"/>
        <w:ind w:left="0" w:leftChars="0" w:right="0" w:rightChars="0" w:firstLine="0" w:firstLineChars="0"/>
        <w:textAlignment w:val="auto"/>
        <w:rPr>
          <w:rFonts w:hint="eastAsia"/>
          <w:color w:val="auto"/>
          <w:highlight w:val="none"/>
          <w:lang w:val="en-US" w:eastAsia="zh-CN"/>
        </w:rPr>
      </w:pPr>
      <w:r>
        <w:rPr>
          <w:rFonts w:hint="eastAsia"/>
          <w:color w:val="auto"/>
          <w:highlight w:val="none"/>
          <w:lang w:val="en-US" w:eastAsia="zh-CN"/>
        </w:rPr>
        <w:t>合同包四：</w:t>
      </w:r>
      <w:r>
        <w:rPr>
          <w:rFonts w:hint="eastAsia" w:cs="宋体"/>
          <w:color w:val="auto"/>
          <w:highlight w:val="none"/>
          <w:lang w:val="en-US" w:eastAsia="zh-CN"/>
        </w:rPr>
        <w:t>B片区米面油、牛奶采购</w:t>
      </w:r>
    </w:p>
    <w:tbl>
      <w:tblPr>
        <w:tblStyle w:val="23"/>
        <w:tblW w:w="9528"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743"/>
        <w:gridCol w:w="1467"/>
        <w:gridCol w:w="6529"/>
      </w:tblGrid>
      <w:tr w14:paraId="6C33C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5" w:hRule="atLeast"/>
        </w:trPr>
        <w:tc>
          <w:tcPr>
            <w:tcW w:w="789" w:type="dxa"/>
            <w:noWrap w:val="0"/>
            <w:vAlign w:val="center"/>
          </w:tcPr>
          <w:p w14:paraId="69CE7C3E">
            <w:pPr>
              <w:pStyle w:val="49"/>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类别</w:t>
            </w:r>
          </w:p>
        </w:tc>
        <w:tc>
          <w:tcPr>
            <w:tcW w:w="743" w:type="dxa"/>
            <w:noWrap w:val="0"/>
            <w:vAlign w:val="center"/>
          </w:tcPr>
          <w:p w14:paraId="4828BD2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467" w:type="dxa"/>
            <w:noWrap w:val="0"/>
            <w:vAlign w:val="center"/>
          </w:tcPr>
          <w:p w14:paraId="24CDE10C">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评审要素及分值</w:t>
            </w:r>
          </w:p>
        </w:tc>
        <w:tc>
          <w:tcPr>
            <w:tcW w:w="6529" w:type="dxa"/>
            <w:noWrap w:val="0"/>
            <w:vAlign w:val="center"/>
          </w:tcPr>
          <w:p w14:paraId="3C60BD1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赋分标准</w:t>
            </w:r>
          </w:p>
        </w:tc>
      </w:tr>
      <w:tr w14:paraId="46D16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54" w:hRule="atLeast"/>
        </w:trPr>
        <w:tc>
          <w:tcPr>
            <w:tcW w:w="789" w:type="dxa"/>
            <w:noWrap w:val="0"/>
            <w:vAlign w:val="center"/>
          </w:tcPr>
          <w:p w14:paraId="553A84F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p w14:paraId="2DC69F3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w:t>
            </w:r>
          </w:p>
        </w:tc>
        <w:tc>
          <w:tcPr>
            <w:tcW w:w="743" w:type="dxa"/>
            <w:noWrap w:val="0"/>
            <w:vAlign w:val="center"/>
          </w:tcPr>
          <w:p w14:paraId="0FEF544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67" w:type="dxa"/>
            <w:noWrap w:val="0"/>
            <w:vAlign w:val="center"/>
          </w:tcPr>
          <w:p w14:paraId="2D92159F">
            <w:pPr>
              <w:keepNext w:val="0"/>
              <w:keepLines w:val="0"/>
              <w:pageBreakBefore w:val="0"/>
              <w:widowControl/>
              <w:kinsoku/>
              <w:wordWrap/>
              <w:overflowPunct/>
              <w:topLinePunct w:val="0"/>
              <w:bidi w:val="0"/>
              <w:adjustRightInd/>
              <w:snapToGrid/>
              <w:spacing w:line="400" w:lineRule="exact"/>
              <w:ind w:left="0" w:right="0" w:hanging="2"/>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w:t>
            </w:r>
          </w:p>
          <w:p w14:paraId="25ABC665">
            <w:pPr>
              <w:keepNext w:val="0"/>
              <w:keepLines w:val="0"/>
              <w:pageBreakBefore w:val="0"/>
              <w:widowControl/>
              <w:kinsoku/>
              <w:wordWrap/>
              <w:overflowPunct/>
              <w:topLinePunct w:val="0"/>
              <w:bidi w:val="0"/>
              <w:adjustRightInd/>
              <w:snapToGrid/>
              <w:spacing w:line="400" w:lineRule="exact"/>
              <w:ind w:left="0" w:right="0" w:hanging="2"/>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30分</w:t>
            </w:r>
            <w:r>
              <w:rPr>
                <w:rFonts w:hint="eastAsia" w:cs="宋体"/>
                <w:color w:val="auto"/>
                <w:sz w:val="24"/>
                <w:szCs w:val="24"/>
                <w:highlight w:val="none"/>
                <w:lang w:val="en-US" w:eastAsia="zh-CN"/>
              </w:rPr>
              <w:t>）</w:t>
            </w:r>
          </w:p>
        </w:tc>
        <w:tc>
          <w:tcPr>
            <w:tcW w:w="6529" w:type="dxa"/>
            <w:noWrap w:val="0"/>
            <w:vAlign w:val="center"/>
          </w:tcPr>
          <w:p w14:paraId="718D28EF">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以满足招标文件要求且投标报价最低的为评标基准价，其价格分为满分 30 分，其他供应商的价格分按照下列公式计算：投标报价得分=（评标基准价/投标报价）×30。</w:t>
            </w:r>
            <w:r>
              <w:rPr>
                <w:rFonts w:hint="eastAsia" w:cs="宋体"/>
                <w:color w:val="auto"/>
                <w:sz w:val="24"/>
                <w:szCs w:val="24"/>
                <w:highlight w:val="none"/>
                <w:lang w:val="en-US" w:eastAsia="zh-CN"/>
              </w:rPr>
              <w:t>（</w:t>
            </w:r>
            <w:r>
              <w:rPr>
                <w:rFonts w:hint="eastAsia"/>
                <w:b/>
                <w:bCs/>
                <w:color w:val="auto"/>
                <w:sz w:val="24"/>
                <w:szCs w:val="24"/>
                <w:lang w:val="en-US" w:eastAsia="zh-CN"/>
              </w:rPr>
              <w:t>符合招标文件规定的小微企业、监狱企业或残疾人福利性单位优惠条件的供应商，价格给予10%的扣除（不重复优惠，最高为10%），用扣除后的价格参与评审。</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 </w:t>
            </w:r>
          </w:p>
        </w:tc>
      </w:tr>
      <w:tr w14:paraId="06319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restart"/>
            <w:noWrap w:val="0"/>
            <w:vAlign w:val="center"/>
          </w:tcPr>
          <w:p w14:paraId="484CBD3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p>
          <w:p w14:paraId="3DF6D79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64</w:t>
            </w:r>
            <w:r>
              <w:rPr>
                <w:rFonts w:hint="eastAsia" w:ascii="宋体" w:hAnsi="宋体" w:eastAsia="宋体" w:cs="宋体"/>
                <w:color w:val="auto"/>
                <w:sz w:val="24"/>
                <w:szCs w:val="24"/>
                <w:highlight w:val="none"/>
              </w:rPr>
              <w:t>分</w:t>
            </w:r>
          </w:p>
        </w:tc>
        <w:tc>
          <w:tcPr>
            <w:tcW w:w="743" w:type="dxa"/>
            <w:vMerge w:val="restart"/>
            <w:noWrap w:val="0"/>
            <w:vAlign w:val="center"/>
          </w:tcPr>
          <w:p w14:paraId="552EBD6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467" w:type="dxa"/>
            <w:vMerge w:val="restart"/>
            <w:noWrap w:val="0"/>
            <w:vAlign w:val="center"/>
          </w:tcPr>
          <w:p w14:paraId="3C97A20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技术方案</w:t>
            </w:r>
          </w:p>
          <w:p w14:paraId="3F541CE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w:t>
            </w:r>
            <w:r>
              <w:rPr>
                <w:rFonts w:hint="eastAsia" w:cs="宋体"/>
                <w:bCs/>
                <w:color w:val="auto"/>
                <w:sz w:val="24"/>
                <w:szCs w:val="24"/>
                <w:highlight w:val="none"/>
                <w:lang w:val="en-US" w:eastAsia="zh-CN"/>
              </w:rPr>
              <w:t>50</w:t>
            </w:r>
            <w:r>
              <w:rPr>
                <w:rFonts w:hint="eastAsia" w:ascii="宋体" w:hAnsi="宋体" w:eastAsia="宋体" w:cs="宋体"/>
                <w:bCs/>
                <w:color w:val="auto"/>
                <w:sz w:val="24"/>
                <w:szCs w:val="24"/>
                <w:highlight w:val="none"/>
              </w:rPr>
              <w:t>分）</w:t>
            </w:r>
          </w:p>
        </w:tc>
        <w:tc>
          <w:tcPr>
            <w:tcW w:w="6529" w:type="dxa"/>
            <w:noWrap w:val="0"/>
            <w:vAlign w:val="center"/>
          </w:tcPr>
          <w:p w14:paraId="3D51D3DF">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产品渠道（5分）：</w:t>
            </w:r>
          </w:p>
          <w:p w14:paraId="19CEDDF1">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1.产品来源渠道合法且相关证明材料（包括但不限于销售协议、代理协议、原厂授权等）符合要求的得3分，提供但不完整的得2分，未提供或存在明显问题的得0分。</w:t>
            </w:r>
          </w:p>
          <w:p w14:paraId="0F0F891E">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2.核心产品生产厂家连带质量责任承担承诺，符合规范的得 2分，承诺不规范的得1分，无有效承诺的得0分。</w:t>
            </w:r>
          </w:p>
          <w:p w14:paraId="4764F704">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技术指标（1</w:t>
            </w:r>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提供所投产品执行</w:t>
            </w:r>
            <w:r>
              <w:rPr>
                <w:rFonts w:hint="eastAsia" w:cs="宋体"/>
                <w:color w:val="auto"/>
                <w:sz w:val="24"/>
                <w:szCs w:val="24"/>
                <w:highlight w:val="none"/>
                <w:lang w:val="en-US" w:eastAsia="zh-CN"/>
              </w:rPr>
              <w:t>国家</w:t>
            </w:r>
            <w:r>
              <w:rPr>
                <w:rFonts w:hint="eastAsia" w:ascii="宋体" w:hAnsi="宋体" w:eastAsia="宋体" w:cs="宋体"/>
                <w:color w:val="auto"/>
                <w:sz w:val="24"/>
                <w:szCs w:val="24"/>
                <w:highlight w:val="none"/>
                <w:lang w:val="en-US" w:eastAsia="zh-CN"/>
              </w:rPr>
              <w:t>标准所检测的本年度产品技术参数及质检报告，参数清晰明确，技术指标和规格完全满足招标文件要求，检测报告等印证资料齐全。</w:t>
            </w:r>
          </w:p>
          <w:p w14:paraId="76DB5DFA">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1.产品完全满足要求、质量优良，印证资料完善、符合标准规范、能充分佐证产品质量的，得1</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6F14B925">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2.产品满足要求、质量优良，印证资料较为完善、符合标准规范、能佐证产品质量的，得</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p w14:paraId="43E1E50B">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3.产品基本满足要求、质量合格，印证资料较为完善、基本符合标准规范、能佐证产品质量的，得</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2D245324">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4.产品不能满足要求，印证资料不完善、不符合标准规范、难以佐证产品质量的，得0分。</w:t>
            </w:r>
          </w:p>
          <w:p w14:paraId="5DCABC73">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ascii="宋体" w:hAnsi="宋体" w:eastAsia="宋体" w:cs="宋体"/>
                <w:b/>
                <w:bCs/>
                <w:color w:val="auto"/>
                <w:sz w:val="24"/>
                <w:szCs w:val="24"/>
                <w:highlight w:val="none"/>
                <w:lang w:val="en-US"/>
              </w:rPr>
            </w:pPr>
            <w:r>
              <w:rPr>
                <w:rFonts w:hint="eastAsia" w:cs="宋体"/>
                <w:b/>
                <w:bCs/>
                <w:color w:val="auto"/>
                <w:sz w:val="24"/>
                <w:szCs w:val="24"/>
                <w:highlight w:val="none"/>
                <w:lang w:val="en-US" w:eastAsia="zh-CN"/>
              </w:rPr>
              <w:t>（所有材料需提供原件的扫描件）</w:t>
            </w:r>
          </w:p>
        </w:tc>
      </w:tr>
      <w:tr w14:paraId="20488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89" w:hRule="atLeast"/>
        </w:trPr>
        <w:tc>
          <w:tcPr>
            <w:tcW w:w="789" w:type="dxa"/>
            <w:vMerge w:val="continue"/>
            <w:noWrap w:val="0"/>
            <w:vAlign w:val="center"/>
          </w:tcPr>
          <w:p w14:paraId="6353E4E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4CC57D41">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p>
        </w:tc>
        <w:tc>
          <w:tcPr>
            <w:tcW w:w="1467" w:type="dxa"/>
            <w:vMerge w:val="continue"/>
            <w:noWrap w:val="0"/>
            <w:vAlign w:val="center"/>
          </w:tcPr>
          <w:p w14:paraId="6DDDA1C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p>
        </w:tc>
        <w:tc>
          <w:tcPr>
            <w:tcW w:w="6529" w:type="dxa"/>
            <w:noWrap w:val="0"/>
            <w:vAlign w:val="center"/>
          </w:tcPr>
          <w:p w14:paraId="6ECBF962">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总体方案（</w:t>
            </w:r>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w:t>
            </w:r>
          </w:p>
          <w:p w14:paraId="0FF474E9">
            <w:pPr>
              <w:rPr>
                <w:rFonts w:hint="eastAsia" w:ascii="宋体" w:hAnsi="宋体" w:eastAsia="宋体" w:cs="宋体"/>
                <w:sz w:val="24"/>
                <w:szCs w:val="24"/>
              </w:rPr>
            </w:pPr>
            <w:r>
              <w:rPr>
                <w:rFonts w:hint="eastAsia" w:ascii="宋体" w:hAnsi="宋体" w:eastAsia="宋体" w:cs="宋体"/>
                <w:sz w:val="24"/>
                <w:szCs w:val="24"/>
              </w:rPr>
              <w:t>根据项目需求编制</w:t>
            </w:r>
            <w:r>
              <w:rPr>
                <w:rFonts w:hint="eastAsia" w:ascii="宋体" w:hAnsi="宋体" w:eastAsia="宋体" w:cs="宋体"/>
                <w:sz w:val="24"/>
                <w:szCs w:val="24"/>
                <w:lang w:eastAsia="zh-CN"/>
              </w:rPr>
              <w:t>实施</w:t>
            </w:r>
            <w:r>
              <w:rPr>
                <w:rFonts w:hint="eastAsia" w:ascii="宋体" w:hAnsi="宋体" w:eastAsia="宋体" w:cs="宋体"/>
                <w:sz w:val="24"/>
                <w:szCs w:val="24"/>
              </w:rPr>
              <w:t>方案</w:t>
            </w:r>
            <w:r>
              <w:rPr>
                <w:rFonts w:hint="eastAsia" w:ascii="宋体" w:hAnsi="宋体" w:cs="宋体"/>
                <w:sz w:val="24"/>
                <w:szCs w:val="24"/>
                <w:lang w:eastAsia="zh-CN"/>
              </w:rPr>
              <w:t>：</w:t>
            </w:r>
            <w:r>
              <w:rPr>
                <w:rFonts w:hint="eastAsia" w:ascii="宋体" w:hAnsi="宋体" w:cs="宋体"/>
                <w:sz w:val="24"/>
                <w:szCs w:val="24"/>
                <w:lang w:val="en-US" w:eastAsia="zh-CN"/>
              </w:rPr>
              <w:t>方案至少包括</w:t>
            </w:r>
            <w:r>
              <w:rPr>
                <w:rFonts w:hint="eastAsia" w:ascii="宋体" w:hAnsi="宋体" w:eastAsia="宋体" w:cs="宋体"/>
                <w:sz w:val="24"/>
                <w:szCs w:val="24"/>
              </w:rPr>
              <w:t>①供货保障</w:t>
            </w:r>
            <w:r>
              <w:rPr>
                <w:rFonts w:hint="eastAsia" w:ascii="宋体" w:hAnsi="宋体" w:cs="宋体"/>
                <w:sz w:val="24"/>
                <w:szCs w:val="24"/>
                <w:lang w:eastAsia="zh-CN"/>
              </w:rPr>
              <w:t>；</w:t>
            </w:r>
            <w:r>
              <w:rPr>
                <w:rFonts w:hint="eastAsia" w:ascii="宋体" w:hAnsi="宋体" w:eastAsia="宋体" w:cs="宋体"/>
                <w:sz w:val="24"/>
                <w:szCs w:val="24"/>
              </w:rPr>
              <w:t>②管理制度</w:t>
            </w:r>
            <w:r>
              <w:rPr>
                <w:rFonts w:hint="eastAsia" w:ascii="宋体" w:hAnsi="宋体" w:cs="宋体"/>
                <w:sz w:val="24"/>
                <w:szCs w:val="24"/>
                <w:lang w:eastAsia="zh-CN"/>
              </w:rPr>
              <w:t>；</w:t>
            </w:r>
            <w:r>
              <w:rPr>
                <w:rFonts w:hint="eastAsia" w:ascii="宋体" w:hAnsi="宋体" w:eastAsia="宋体" w:cs="宋体"/>
                <w:sz w:val="24"/>
                <w:szCs w:val="24"/>
              </w:rPr>
              <w:t>③运行模式</w:t>
            </w:r>
            <w:r>
              <w:rPr>
                <w:rFonts w:hint="eastAsia" w:ascii="宋体" w:hAnsi="宋体" w:cs="宋体"/>
                <w:sz w:val="24"/>
                <w:szCs w:val="24"/>
                <w:lang w:eastAsia="zh-CN"/>
              </w:rPr>
              <w:t>。</w:t>
            </w:r>
            <w:r>
              <w:rPr>
                <w:rFonts w:hint="eastAsia" w:ascii="宋体" w:hAnsi="宋体" w:eastAsia="宋体" w:cs="宋体"/>
                <w:sz w:val="24"/>
                <w:szCs w:val="24"/>
                <w:lang w:eastAsia="zh-CN"/>
              </w:rPr>
              <w:t>以上</w:t>
            </w:r>
            <w:r>
              <w:rPr>
                <w:rFonts w:hint="eastAsia" w:ascii="宋体" w:hAnsi="宋体" w:eastAsia="宋体" w:cs="宋体"/>
                <w:sz w:val="24"/>
                <w:szCs w:val="24"/>
                <w:lang w:val="en-US" w:eastAsia="zh-CN"/>
              </w:rPr>
              <w:t>3项内容齐全，针对性强、条理清晰、表述准确得分</w:t>
            </w:r>
            <w:r>
              <w:rPr>
                <w:rFonts w:hint="eastAsia" w:cs="宋体"/>
                <w:sz w:val="24"/>
                <w:szCs w:val="24"/>
                <w:lang w:val="en-US" w:eastAsia="zh-CN"/>
              </w:rPr>
              <w:t>6</w:t>
            </w:r>
            <w:r>
              <w:rPr>
                <w:rFonts w:hint="eastAsia" w:ascii="宋体" w:hAnsi="宋体" w:eastAsia="宋体" w:cs="宋体"/>
                <w:sz w:val="24"/>
                <w:szCs w:val="24"/>
                <w:lang w:val="en-US" w:eastAsia="zh-CN"/>
              </w:rPr>
              <w:t>分。每缺少一项内容扣</w:t>
            </w:r>
            <w:r>
              <w:rPr>
                <w:rFonts w:hint="eastAsia" w:cs="宋体"/>
                <w:sz w:val="24"/>
                <w:szCs w:val="24"/>
                <w:lang w:val="en-US" w:eastAsia="zh-CN"/>
              </w:rPr>
              <w:t>2</w:t>
            </w:r>
            <w:r>
              <w:rPr>
                <w:rFonts w:hint="eastAsia" w:ascii="宋体" w:hAnsi="宋体" w:eastAsia="宋体" w:cs="宋体"/>
                <w:sz w:val="24"/>
                <w:szCs w:val="24"/>
                <w:lang w:val="en-US" w:eastAsia="zh-CN"/>
              </w:rPr>
              <w:t>分（缺陷是指在完整性、可实施性和针对性等方面存在瑕疵或实用性不强）</w:t>
            </w:r>
            <w:r>
              <w:rPr>
                <w:rFonts w:hint="eastAsia" w:ascii="宋体" w:hAnsi="宋体" w:eastAsia="宋体" w:cs="宋体"/>
                <w:sz w:val="24"/>
                <w:szCs w:val="24"/>
              </w:rPr>
              <w:t>。</w:t>
            </w:r>
          </w:p>
          <w:p w14:paraId="777BAD36">
            <w:pPr>
              <w:rPr>
                <w:rFonts w:hint="eastAsia" w:ascii="宋体" w:hAnsi="宋体" w:eastAsia="宋体" w:cs="宋体"/>
                <w:sz w:val="24"/>
                <w:szCs w:val="24"/>
              </w:rPr>
            </w:pPr>
            <w:r>
              <w:rPr>
                <w:rFonts w:hint="eastAsia" w:ascii="宋体" w:hAnsi="宋体" w:eastAsia="宋体" w:cs="宋体"/>
                <w:sz w:val="24"/>
                <w:szCs w:val="24"/>
              </w:rPr>
              <w:t>根据评审标准对供应商技术方案进行评审，每一条不符合本项目特点和实际需求，存在缺陷或实用性不强的扣1分，扣完为止。</w:t>
            </w:r>
          </w:p>
          <w:p w14:paraId="5D69D1E0">
            <w:pPr>
              <w:rPr>
                <w:rFonts w:hint="eastAsia" w:ascii="宋体" w:hAnsi="宋体" w:eastAsia="宋体" w:cs="宋体"/>
                <w:sz w:val="24"/>
                <w:szCs w:val="24"/>
              </w:rPr>
            </w:pPr>
            <w:r>
              <w:rPr>
                <w:rFonts w:hint="eastAsia" w:ascii="宋体" w:hAnsi="宋体" w:eastAsia="宋体" w:cs="宋体"/>
                <w:sz w:val="24"/>
                <w:szCs w:val="24"/>
              </w:rPr>
              <w:t xml:space="preserve">评审标准： </w:t>
            </w:r>
          </w:p>
          <w:p w14:paraId="4FE996E8">
            <w:pPr>
              <w:rPr>
                <w:rFonts w:hint="eastAsia" w:ascii="宋体" w:hAnsi="宋体" w:eastAsia="宋体" w:cs="宋体"/>
                <w:sz w:val="24"/>
                <w:szCs w:val="24"/>
              </w:rPr>
            </w:pPr>
            <w:r>
              <w:rPr>
                <w:rFonts w:hint="eastAsia" w:ascii="宋体" w:hAnsi="宋体" w:eastAsia="宋体" w:cs="宋体"/>
                <w:sz w:val="24"/>
                <w:szCs w:val="24"/>
              </w:rPr>
              <w:t xml:space="preserve">完整性：方案须全面，对评审内容中的各项要求有详细描述； </w:t>
            </w:r>
          </w:p>
          <w:p w14:paraId="0765E60F">
            <w:pPr>
              <w:rPr>
                <w:rFonts w:hint="eastAsia" w:ascii="宋体" w:hAnsi="宋体" w:eastAsia="宋体" w:cs="宋体"/>
                <w:sz w:val="24"/>
                <w:szCs w:val="24"/>
              </w:rPr>
            </w:pPr>
            <w:r>
              <w:rPr>
                <w:rFonts w:hint="eastAsia" w:ascii="宋体" w:hAnsi="宋体" w:eastAsia="宋体" w:cs="宋体"/>
                <w:sz w:val="24"/>
                <w:szCs w:val="24"/>
              </w:rPr>
              <w:t xml:space="preserve">可实施性：切合本项目实际情况，实施步骤清晰、合理； </w:t>
            </w:r>
          </w:p>
          <w:p w14:paraId="7AFF464F">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针对性：方案能够紧扣项目实际情况，内容科学合理。 </w:t>
            </w:r>
          </w:p>
        </w:tc>
      </w:tr>
      <w:tr w14:paraId="5896F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continue"/>
            <w:noWrap w:val="0"/>
            <w:vAlign w:val="center"/>
          </w:tcPr>
          <w:p w14:paraId="16914840">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26CB4CC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5537C03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470A17D2">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仓储</w:t>
            </w:r>
            <w:r>
              <w:rPr>
                <w:rFonts w:hint="eastAsia" w:ascii="宋体" w:hAnsi="宋体" w:eastAsia="宋体" w:cs="宋体"/>
                <w:b/>
                <w:bCs/>
                <w:color w:val="auto"/>
                <w:sz w:val="24"/>
                <w:szCs w:val="24"/>
                <w:highlight w:val="none"/>
              </w:rPr>
              <w:t>和冷藏</w:t>
            </w:r>
            <w:r>
              <w:rPr>
                <w:rFonts w:hint="eastAsia" w:ascii="宋体" w:hAnsi="宋体" w:eastAsia="宋体" w:cs="宋体"/>
                <w:b/>
                <w:bCs/>
                <w:color w:val="auto"/>
                <w:sz w:val="24"/>
                <w:szCs w:val="24"/>
                <w:highlight w:val="none"/>
                <w:lang w:eastAsia="zh-CN"/>
              </w:rPr>
              <w:t>保</w:t>
            </w:r>
            <w:r>
              <w:rPr>
                <w:rFonts w:hint="eastAsia" w:ascii="宋体" w:hAnsi="宋体" w:eastAsia="宋体" w:cs="宋体"/>
                <w:b/>
                <w:bCs/>
                <w:color w:val="auto"/>
                <w:sz w:val="24"/>
                <w:szCs w:val="24"/>
                <w:highlight w:val="none"/>
              </w:rPr>
              <w:t>鲜</w:t>
            </w:r>
            <w:r>
              <w:rPr>
                <w:rFonts w:hint="eastAsia" w:ascii="宋体" w:hAnsi="宋体" w:eastAsia="宋体" w:cs="宋体"/>
                <w:b/>
                <w:bCs/>
                <w:color w:val="auto"/>
                <w:sz w:val="24"/>
                <w:szCs w:val="24"/>
                <w:highlight w:val="none"/>
                <w:lang w:val="en-US" w:eastAsia="zh-CN"/>
              </w:rPr>
              <w:t>能力（</w:t>
            </w:r>
            <w:r>
              <w:rPr>
                <w:rFonts w:hint="eastAsia" w:cs="宋体"/>
                <w:b/>
                <w:bCs/>
                <w:color w:val="auto"/>
                <w:sz w:val="24"/>
                <w:szCs w:val="24"/>
                <w:highlight w:val="none"/>
                <w:lang w:val="en-US" w:eastAsia="zh-CN"/>
              </w:rPr>
              <w:t>12</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kern w:val="2"/>
                <w:sz w:val="24"/>
                <w:szCs w:val="24"/>
                <w:highlight w:val="none"/>
                <w:lang w:val="en-US" w:eastAsia="zh-CN" w:bidi="ar-SA"/>
              </w:rPr>
              <w:t>：有独立的仓库，且为</w:t>
            </w:r>
            <w:r>
              <w:rPr>
                <w:rFonts w:hint="eastAsia" w:cs="宋体"/>
                <w:color w:val="auto"/>
                <w:kern w:val="2"/>
                <w:sz w:val="24"/>
                <w:szCs w:val="24"/>
                <w:highlight w:val="none"/>
                <w:lang w:val="en-US" w:eastAsia="zh-CN" w:bidi="ar-SA"/>
              </w:rPr>
              <w:t>食品</w:t>
            </w:r>
            <w:r>
              <w:rPr>
                <w:rFonts w:hint="eastAsia" w:ascii="宋体" w:hAnsi="宋体" w:eastAsia="宋体" w:cs="宋体"/>
                <w:color w:val="auto"/>
                <w:kern w:val="2"/>
                <w:sz w:val="24"/>
                <w:szCs w:val="24"/>
                <w:highlight w:val="none"/>
                <w:lang w:val="en-US" w:eastAsia="zh-CN" w:bidi="ar-SA"/>
              </w:rPr>
              <w:t>材料存储专用库</w:t>
            </w:r>
            <w:r>
              <w:rPr>
                <w:rFonts w:hint="eastAsia"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提供库房自有证明或租赁合同和仓储设备及其他能反映出其适合产品储存、周转的证明材料，满足相关食材所要求的存储要求</w:t>
            </w:r>
            <w:r>
              <w:rPr>
                <w:rFonts w:hint="eastAsia" w:cs="宋体"/>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en-US" w:eastAsia="zh-CN" w:bidi="ar-SA"/>
              </w:rPr>
              <w:t>证明材料中所用的照片必须为清晰的全方位彩色照片</w:t>
            </w:r>
            <w:r>
              <w:rPr>
                <w:rFonts w:hint="eastAsia" w:cs="宋体"/>
                <w:b/>
                <w:bCs/>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 </w:t>
            </w:r>
          </w:p>
          <w:p w14:paraId="25FDD7C3">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 xml:space="preserve"> 投标人有独立的仓库，且为</w:t>
            </w:r>
            <w:r>
              <w:rPr>
                <w:rFonts w:hint="eastAsia" w:cs="宋体"/>
                <w:color w:val="auto"/>
                <w:kern w:val="2"/>
                <w:sz w:val="24"/>
                <w:szCs w:val="24"/>
                <w:highlight w:val="none"/>
                <w:lang w:val="en-US" w:eastAsia="zh-CN" w:bidi="ar-SA"/>
              </w:rPr>
              <w:t>食品</w:t>
            </w:r>
            <w:r>
              <w:rPr>
                <w:rFonts w:hint="eastAsia" w:ascii="宋体" w:hAnsi="宋体" w:eastAsia="宋体" w:cs="宋体"/>
                <w:color w:val="auto"/>
                <w:kern w:val="2"/>
                <w:sz w:val="24"/>
                <w:szCs w:val="24"/>
                <w:highlight w:val="none"/>
                <w:lang w:val="en-US" w:eastAsia="zh-CN" w:bidi="ar-SA"/>
              </w:rPr>
              <w:t>材料存储专用库，根据库房位置、面积，以及提供库房场所自有或租赁证明资料、仓储设备证明材料、</w:t>
            </w:r>
            <w:r>
              <w:rPr>
                <w:rFonts w:hint="eastAsia" w:cs="宋体"/>
                <w:color w:val="auto"/>
                <w:kern w:val="2"/>
                <w:sz w:val="24"/>
                <w:szCs w:val="24"/>
                <w:highlight w:val="none"/>
                <w:lang w:val="en-US" w:eastAsia="zh-CN" w:bidi="ar-SA"/>
              </w:rPr>
              <w:t>仓库管理</w:t>
            </w:r>
            <w:r>
              <w:rPr>
                <w:rFonts w:hint="eastAsia" w:ascii="宋体" w:hAnsi="宋体" w:eastAsia="宋体" w:cs="宋体"/>
                <w:color w:val="auto"/>
                <w:kern w:val="2"/>
                <w:sz w:val="24"/>
                <w:szCs w:val="24"/>
                <w:highlight w:val="none"/>
                <w:lang w:val="en-US" w:eastAsia="zh-CN" w:bidi="ar-SA"/>
              </w:rPr>
              <w:t>制度等，库房面积≥300㎡，得4分；库房面积＜</w:t>
            </w:r>
            <w:r>
              <w:rPr>
                <w:rFonts w:hint="eastAsia"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00㎡</w:t>
            </w:r>
            <w:r>
              <w:rPr>
                <w:rFonts w:hint="eastAsia" w:ascii="宋体" w:hAnsi="宋体" w:eastAsia="宋体" w:cs="宋体"/>
                <w:color w:val="0000FF"/>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得</w:t>
            </w:r>
            <w:r>
              <w:rPr>
                <w:rFonts w:hint="eastAsia"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分</w:t>
            </w:r>
            <w:r>
              <w:rPr>
                <w:rFonts w:hint="eastAsia"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无独立库</w:t>
            </w:r>
            <w:r>
              <w:rPr>
                <w:rFonts w:hint="eastAsia" w:cs="宋体"/>
                <w:color w:val="auto"/>
                <w:kern w:val="2"/>
                <w:sz w:val="24"/>
                <w:szCs w:val="24"/>
                <w:highlight w:val="none"/>
                <w:lang w:val="en-US" w:eastAsia="zh-CN" w:bidi="ar-SA"/>
              </w:rPr>
              <w:t>房得0分</w:t>
            </w:r>
            <w:r>
              <w:rPr>
                <w:rFonts w:hint="eastAsia" w:ascii="宋体" w:hAnsi="宋体" w:eastAsia="宋体" w:cs="宋体"/>
                <w:color w:val="auto"/>
                <w:kern w:val="2"/>
                <w:sz w:val="24"/>
                <w:szCs w:val="24"/>
                <w:highlight w:val="none"/>
                <w:lang w:val="en-US" w:eastAsia="zh-CN" w:bidi="ar-SA"/>
              </w:rPr>
              <w:t xml:space="preserve">。 </w:t>
            </w:r>
          </w:p>
          <w:p w14:paraId="2B14263D">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 xml:space="preserve"> 仓库</w:t>
            </w:r>
            <w:r>
              <w:rPr>
                <w:rFonts w:hint="eastAsia" w:cs="宋体"/>
                <w:color w:val="auto"/>
                <w:kern w:val="2"/>
                <w:sz w:val="24"/>
                <w:szCs w:val="24"/>
                <w:highlight w:val="none"/>
                <w:lang w:val="en-US" w:eastAsia="zh-CN" w:bidi="ar-SA"/>
              </w:rPr>
              <w:t>条件能满足</w:t>
            </w:r>
            <w:r>
              <w:rPr>
                <w:rFonts w:hint="eastAsia" w:ascii="宋体" w:hAnsi="宋体" w:eastAsia="宋体" w:cs="宋体"/>
                <w:color w:val="auto"/>
                <w:kern w:val="2"/>
                <w:sz w:val="24"/>
                <w:szCs w:val="24"/>
                <w:highlight w:val="none"/>
                <w:lang w:val="en-US" w:eastAsia="zh-CN" w:bidi="ar-SA"/>
              </w:rPr>
              <w:t>相关食材存储所要求的</w:t>
            </w:r>
            <w:r>
              <w:rPr>
                <w:rFonts w:hint="eastAsia" w:cs="宋体"/>
                <w:color w:val="auto"/>
                <w:kern w:val="2"/>
                <w:sz w:val="24"/>
                <w:szCs w:val="24"/>
                <w:highlight w:val="none"/>
                <w:lang w:val="en-US" w:eastAsia="zh-CN" w:bidi="ar-SA"/>
              </w:rPr>
              <w:t>通风、</w:t>
            </w:r>
            <w:r>
              <w:rPr>
                <w:rFonts w:hint="eastAsia" w:ascii="宋体" w:hAnsi="宋体" w:eastAsia="宋体" w:cs="宋体"/>
                <w:color w:val="auto"/>
                <w:kern w:val="2"/>
                <w:sz w:val="24"/>
                <w:szCs w:val="24"/>
                <w:highlight w:val="none"/>
                <w:lang w:val="en-US" w:eastAsia="zh-CN" w:bidi="ar-SA"/>
              </w:rPr>
              <w:t>温</w:t>
            </w:r>
            <w:r>
              <w:rPr>
                <w:rFonts w:hint="eastAsia" w:cs="宋体"/>
                <w:color w:val="auto"/>
                <w:kern w:val="2"/>
                <w:sz w:val="24"/>
                <w:szCs w:val="24"/>
                <w:highlight w:val="none"/>
                <w:lang w:val="en-US" w:eastAsia="zh-CN" w:bidi="ar-SA"/>
              </w:rPr>
              <w:t>度</w:t>
            </w:r>
            <w:r>
              <w:rPr>
                <w:rFonts w:hint="eastAsia" w:ascii="宋体" w:hAnsi="宋体" w:eastAsia="宋体" w:cs="宋体"/>
                <w:color w:val="auto"/>
                <w:kern w:val="2"/>
                <w:sz w:val="24"/>
                <w:szCs w:val="24"/>
                <w:highlight w:val="none"/>
                <w:lang w:val="en-US" w:eastAsia="zh-CN" w:bidi="ar-SA"/>
              </w:rPr>
              <w:t>、湿度条件</w:t>
            </w:r>
            <w:r>
              <w:rPr>
                <w:rFonts w:hint="eastAsia" w:cs="宋体"/>
                <w:color w:val="auto"/>
                <w:kern w:val="2"/>
                <w:sz w:val="24"/>
                <w:szCs w:val="24"/>
                <w:highlight w:val="none"/>
                <w:lang w:val="en-US" w:eastAsia="zh-CN" w:bidi="ar-SA"/>
              </w:rPr>
              <w:t>的</w:t>
            </w:r>
            <w:r>
              <w:rPr>
                <w:rFonts w:hint="eastAsia" w:ascii="宋体" w:hAnsi="宋体" w:eastAsia="宋体" w:cs="宋体"/>
                <w:color w:val="auto"/>
                <w:kern w:val="2"/>
                <w:sz w:val="24"/>
                <w:szCs w:val="24"/>
                <w:highlight w:val="none"/>
                <w:lang w:val="en-US" w:eastAsia="zh-CN" w:bidi="ar-SA"/>
              </w:rPr>
              <w:t>得3分</w:t>
            </w:r>
            <w:r>
              <w:rPr>
                <w:rFonts w:hint="eastAsia" w:cs="宋体"/>
                <w:color w:val="auto"/>
                <w:kern w:val="2"/>
                <w:sz w:val="24"/>
                <w:szCs w:val="24"/>
                <w:highlight w:val="none"/>
                <w:lang w:val="en-US" w:eastAsia="zh-CN" w:bidi="ar-SA"/>
              </w:rPr>
              <w:t>，无法满足的得0分</w:t>
            </w:r>
            <w:r>
              <w:rPr>
                <w:rFonts w:hint="eastAsia" w:ascii="宋体" w:hAnsi="宋体" w:eastAsia="宋体" w:cs="宋体"/>
                <w:color w:val="auto"/>
                <w:kern w:val="2"/>
                <w:sz w:val="24"/>
                <w:szCs w:val="24"/>
                <w:highlight w:val="none"/>
                <w:lang w:val="en-US" w:eastAsia="zh-CN" w:bidi="ar-SA"/>
              </w:rPr>
              <w:t xml:space="preserve">。 </w:t>
            </w:r>
          </w:p>
          <w:p w14:paraId="5F60A61B">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 xml:space="preserve"> 库房“七防”设施（防火、防盗、防潮、防投毒、防鼠、防蝇、防尘）设施图片及制度齐全，得3分；不全得0分。 </w:t>
            </w:r>
          </w:p>
          <w:p w14:paraId="763B1F29">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rPr>
            </w:pP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 xml:space="preserve"> 库房</w:t>
            </w:r>
            <w:r>
              <w:rPr>
                <w:rFonts w:hint="eastAsia" w:cs="宋体"/>
                <w:color w:val="auto"/>
                <w:kern w:val="2"/>
                <w:sz w:val="24"/>
                <w:szCs w:val="24"/>
                <w:highlight w:val="none"/>
                <w:lang w:val="en-US" w:eastAsia="zh-CN" w:bidi="ar-SA"/>
              </w:rPr>
              <w:t>内</w:t>
            </w:r>
            <w:r>
              <w:rPr>
                <w:rFonts w:hint="eastAsia" w:ascii="宋体" w:hAnsi="宋体" w:eastAsia="宋体" w:cs="宋体"/>
                <w:color w:val="auto"/>
                <w:kern w:val="2"/>
                <w:sz w:val="24"/>
                <w:szCs w:val="24"/>
                <w:highlight w:val="none"/>
                <w:lang w:val="en-US" w:eastAsia="zh-CN" w:bidi="ar-SA"/>
              </w:rPr>
              <w:t>外安装有监控设备且全方位覆盖，得2分；未达到上述要求，得0分</w:t>
            </w:r>
            <w:r>
              <w:rPr>
                <w:rFonts w:hint="eastAsia" w:ascii="宋体" w:hAnsi="宋体" w:eastAsia="宋体" w:cs="宋体"/>
                <w:color w:val="auto"/>
                <w:kern w:val="0"/>
                <w:sz w:val="24"/>
                <w:szCs w:val="24"/>
                <w:lang w:val="en-US" w:eastAsia="zh-CN" w:bidi="ar"/>
              </w:rPr>
              <w:t>。</w:t>
            </w:r>
          </w:p>
        </w:tc>
      </w:tr>
      <w:tr w14:paraId="376D9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continue"/>
            <w:noWrap w:val="0"/>
            <w:vAlign w:val="center"/>
          </w:tcPr>
          <w:p w14:paraId="07348914">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033BA81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34F2DE9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121B7ACF">
            <w:pPr>
              <w:pStyle w:val="52"/>
              <w:jc w:val="left"/>
              <w:rPr>
                <w:rFonts w:hint="eastAsia" w:ascii="宋体" w:hAnsi="宋体" w:eastAsia="宋体" w:cs="宋体"/>
                <w:b/>
                <w:bCs/>
                <w:sz w:val="24"/>
                <w:szCs w:val="24"/>
                <w:lang w:eastAsia="zh-CN"/>
              </w:rPr>
            </w:pPr>
            <w:r>
              <w:rPr>
                <w:rFonts w:hint="eastAsia" w:ascii="宋体" w:hAnsi="宋体" w:eastAsia="宋体" w:cs="宋体"/>
                <w:b/>
                <w:bCs/>
                <w:sz w:val="24"/>
                <w:szCs w:val="24"/>
              </w:rPr>
              <w:t>人员配备</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5分</w:t>
            </w:r>
            <w:r>
              <w:rPr>
                <w:rFonts w:hint="eastAsia" w:ascii="宋体" w:hAnsi="宋体" w:eastAsia="宋体" w:cs="宋体"/>
                <w:b/>
                <w:bCs/>
                <w:sz w:val="24"/>
                <w:szCs w:val="24"/>
                <w:lang w:eastAsia="zh-CN"/>
              </w:rPr>
              <w:t>）</w:t>
            </w:r>
          </w:p>
          <w:p w14:paraId="614B81D9">
            <w:pPr>
              <w:pStyle w:val="52"/>
              <w:jc w:val="left"/>
              <w:rPr>
                <w:rFonts w:hint="eastAsia" w:ascii="宋体" w:hAnsi="宋体" w:cs="宋体"/>
                <w:sz w:val="24"/>
                <w:szCs w:val="24"/>
                <w:lang w:eastAsia="zh-CN"/>
              </w:rPr>
            </w:pPr>
            <w:r>
              <w:rPr>
                <w:rFonts w:hint="eastAsia" w:ascii="宋体" w:hAnsi="宋体" w:eastAsia="宋体" w:cs="宋体"/>
                <w:sz w:val="24"/>
                <w:szCs w:val="24"/>
              </w:rPr>
              <w:t>岗位设置齐全、职责明确、人员配置合理充足，</w:t>
            </w:r>
            <w:r>
              <w:rPr>
                <w:rFonts w:hint="eastAsia" w:ascii="宋体" w:hAnsi="宋体" w:eastAsia="宋体" w:cs="宋体"/>
                <w:sz w:val="24"/>
                <w:szCs w:val="24"/>
                <w:lang w:val="en-US" w:eastAsia="zh-CN"/>
              </w:rPr>
              <w:t>相关</w:t>
            </w:r>
            <w:r>
              <w:rPr>
                <w:rFonts w:hint="eastAsia" w:ascii="宋体" w:hAnsi="宋体" w:eastAsia="宋体" w:cs="宋体"/>
                <w:sz w:val="24"/>
                <w:szCs w:val="24"/>
              </w:rPr>
              <w:t>人员提供人员身份证、健康证</w:t>
            </w:r>
            <w:r>
              <w:rPr>
                <w:rFonts w:hint="eastAsia" w:ascii="宋体" w:hAnsi="宋体" w:eastAsia="宋体" w:cs="宋体"/>
                <w:sz w:val="24"/>
                <w:szCs w:val="24"/>
                <w:lang w:eastAsia="zh-CN"/>
              </w:rPr>
              <w:t>、</w:t>
            </w:r>
            <w:r>
              <w:rPr>
                <w:rFonts w:hint="eastAsia" w:ascii="宋体" w:hAnsi="宋体" w:eastAsia="宋体" w:cs="宋体"/>
                <w:sz w:val="24"/>
                <w:szCs w:val="24"/>
              </w:rPr>
              <w:t>劳务合同</w:t>
            </w:r>
            <w:r>
              <w:rPr>
                <w:rFonts w:hint="eastAsia" w:ascii="宋体" w:hAnsi="宋体" w:eastAsia="宋体" w:cs="宋体"/>
                <w:sz w:val="24"/>
                <w:szCs w:val="24"/>
                <w:lang w:val="en-US" w:eastAsia="zh-CN"/>
              </w:rPr>
              <w:t>及无犯罪证明</w:t>
            </w:r>
            <w:r>
              <w:rPr>
                <w:rFonts w:hint="eastAsia" w:ascii="宋体" w:hAnsi="宋体" w:eastAsia="宋体" w:cs="宋体"/>
                <w:sz w:val="24"/>
                <w:szCs w:val="24"/>
              </w:rPr>
              <w:t>等</w:t>
            </w:r>
            <w:r>
              <w:rPr>
                <w:rFonts w:hint="eastAsia" w:ascii="宋体" w:hAnsi="宋体" w:cs="宋体"/>
                <w:sz w:val="24"/>
                <w:szCs w:val="24"/>
                <w:lang w:eastAsia="zh-CN"/>
              </w:rPr>
              <w:t>；</w:t>
            </w:r>
            <w:r>
              <w:rPr>
                <w:rFonts w:hint="eastAsia" w:ascii="宋体" w:hAnsi="宋体" w:eastAsia="宋体" w:cs="宋体"/>
                <w:sz w:val="24"/>
                <w:szCs w:val="24"/>
              </w:rPr>
              <w:t>司机</w:t>
            </w:r>
            <w:r>
              <w:rPr>
                <w:rFonts w:hint="eastAsia" w:ascii="宋体" w:hAnsi="宋体" w:eastAsia="宋体" w:cs="宋体"/>
                <w:sz w:val="24"/>
                <w:szCs w:val="24"/>
                <w:lang w:val="en-US" w:eastAsia="zh-CN"/>
              </w:rPr>
              <w:t>还须提供</w:t>
            </w:r>
            <w:r>
              <w:rPr>
                <w:rFonts w:hint="eastAsia" w:ascii="宋体" w:hAnsi="宋体" w:eastAsia="宋体" w:cs="宋体"/>
                <w:sz w:val="24"/>
                <w:szCs w:val="24"/>
              </w:rPr>
              <w:t>驾驶证</w:t>
            </w:r>
            <w:r>
              <w:rPr>
                <w:rFonts w:hint="eastAsia" w:ascii="宋体" w:hAnsi="宋体" w:cs="宋体"/>
                <w:sz w:val="24"/>
                <w:szCs w:val="24"/>
                <w:lang w:eastAsia="zh-CN"/>
              </w:rPr>
              <w:t>。</w:t>
            </w:r>
          </w:p>
          <w:p w14:paraId="2C3026E5">
            <w:pPr>
              <w:pStyle w:val="52"/>
              <w:jc w:val="left"/>
              <w:rPr>
                <w:rFonts w:hint="eastAsia" w:ascii="宋体" w:hAnsi="宋体" w:eastAsia="宋体" w:cs="宋体"/>
                <w:sz w:val="24"/>
                <w:szCs w:val="24"/>
              </w:rPr>
            </w:pPr>
            <w:r>
              <w:rPr>
                <w:rFonts w:hint="eastAsia" w:ascii="宋体" w:hAnsi="宋体" w:eastAsia="宋体" w:cs="宋体"/>
                <w:sz w:val="24"/>
                <w:szCs w:val="24"/>
              </w:rPr>
              <w:t>①为本项目配备的服务团队人员上述条件齐全有效且达到</w:t>
            </w:r>
            <w:r>
              <w:rPr>
                <w:rFonts w:hint="eastAsia" w:ascii="宋体" w:hAnsi="宋体" w:cs="宋体"/>
                <w:sz w:val="24"/>
                <w:szCs w:val="24"/>
                <w:lang w:val="en-US" w:eastAsia="zh-CN"/>
              </w:rPr>
              <w:t>5</w:t>
            </w:r>
            <w:r>
              <w:rPr>
                <w:rFonts w:hint="eastAsia" w:ascii="宋体" w:hAnsi="宋体" w:eastAsia="宋体" w:cs="宋体"/>
                <w:sz w:val="24"/>
                <w:szCs w:val="24"/>
              </w:rPr>
              <w:t>人以上得5分；</w:t>
            </w:r>
          </w:p>
          <w:p w14:paraId="60C3B7AE">
            <w:pPr>
              <w:pStyle w:val="52"/>
              <w:jc w:val="left"/>
              <w:rPr>
                <w:rFonts w:hint="eastAsia" w:ascii="宋体" w:hAnsi="宋体" w:eastAsia="宋体" w:cs="宋体"/>
                <w:sz w:val="24"/>
                <w:szCs w:val="24"/>
              </w:rPr>
            </w:pPr>
            <w:r>
              <w:rPr>
                <w:rFonts w:hint="eastAsia" w:ascii="宋体" w:hAnsi="宋体" w:eastAsia="宋体" w:cs="宋体"/>
                <w:sz w:val="24"/>
                <w:szCs w:val="24"/>
              </w:rPr>
              <w:t>②为本项目配备的服务团队人员上述条件齐全有效且达到</w:t>
            </w:r>
            <w:r>
              <w:rPr>
                <w:rFonts w:hint="eastAsia" w:ascii="宋体" w:hAnsi="宋体" w:cs="宋体"/>
                <w:sz w:val="24"/>
                <w:szCs w:val="24"/>
                <w:lang w:val="en-US" w:eastAsia="zh-CN"/>
              </w:rPr>
              <w:t>3</w:t>
            </w:r>
            <w:r>
              <w:rPr>
                <w:rFonts w:hint="eastAsia" w:ascii="宋体" w:hAnsi="宋体" w:eastAsia="宋体" w:cs="宋体"/>
                <w:sz w:val="24"/>
                <w:szCs w:val="24"/>
              </w:rPr>
              <w:t>～</w:t>
            </w:r>
            <w:r>
              <w:rPr>
                <w:rFonts w:hint="eastAsia" w:ascii="宋体" w:hAnsi="宋体" w:cs="宋体"/>
                <w:sz w:val="24"/>
                <w:szCs w:val="24"/>
                <w:lang w:val="en-US" w:eastAsia="zh-CN"/>
              </w:rPr>
              <w:t>4</w:t>
            </w:r>
            <w:r>
              <w:rPr>
                <w:rFonts w:hint="eastAsia" w:ascii="宋体" w:hAnsi="宋体" w:eastAsia="宋体" w:cs="宋体"/>
                <w:sz w:val="24"/>
                <w:szCs w:val="24"/>
              </w:rPr>
              <w:t>人分得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3FBB261A">
            <w:pPr>
              <w:keepNext w:val="0"/>
              <w:keepLines w:val="0"/>
              <w:pageBreakBefore w:val="0"/>
              <w:kinsoku/>
              <w:wordWrap/>
              <w:overflowPunct/>
              <w:topLinePunct w:val="0"/>
              <w:bidi w:val="0"/>
              <w:adjustRightInd/>
              <w:snapToGrid/>
              <w:spacing w:line="400" w:lineRule="exact"/>
              <w:ind w:left="0" w:right="0"/>
              <w:jc w:val="left"/>
              <w:textAlignment w:val="auto"/>
              <w:rPr>
                <w:rFonts w:hint="eastAsia" w:cs="宋体"/>
                <w:color w:val="auto"/>
                <w:kern w:val="2"/>
                <w:sz w:val="24"/>
                <w:szCs w:val="24"/>
                <w:highlight w:val="none"/>
                <w:lang w:val="en-US" w:eastAsia="zh-CN" w:bidi="ar-SA"/>
              </w:rPr>
            </w:pPr>
            <w:r>
              <w:rPr>
                <w:rFonts w:hint="eastAsia" w:ascii="宋体" w:hAnsi="宋体" w:eastAsia="宋体" w:cs="宋体"/>
                <w:sz w:val="24"/>
                <w:szCs w:val="24"/>
              </w:rPr>
              <w:t>③人员配置</w:t>
            </w:r>
            <w:r>
              <w:rPr>
                <w:rFonts w:hint="eastAsia" w:ascii="宋体" w:hAnsi="宋体" w:cs="宋体"/>
                <w:sz w:val="24"/>
                <w:szCs w:val="24"/>
                <w:lang w:val="en-US" w:eastAsia="zh-CN"/>
              </w:rPr>
              <w:t>不足3人得1分，少于2人得0分</w:t>
            </w:r>
            <w:r>
              <w:rPr>
                <w:rFonts w:hint="eastAsia" w:ascii="宋体" w:hAnsi="宋体" w:eastAsia="宋体" w:cs="宋体"/>
                <w:sz w:val="24"/>
                <w:szCs w:val="24"/>
              </w:rPr>
              <w:t>。</w:t>
            </w:r>
          </w:p>
        </w:tc>
      </w:tr>
      <w:tr w14:paraId="6E14A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4" w:hRule="atLeast"/>
        </w:trPr>
        <w:tc>
          <w:tcPr>
            <w:tcW w:w="789" w:type="dxa"/>
            <w:vMerge w:val="continue"/>
            <w:noWrap w:val="0"/>
            <w:vAlign w:val="center"/>
          </w:tcPr>
          <w:p w14:paraId="640C077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53E5A1D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1391A2B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0B458A31">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2"/>
                <w:sz w:val="24"/>
                <w:szCs w:val="24"/>
                <w:highlight w:val="none"/>
                <w:lang w:val="en-US" w:eastAsia="zh-CN" w:bidi="ar-SA"/>
              </w:rPr>
              <w:t>配送车辆（6分）</w:t>
            </w:r>
            <w:r>
              <w:rPr>
                <w:rFonts w:hint="eastAsia" w:ascii="宋体" w:hAnsi="宋体" w:eastAsia="宋体" w:cs="宋体"/>
                <w:color w:val="auto"/>
                <w:kern w:val="2"/>
                <w:sz w:val="24"/>
                <w:szCs w:val="24"/>
                <w:highlight w:val="none"/>
                <w:lang w:val="en-US" w:eastAsia="zh-CN" w:bidi="ar-SA"/>
              </w:rPr>
              <w:t>：投标人须具有</w:t>
            </w: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辆以上自有或租赁（租赁车辆须提供租赁合同等证明材料）符合安全运输标准的厢式运输专用车辆等相关配送设备，须提供车辆</w:t>
            </w:r>
            <w:r>
              <w:rPr>
                <w:rFonts w:hint="eastAsia" w:cs="宋体"/>
                <w:color w:val="auto"/>
                <w:kern w:val="2"/>
                <w:sz w:val="24"/>
                <w:szCs w:val="24"/>
                <w:highlight w:val="none"/>
                <w:lang w:val="en-US" w:eastAsia="zh-CN" w:bidi="ar-SA"/>
              </w:rPr>
              <w:t>（车辆照片彩页）、</w:t>
            </w:r>
            <w:r>
              <w:rPr>
                <w:rFonts w:hint="eastAsia" w:ascii="宋体" w:hAnsi="宋体" w:eastAsia="宋体" w:cs="宋体"/>
                <w:color w:val="auto"/>
                <w:kern w:val="2"/>
                <w:sz w:val="24"/>
                <w:szCs w:val="24"/>
                <w:highlight w:val="none"/>
                <w:lang w:val="en-US" w:eastAsia="zh-CN" w:bidi="ar-SA"/>
              </w:rPr>
              <w:t>行驶证满足项目基本配送车辆要求得3分（少于</w:t>
            </w: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辆不得分），车辆数量每增加1辆加1分，最多加3分，满分6分。</w:t>
            </w:r>
          </w:p>
        </w:tc>
      </w:tr>
      <w:tr w14:paraId="58324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78" w:hRule="atLeast"/>
        </w:trPr>
        <w:tc>
          <w:tcPr>
            <w:tcW w:w="789" w:type="dxa"/>
            <w:vMerge w:val="continue"/>
            <w:noWrap w:val="0"/>
            <w:vAlign w:val="center"/>
          </w:tcPr>
          <w:p w14:paraId="56EEAB2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noWrap w:val="0"/>
            <w:vAlign w:val="center"/>
          </w:tcPr>
          <w:p w14:paraId="11033BB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467" w:type="dxa"/>
            <w:noWrap w:val="0"/>
            <w:vAlign w:val="center"/>
          </w:tcPr>
          <w:p w14:paraId="52293296">
            <w:pPr>
              <w:pStyle w:val="50"/>
              <w:keepNext w:val="0"/>
              <w:keepLines w:val="0"/>
              <w:pageBreakBefore w:val="0"/>
              <w:tabs>
                <w:tab w:val="clear" w:pos="4153"/>
                <w:tab w:val="clear" w:pos="8306"/>
              </w:tabs>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质量及安全控制措施</w:t>
            </w:r>
            <w:r>
              <w:rPr>
                <w:rFonts w:hint="eastAsia" w:ascii="宋体" w:hAnsi="宋体" w:eastAsia="宋体" w:cs="宋体"/>
                <w:bCs/>
                <w:color w:val="auto"/>
                <w:sz w:val="24"/>
                <w:szCs w:val="24"/>
                <w:highlight w:val="none"/>
              </w:rPr>
              <w:t>（</w:t>
            </w:r>
            <w:r>
              <w:rPr>
                <w:rFonts w:hint="eastAsia" w:cs="宋体"/>
                <w:bCs/>
                <w:color w:val="auto"/>
                <w:sz w:val="24"/>
                <w:szCs w:val="24"/>
                <w:highlight w:val="none"/>
                <w:lang w:val="en-US" w:eastAsia="zh-CN"/>
              </w:rPr>
              <w:t>10</w:t>
            </w:r>
            <w:r>
              <w:rPr>
                <w:rFonts w:hint="eastAsia" w:ascii="宋体" w:hAnsi="宋体" w:eastAsia="宋体" w:cs="宋体"/>
                <w:bCs/>
                <w:color w:val="auto"/>
                <w:sz w:val="24"/>
                <w:szCs w:val="24"/>
                <w:highlight w:val="none"/>
              </w:rPr>
              <w:t>分）</w:t>
            </w:r>
          </w:p>
        </w:tc>
        <w:tc>
          <w:tcPr>
            <w:tcW w:w="6529" w:type="dxa"/>
            <w:noWrap w:val="0"/>
            <w:vAlign w:val="center"/>
          </w:tcPr>
          <w:p w14:paraId="3B35CDA1">
            <w:pPr>
              <w:keepNext w:val="0"/>
              <w:keepLines w:val="0"/>
              <w:pageBreakBefore w:val="0"/>
              <w:numPr>
                <w:ilvl w:val="0"/>
                <w:numId w:val="12"/>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根据项目需求内容制定整体质量保证措施：方案至少包括①质量安全保证具体措施；②卫生安全；③货物的来源；④采购环节控制；⑤加工包装保存运输等环节。提供必要的证明材料复印件或扫描件（包括但不限于销售协议、代理商授权、检测报告等）。以上5项内容齐全，针对性强、条理清晰、表述准确得分10分。每缺少一项内容扣2分（缺陷是指在完整性、可实施性和针对性等方面存在瑕疵或实用性不强）。</w:t>
            </w:r>
          </w:p>
          <w:p w14:paraId="65D0E840">
            <w:pPr>
              <w:keepNext w:val="0"/>
              <w:keepLines w:val="0"/>
              <w:pageBreakBefore w:val="0"/>
              <w:numPr>
                <w:ilvl w:val="0"/>
                <w:numId w:val="14"/>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根据评审标准对供应商技术方案进行评审，每一条不符合本项目特点和实际需求，存在缺陷或实用性不强的扣1分，扣完为止。</w:t>
            </w:r>
          </w:p>
          <w:p w14:paraId="649D5BC7">
            <w:pPr>
              <w:keepNext w:val="0"/>
              <w:keepLines w:val="0"/>
              <w:pageBreakBefore w:val="0"/>
              <w:numPr>
                <w:ilvl w:val="0"/>
                <w:numId w:val="14"/>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评审标准： </w:t>
            </w:r>
          </w:p>
          <w:p w14:paraId="1BE6B0D3">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完整性：方案须全面，对评审内容中的各项要求有详细描述； </w:t>
            </w:r>
          </w:p>
          <w:p w14:paraId="72B390E7">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可实施性：切合本项目实际情况，实施步骤清晰、合理； </w:t>
            </w:r>
          </w:p>
          <w:p w14:paraId="741FC439">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针对性：方案能够紧扣项目实际情况，内容科学合理。 </w:t>
            </w:r>
          </w:p>
        </w:tc>
      </w:tr>
      <w:tr w14:paraId="563D4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0" w:hRule="atLeast"/>
        </w:trPr>
        <w:tc>
          <w:tcPr>
            <w:tcW w:w="789" w:type="dxa"/>
            <w:vMerge w:val="continue"/>
            <w:noWrap w:val="0"/>
            <w:vAlign w:val="center"/>
          </w:tcPr>
          <w:p w14:paraId="61B047F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noWrap w:val="0"/>
            <w:vAlign w:val="center"/>
          </w:tcPr>
          <w:p w14:paraId="4183B52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467" w:type="dxa"/>
            <w:noWrap w:val="0"/>
            <w:vAlign w:val="center"/>
          </w:tcPr>
          <w:p w14:paraId="76EE84B4">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w:t>
            </w:r>
          </w:p>
          <w:p w14:paraId="3E6D7E2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p>
        </w:tc>
        <w:tc>
          <w:tcPr>
            <w:tcW w:w="6529" w:type="dxa"/>
            <w:noWrap w:val="0"/>
            <w:vAlign w:val="center"/>
          </w:tcPr>
          <w:p w14:paraId="48C9E606">
            <w:pPr>
              <w:keepNext w:val="0"/>
              <w:keepLines w:val="0"/>
              <w:pageBreakBefore w:val="0"/>
              <w:numPr>
                <w:ilvl w:val="0"/>
                <w:numId w:val="15"/>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制定在验货时出现问题的方案：包括但不限于①</w:t>
            </w:r>
            <w:r>
              <w:rPr>
                <w:rFonts w:hint="eastAsia" w:cs="宋体"/>
                <w:color w:val="auto"/>
                <w:sz w:val="24"/>
                <w:szCs w:val="24"/>
                <w:highlight w:val="none"/>
                <w:lang w:val="en-US" w:eastAsia="zh-CN"/>
              </w:rPr>
              <w:t>应急方案措施；</w:t>
            </w:r>
            <w:r>
              <w:rPr>
                <w:rFonts w:hint="eastAsia" w:ascii="宋体" w:hAnsi="宋体" w:eastAsia="宋体" w:cs="宋体"/>
                <w:color w:val="auto"/>
                <w:sz w:val="24"/>
                <w:szCs w:val="24"/>
                <w:highlight w:val="none"/>
                <w:lang w:val="en-US" w:eastAsia="zh-CN"/>
              </w:rPr>
              <w:t>②响应速度快；③退换货服务方案描述无缺漏；</w:t>
            </w:r>
            <w:r>
              <w:rPr>
                <w:rFonts w:hint="eastAsia" w:cs="宋体"/>
                <w:color w:val="auto"/>
                <w:sz w:val="24"/>
                <w:szCs w:val="24"/>
                <w:highlight w:val="none"/>
                <w:lang w:val="en-US" w:eastAsia="zh-CN"/>
              </w:rPr>
              <w:t>④</w:t>
            </w:r>
            <w:r>
              <w:rPr>
                <w:rFonts w:hint="eastAsia" w:ascii="宋体" w:hAnsi="宋体" w:eastAsia="宋体" w:cs="宋体"/>
                <w:color w:val="auto"/>
                <w:sz w:val="24"/>
                <w:szCs w:val="24"/>
                <w:highlight w:val="none"/>
                <w:lang w:val="en-US" w:eastAsia="zh-CN"/>
              </w:rPr>
              <w:t>联系人员及电话。</w:t>
            </w:r>
          </w:p>
          <w:p w14:paraId="6D746BC8">
            <w:pPr>
              <w:keepNext w:val="0"/>
              <w:keepLines w:val="0"/>
              <w:pageBreakBefore w:val="0"/>
              <w:numPr>
                <w:ilvl w:val="0"/>
                <w:numId w:val="15"/>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项内容齐全，针对性强、条理清晰、表述准确得分</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分。每缺少一项内容扣</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分，每一项存在缺陷扣0.</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分（缺陷是指在完整性、可实施性和针对性等方面存在瑕疵或实用性不强）。</w:t>
            </w:r>
          </w:p>
          <w:p w14:paraId="0AC728FD">
            <w:pPr>
              <w:keepNext w:val="0"/>
              <w:keepLines w:val="0"/>
              <w:pageBreakBefore w:val="0"/>
              <w:numPr>
                <w:ilvl w:val="0"/>
                <w:numId w:val="15"/>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评审标准： </w:t>
            </w:r>
          </w:p>
          <w:p w14:paraId="5A7329B2">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完整性：方案须全面，对评审内容中的各项要求有详细描述； </w:t>
            </w:r>
          </w:p>
          <w:p w14:paraId="5D488FCE">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可实施性：切合本项目实际情况，实施步骤清晰、合理； </w:t>
            </w:r>
          </w:p>
          <w:p w14:paraId="05476951">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针对性：方案能够紧扣项目实际情况，内容科学合理。</w:t>
            </w:r>
          </w:p>
        </w:tc>
      </w:tr>
      <w:tr w14:paraId="6B128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0" w:hRule="atLeast"/>
        </w:trPr>
        <w:tc>
          <w:tcPr>
            <w:tcW w:w="789" w:type="dxa"/>
            <w:noWrap w:val="0"/>
            <w:vAlign w:val="center"/>
          </w:tcPr>
          <w:p w14:paraId="199B396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w:t>
            </w:r>
          </w:p>
          <w:p w14:paraId="78A1FB3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743" w:type="dxa"/>
            <w:noWrap w:val="0"/>
            <w:vAlign w:val="center"/>
          </w:tcPr>
          <w:p w14:paraId="57DF2E1E">
            <w:pPr>
              <w:keepNext w:val="0"/>
              <w:keepLines w:val="0"/>
              <w:pageBreakBefore w:val="0"/>
              <w:kinsoku/>
              <w:wordWrap/>
              <w:overflowPunct/>
              <w:topLinePunct w:val="0"/>
              <w:bidi w:val="0"/>
              <w:adjustRightInd/>
              <w:snapToGrid/>
              <w:spacing w:line="40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p>
        </w:tc>
        <w:tc>
          <w:tcPr>
            <w:tcW w:w="1467" w:type="dxa"/>
            <w:noWrap w:val="0"/>
            <w:vAlign w:val="center"/>
          </w:tcPr>
          <w:p w14:paraId="64212691">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业绩</w:t>
            </w:r>
          </w:p>
          <w:p w14:paraId="3C85FB9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p>
        </w:tc>
        <w:tc>
          <w:tcPr>
            <w:tcW w:w="6529" w:type="dxa"/>
            <w:noWrap w:val="0"/>
            <w:vAlign w:val="center"/>
          </w:tcPr>
          <w:p w14:paraId="67654DD2">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供应商提供自2023年7月至今，具有同类项目业绩（</w:t>
            </w:r>
            <w:r>
              <w:rPr>
                <w:rFonts w:hint="eastAsia" w:cs="宋体"/>
                <w:color w:val="auto"/>
                <w:sz w:val="24"/>
                <w:szCs w:val="24"/>
                <w:highlight w:val="none"/>
                <w:lang w:val="en-US" w:eastAsia="zh-CN"/>
              </w:rPr>
              <w:t>包括但不限于各级各类学校、党政机关、企事业单位、医疗机构等食材配送服务项目</w:t>
            </w:r>
            <w:r>
              <w:rPr>
                <w:rFonts w:hint="eastAsia" w:ascii="宋体" w:hAnsi="宋体" w:eastAsia="宋体" w:cs="宋体"/>
                <w:color w:val="auto"/>
                <w:sz w:val="24"/>
                <w:szCs w:val="24"/>
                <w:highlight w:val="none"/>
                <w:lang w:val="en-US" w:eastAsia="zh-CN"/>
              </w:rPr>
              <w:t>），以合同复印件和中标通知书为准，每提供一个得</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分，满分</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tc>
      </w:tr>
      <w:tr w14:paraId="075BB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19" w:hRule="atLeast"/>
        </w:trPr>
        <w:tc>
          <w:tcPr>
            <w:tcW w:w="2999" w:type="dxa"/>
            <w:gridSpan w:val="3"/>
            <w:noWrap w:val="0"/>
            <w:vAlign w:val="center"/>
          </w:tcPr>
          <w:p w14:paraId="0F3C09F0">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评标程序</w:t>
            </w:r>
          </w:p>
          <w:p w14:paraId="018CF71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p>
        </w:tc>
        <w:tc>
          <w:tcPr>
            <w:tcW w:w="6529" w:type="dxa"/>
            <w:noWrap w:val="0"/>
            <w:vAlign w:val="top"/>
          </w:tcPr>
          <w:p w14:paraId="1D2717F8">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1.开标后，由</w:t>
            </w:r>
            <w:r>
              <w:rPr>
                <w:rFonts w:hint="eastAsia" w:cs="宋体"/>
                <w:color w:val="auto"/>
                <w:sz w:val="24"/>
                <w:szCs w:val="24"/>
                <w:highlight w:val="none"/>
                <w:lang w:val="en-US" w:eastAsia="zh-CN"/>
              </w:rPr>
              <w:t>采购人或代理机构</w:t>
            </w:r>
            <w:r>
              <w:rPr>
                <w:rFonts w:hint="eastAsia" w:ascii="宋体" w:hAnsi="宋体" w:eastAsia="宋体" w:cs="宋体"/>
                <w:color w:val="auto"/>
                <w:sz w:val="24"/>
                <w:szCs w:val="24"/>
                <w:highlight w:val="none"/>
                <w:lang w:val="en-US" w:eastAsia="zh-CN"/>
              </w:rPr>
              <w:t xml:space="preserve">对投标单位进行资格性评审，资格性评审合格的响应文件进行符合性评审。不合格的单位，不再对其进行后续评审与分值评定。 </w:t>
            </w:r>
          </w:p>
          <w:p w14:paraId="4A2FC933">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2.如经过对所有供应商的响应文件进行评审，有效投标不足三个使得投标明显缺乏竞</w:t>
            </w:r>
            <w:r>
              <w:rPr>
                <w:rFonts w:hint="eastAsia" w:cs="宋体"/>
                <w:color w:val="auto"/>
                <w:sz w:val="24"/>
                <w:szCs w:val="24"/>
                <w:highlight w:val="none"/>
                <w:lang w:val="en-US" w:eastAsia="zh-CN"/>
              </w:rPr>
              <w:t>争性</w:t>
            </w:r>
            <w:r>
              <w:rPr>
                <w:rFonts w:hint="eastAsia" w:ascii="宋体" w:hAnsi="宋体" w:eastAsia="宋体" w:cs="宋体"/>
                <w:color w:val="auto"/>
                <w:sz w:val="24"/>
                <w:szCs w:val="24"/>
                <w:highlight w:val="none"/>
                <w:lang w:val="en-US" w:eastAsia="zh-CN"/>
              </w:rPr>
              <w:t>的，</w:t>
            </w:r>
            <w:r>
              <w:rPr>
                <w:rFonts w:hint="eastAsia" w:cs="宋体"/>
                <w:color w:val="auto"/>
                <w:sz w:val="24"/>
                <w:szCs w:val="24"/>
                <w:highlight w:val="none"/>
                <w:lang w:val="en-US" w:eastAsia="zh-CN"/>
              </w:rPr>
              <w:t>评标委员会</w:t>
            </w:r>
            <w:r>
              <w:rPr>
                <w:rFonts w:hint="eastAsia" w:ascii="宋体" w:hAnsi="宋体" w:eastAsia="宋体" w:cs="宋体"/>
                <w:color w:val="auto"/>
                <w:sz w:val="24"/>
                <w:szCs w:val="24"/>
                <w:highlight w:val="none"/>
                <w:lang w:val="en-US" w:eastAsia="zh-CN"/>
              </w:rPr>
              <w:t xml:space="preserve">可以否决全部投标。 </w:t>
            </w:r>
          </w:p>
          <w:p w14:paraId="4B53310A">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评标委员会</w:t>
            </w:r>
            <w:r>
              <w:rPr>
                <w:rFonts w:hint="eastAsia" w:ascii="宋体" w:hAnsi="宋体" w:eastAsia="宋体" w:cs="宋体"/>
                <w:color w:val="auto"/>
                <w:sz w:val="24"/>
                <w:szCs w:val="24"/>
                <w:highlight w:val="none"/>
                <w:lang w:val="en-US" w:eastAsia="zh-CN"/>
              </w:rPr>
              <w:t>应当根据综合评分情况，按照评审得分由高到低顺序推荐 3 名以上成交候选供应商，并编写评审报告报采购人。评审得分相同的，按照最后报价由低到高的顺序推荐。评审得分且最后报价相同的，按照</w:t>
            </w:r>
            <w:r>
              <w:rPr>
                <w:rFonts w:hint="eastAsia"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方案优劣顺序推荐。</w:t>
            </w:r>
          </w:p>
        </w:tc>
      </w:tr>
    </w:tbl>
    <w:p w14:paraId="7CCF5223">
      <w:pPr>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br w:type="page"/>
      </w:r>
    </w:p>
    <w:p w14:paraId="5BE9B50F">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合同包五：</w:t>
      </w:r>
      <w:r>
        <w:rPr>
          <w:rFonts w:hint="eastAsia" w:cs="宋体"/>
          <w:b/>
          <w:bCs/>
          <w:color w:val="auto"/>
          <w:sz w:val="24"/>
          <w:szCs w:val="24"/>
          <w:highlight w:val="none"/>
          <w:lang w:val="en-US" w:eastAsia="zh-CN" w:bidi="zh-CN"/>
        </w:rPr>
        <w:t>B片区肉蛋禽采购</w:t>
      </w:r>
    </w:p>
    <w:tbl>
      <w:tblPr>
        <w:tblStyle w:val="23"/>
        <w:tblW w:w="9528"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743"/>
        <w:gridCol w:w="1467"/>
        <w:gridCol w:w="6529"/>
      </w:tblGrid>
      <w:tr w14:paraId="04DFF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5" w:hRule="atLeast"/>
        </w:trPr>
        <w:tc>
          <w:tcPr>
            <w:tcW w:w="789" w:type="dxa"/>
            <w:noWrap w:val="0"/>
            <w:vAlign w:val="center"/>
          </w:tcPr>
          <w:p w14:paraId="5BD45F85">
            <w:pPr>
              <w:pStyle w:val="49"/>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类别</w:t>
            </w:r>
          </w:p>
        </w:tc>
        <w:tc>
          <w:tcPr>
            <w:tcW w:w="743" w:type="dxa"/>
            <w:noWrap w:val="0"/>
            <w:vAlign w:val="center"/>
          </w:tcPr>
          <w:p w14:paraId="04B88451">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467" w:type="dxa"/>
            <w:noWrap w:val="0"/>
            <w:vAlign w:val="center"/>
          </w:tcPr>
          <w:p w14:paraId="0453F020">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评审要素及分值</w:t>
            </w:r>
          </w:p>
        </w:tc>
        <w:tc>
          <w:tcPr>
            <w:tcW w:w="6529" w:type="dxa"/>
            <w:noWrap w:val="0"/>
            <w:vAlign w:val="center"/>
          </w:tcPr>
          <w:p w14:paraId="41B1E7BD">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赋分标准</w:t>
            </w:r>
          </w:p>
        </w:tc>
      </w:tr>
      <w:tr w14:paraId="7A9E6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54" w:hRule="atLeast"/>
        </w:trPr>
        <w:tc>
          <w:tcPr>
            <w:tcW w:w="789" w:type="dxa"/>
            <w:noWrap w:val="0"/>
            <w:vAlign w:val="center"/>
          </w:tcPr>
          <w:p w14:paraId="3B93594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p w14:paraId="7B7D6E3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w:t>
            </w:r>
          </w:p>
        </w:tc>
        <w:tc>
          <w:tcPr>
            <w:tcW w:w="743" w:type="dxa"/>
            <w:noWrap w:val="0"/>
            <w:vAlign w:val="center"/>
          </w:tcPr>
          <w:p w14:paraId="66ABF25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67" w:type="dxa"/>
            <w:noWrap w:val="0"/>
            <w:vAlign w:val="center"/>
          </w:tcPr>
          <w:p w14:paraId="247D0565">
            <w:pPr>
              <w:keepNext w:val="0"/>
              <w:keepLines w:val="0"/>
              <w:pageBreakBefore w:val="0"/>
              <w:widowControl/>
              <w:kinsoku/>
              <w:wordWrap/>
              <w:overflowPunct/>
              <w:topLinePunct w:val="0"/>
              <w:bidi w:val="0"/>
              <w:adjustRightInd/>
              <w:snapToGrid/>
              <w:spacing w:line="400" w:lineRule="exact"/>
              <w:ind w:left="0" w:right="0" w:hanging="2"/>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w:t>
            </w:r>
          </w:p>
          <w:p w14:paraId="23D00616">
            <w:pPr>
              <w:keepNext w:val="0"/>
              <w:keepLines w:val="0"/>
              <w:pageBreakBefore w:val="0"/>
              <w:widowControl/>
              <w:kinsoku/>
              <w:wordWrap/>
              <w:overflowPunct/>
              <w:topLinePunct w:val="0"/>
              <w:bidi w:val="0"/>
              <w:adjustRightInd/>
              <w:snapToGrid/>
              <w:spacing w:line="400" w:lineRule="exact"/>
              <w:ind w:left="0" w:right="0" w:hanging="2"/>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30分</w:t>
            </w:r>
            <w:r>
              <w:rPr>
                <w:rFonts w:hint="eastAsia" w:cs="宋体"/>
                <w:color w:val="auto"/>
                <w:sz w:val="24"/>
                <w:szCs w:val="24"/>
                <w:highlight w:val="none"/>
                <w:lang w:val="en-US" w:eastAsia="zh-CN"/>
              </w:rPr>
              <w:t>）</w:t>
            </w:r>
          </w:p>
        </w:tc>
        <w:tc>
          <w:tcPr>
            <w:tcW w:w="6529" w:type="dxa"/>
            <w:noWrap w:val="0"/>
            <w:vAlign w:val="center"/>
          </w:tcPr>
          <w:p w14:paraId="31CB387A">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以满足招标文件要求且投标报价最低的为评标基准价，其价格分为满分 30 分，其他供应商的价格分按照下列公式计算：投标报价得分=（评标基准价/投标报价）×30。</w:t>
            </w:r>
            <w:r>
              <w:rPr>
                <w:rFonts w:hint="eastAsia" w:cs="宋体"/>
                <w:color w:val="auto"/>
                <w:sz w:val="24"/>
                <w:szCs w:val="24"/>
                <w:highlight w:val="none"/>
                <w:lang w:val="en-US" w:eastAsia="zh-CN"/>
              </w:rPr>
              <w:t>（</w:t>
            </w:r>
            <w:r>
              <w:rPr>
                <w:rFonts w:hint="eastAsia"/>
                <w:b/>
                <w:bCs/>
                <w:color w:val="auto"/>
                <w:sz w:val="24"/>
                <w:szCs w:val="24"/>
                <w:lang w:val="en-US" w:eastAsia="zh-CN"/>
              </w:rPr>
              <w:t>符合招标文件规定的小微企业、监狱企业或残疾人福利性单位优惠条件的供应商，价格给予10%的扣除（不重复优惠，最高为10%），用扣除后的价格参与评审。</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 </w:t>
            </w:r>
          </w:p>
        </w:tc>
      </w:tr>
      <w:tr w14:paraId="3FC32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restart"/>
            <w:noWrap w:val="0"/>
            <w:vAlign w:val="center"/>
          </w:tcPr>
          <w:p w14:paraId="6E0099C0">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p>
          <w:p w14:paraId="55D4A7A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64</w:t>
            </w:r>
            <w:r>
              <w:rPr>
                <w:rFonts w:hint="eastAsia" w:ascii="宋体" w:hAnsi="宋体" w:eastAsia="宋体" w:cs="宋体"/>
                <w:color w:val="auto"/>
                <w:sz w:val="24"/>
                <w:szCs w:val="24"/>
                <w:highlight w:val="none"/>
              </w:rPr>
              <w:t>分</w:t>
            </w:r>
          </w:p>
        </w:tc>
        <w:tc>
          <w:tcPr>
            <w:tcW w:w="743" w:type="dxa"/>
            <w:vMerge w:val="restart"/>
            <w:noWrap w:val="0"/>
            <w:vAlign w:val="center"/>
          </w:tcPr>
          <w:p w14:paraId="7D568BD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467" w:type="dxa"/>
            <w:vMerge w:val="restart"/>
            <w:noWrap w:val="0"/>
            <w:vAlign w:val="center"/>
          </w:tcPr>
          <w:p w14:paraId="25EE646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技术方案</w:t>
            </w:r>
          </w:p>
          <w:p w14:paraId="116D49E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w:t>
            </w:r>
            <w:r>
              <w:rPr>
                <w:rFonts w:hint="eastAsia" w:cs="宋体"/>
                <w:bCs/>
                <w:color w:val="auto"/>
                <w:sz w:val="24"/>
                <w:szCs w:val="24"/>
                <w:highlight w:val="none"/>
                <w:lang w:val="en-US" w:eastAsia="zh-CN"/>
              </w:rPr>
              <w:t>50</w:t>
            </w:r>
            <w:r>
              <w:rPr>
                <w:rFonts w:hint="eastAsia" w:ascii="宋体" w:hAnsi="宋体" w:eastAsia="宋体" w:cs="宋体"/>
                <w:bCs/>
                <w:color w:val="auto"/>
                <w:sz w:val="24"/>
                <w:szCs w:val="24"/>
                <w:highlight w:val="none"/>
              </w:rPr>
              <w:t>分）</w:t>
            </w:r>
          </w:p>
        </w:tc>
        <w:tc>
          <w:tcPr>
            <w:tcW w:w="6529" w:type="dxa"/>
            <w:noWrap w:val="0"/>
            <w:vAlign w:val="center"/>
          </w:tcPr>
          <w:p w14:paraId="60F09346">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产品渠道（5分）：</w:t>
            </w:r>
          </w:p>
          <w:p w14:paraId="50A6D0E4">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1.产品来源渠道合法且相关证明材料（包括但不限于销售协议、代理协议、原厂授权等）符合要求的得3分，提供但不完整的得2分，未提供或存在明显问题的得0分。</w:t>
            </w:r>
          </w:p>
          <w:p w14:paraId="302711DD">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2.核心产品生产厂家连带质量责任承担承诺，符合规范的得 2分，承诺不规范的得1分，无有效承诺的得0分。</w:t>
            </w:r>
          </w:p>
          <w:p w14:paraId="4662F7C4">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技术指标（1</w:t>
            </w:r>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提供所投产品执行</w:t>
            </w:r>
            <w:r>
              <w:rPr>
                <w:rFonts w:hint="eastAsia" w:cs="宋体"/>
                <w:color w:val="auto"/>
                <w:sz w:val="24"/>
                <w:szCs w:val="24"/>
                <w:highlight w:val="none"/>
                <w:lang w:val="en-US" w:eastAsia="zh-CN"/>
              </w:rPr>
              <w:t>国家</w:t>
            </w:r>
            <w:r>
              <w:rPr>
                <w:rFonts w:hint="eastAsia" w:ascii="宋体" w:hAnsi="宋体" w:eastAsia="宋体" w:cs="宋体"/>
                <w:color w:val="auto"/>
                <w:sz w:val="24"/>
                <w:szCs w:val="24"/>
                <w:highlight w:val="none"/>
                <w:lang w:val="en-US" w:eastAsia="zh-CN"/>
              </w:rPr>
              <w:t>标准所检测的本年度产品技术参数及质检报告，参数清晰明确，技术指标和规格完全满足招标文件要求，检测报告等印证资料齐全。</w:t>
            </w:r>
          </w:p>
          <w:p w14:paraId="37B3B315">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1.产品完全满足要求、质量优良，印证资料完善、符合标准规范、能充分佐证产品质量的，得1</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045BB0AF">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2.产品满足要求、质量优良，印证资料较为完善、符合标准规范、能佐证产品质量的，得</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p w14:paraId="2219B97E">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3.产品基本满足要求、质量合格，印证资料较为完善、基本符合标准规范、能佐证产品质量的，得</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0F162D62">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4.产品不能满足要求，印证资料不完善、不符合标准规范、难以佐证产品质量的，得0分。</w:t>
            </w:r>
          </w:p>
          <w:p w14:paraId="3992E488">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ascii="宋体" w:hAnsi="宋体" w:eastAsia="宋体" w:cs="宋体"/>
                <w:b/>
                <w:bCs/>
                <w:color w:val="auto"/>
                <w:sz w:val="24"/>
                <w:szCs w:val="24"/>
                <w:highlight w:val="none"/>
                <w:lang w:val="en-US"/>
              </w:rPr>
            </w:pPr>
            <w:r>
              <w:rPr>
                <w:rFonts w:hint="eastAsia" w:cs="宋体"/>
                <w:b/>
                <w:bCs/>
                <w:color w:val="auto"/>
                <w:sz w:val="24"/>
                <w:szCs w:val="24"/>
                <w:highlight w:val="none"/>
                <w:lang w:val="en-US" w:eastAsia="zh-CN"/>
              </w:rPr>
              <w:t>（所有材料需提供原件的扫描件）</w:t>
            </w:r>
          </w:p>
        </w:tc>
      </w:tr>
      <w:tr w14:paraId="20F96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89" w:hRule="atLeast"/>
        </w:trPr>
        <w:tc>
          <w:tcPr>
            <w:tcW w:w="789" w:type="dxa"/>
            <w:vMerge w:val="continue"/>
            <w:noWrap w:val="0"/>
            <w:vAlign w:val="center"/>
          </w:tcPr>
          <w:p w14:paraId="799543F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69ABE90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p>
        </w:tc>
        <w:tc>
          <w:tcPr>
            <w:tcW w:w="1467" w:type="dxa"/>
            <w:vMerge w:val="continue"/>
            <w:noWrap w:val="0"/>
            <w:vAlign w:val="center"/>
          </w:tcPr>
          <w:p w14:paraId="61B3A07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p>
        </w:tc>
        <w:tc>
          <w:tcPr>
            <w:tcW w:w="6529" w:type="dxa"/>
            <w:noWrap w:val="0"/>
            <w:vAlign w:val="center"/>
          </w:tcPr>
          <w:p w14:paraId="76EE39D8">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总体方案（</w:t>
            </w:r>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w:t>
            </w:r>
          </w:p>
          <w:p w14:paraId="6462DB48">
            <w:pPr>
              <w:rPr>
                <w:rFonts w:hint="eastAsia" w:ascii="宋体" w:hAnsi="宋体" w:eastAsia="宋体" w:cs="宋体"/>
                <w:sz w:val="24"/>
                <w:szCs w:val="24"/>
              </w:rPr>
            </w:pPr>
            <w:r>
              <w:rPr>
                <w:rFonts w:hint="eastAsia" w:ascii="宋体" w:hAnsi="宋体" w:eastAsia="宋体" w:cs="宋体"/>
                <w:sz w:val="24"/>
                <w:szCs w:val="24"/>
              </w:rPr>
              <w:t>根据项目需求编制</w:t>
            </w:r>
            <w:r>
              <w:rPr>
                <w:rFonts w:hint="eastAsia" w:ascii="宋体" w:hAnsi="宋体" w:eastAsia="宋体" w:cs="宋体"/>
                <w:sz w:val="24"/>
                <w:szCs w:val="24"/>
                <w:lang w:eastAsia="zh-CN"/>
              </w:rPr>
              <w:t>实施</w:t>
            </w:r>
            <w:r>
              <w:rPr>
                <w:rFonts w:hint="eastAsia" w:ascii="宋体" w:hAnsi="宋体" w:eastAsia="宋体" w:cs="宋体"/>
                <w:sz w:val="24"/>
                <w:szCs w:val="24"/>
              </w:rPr>
              <w:t>方案</w:t>
            </w:r>
            <w:r>
              <w:rPr>
                <w:rFonts w:hint="eastAsia" w:ascii="宋体" w:hAnsi="宋体" w:cs="宋体"/>
                <w:sz w:val="24"/>
                <w:szCs w:val="24"/>
                <w:lang w:eastAsia="zh-CN"/>
              </w:rPr>
              <w:t>：</w:t>
            </w:r>
            <w:r>
              <w:rPr>
                <w:rFonts w:hint="eastAsia" w:ascii="宋体" w:hAnsi="宋体" w:cs="宋体"/>
                <w:sz w:val="24"/>
                <w:szCs w:val="24"/>
                <w:lang w:val="en-US" w:eastAsia="zh-CN"/>
              </w:rPr>
              <w:t>方案至少包括</w:t>
            </w:r>
            <w:r>
              <w:rPr>
                <w:rFonts w:hint="eastAsia" w:ascii="宋体" w:hAnsi="宋体" w:eastAsia="宋体" w:cs="宋体"/>
                <w:sz w:val="24"/>
                <w:szCs w:val="24"/>
              </w:rPr>
              <w:t>①供货保障</w:t>
            </w:r>
            <w:r>
              <w:rPr>
                <w:rFonts w:hint="eastAsia" w:ascii="宋体" w:hAnsi="宋体" w:cs="宋体"/>
                <w:sz w:val="24"/>
                <w:szCs w:val="24"/>
                <w:lang w:eastAsia="zh-CN"/>
              </w:rPr>
              <w:t>；</w:t>
            </w:r>
            <w:r>
              <w:rPr>
                <w:rFonts w:hint="eastAsia" w:ascii="宋体" w:hAnsi="宋体" w:eastAsia="宋体" w:cs="宋体"/>
                <w:sz w:val="24"/>
                <w:szCs w:val="24"/>
              </w:rPr>
              <w:t>②管理制度</w:t>
            </w:r>
            <w:r>
              <w:rPr>
                <w:rFonts w:hint="eastAsia" w:ascii="宋体" w:hAnsi="宋体" w:cs="宋体"/>
                <w:sz w:val="24"/>
                <w:szCs w:val="24"/>
                <w:lang w:eastAsia="zh-CN"/>
              </w:rPr>
              <w:t>；</w:t>
            </w:r>
            <w:r>
              <w:rPr>
                <w:rFonts w:hint="eastAsia" w:ascii="宋体" w:hAnsi="宋体" w:eastAsia="宋体" w:cs="宋体"/>
                <w:sz w:val="24"/>
                <w:szCs w:val="24"/>
              </w:rPr>
              <w:t>③运行模式</w:t>
            </w:r>
            <w:r>
              <w:rPr>
                <w:rFonts w:hint="eastAsia" w:ascii="宋体" w:hAnsi="宋体" w:cs="宋体"/>
                <w:sz w:val="24"/>
                <w:szCs w:val="24"/>
                <w:lang w:eastAsia="zh-CN"/>
              </w:rPr>
              <w:t>。</w:t>
            </w:r>
            <w:r>
              <w:rPr>
                <w:rFonts w:hint="eastAsia" w:ascii="宋体" w:hAnsi="宋体" w:eastAsia="宋体" w:cs="宋体"/>
                <w:sz w:val="24"/>
                <w:szCs w:val="24"/>
                <w:lang w:eastAsia="zh-CN"/>
              </w:rPr>
              <w:t>以上</w:t>
            </w:r>
            <w:r>
              <w:rPr>
                <w:rFonts w:hint="eastAsia" w:ascii="宋体" w:hAnsi="宋体" w:eastAsia="宋体" w:cs="宋体"/>
                <w:sz w:val="24"/>
                <w:szCs w:val="24"/>
                <w:lang w:val="en-US" w:eastAsia="zh-CN"/>
              </w:rPr>
              <w:t>3项内容齐全，针对性强、条理清晰、表述准确得分</w:t>
            </w:r>
            <w:r>
              <w:rPr>
                <w:rFonts w:hint="eastAsia" w:cs="宋体"/>
                <w:sz w:val="24"/>
                <w:szCs w:val="24"/>
                <w:lang w:val="en-US" w:eastAsia="zh-CN"/>
              </w:rPr>
              <w:t>6</w:t>
            </w:r>
            <w:r>
              <w:rPr>
                <w:rFonts w:hint="eastAsia" w:ascii="宋体" w:hAnsi="宋体" w:eastAsia="宋体" w:cs="宋体"/>
                <w:sz w:val="24"/>
                <w:szCs w:val="24"/>
                <w:lang w:val="en-US" w:eastAsia="zh-CN"/>
              </w:rPr>
              <w:t>分。每缺少一项内容扣</w:t>
            </w:r>
            <w:r>
              <w:rPr>
                <w:rFonts w:hint="eastAsia" w:cs="宋体"/>
                <w:sz w:val="24"/>
                <w:szCs w:val="24"/>
                <w:lang w:val="en-US" w:eastAsia="zh-CN"/>
              </w:rPr>
              <w:t>2</w:t>
            </w:r>
            <w:r>
              <w:rPr>
                <w:rFonts w:hint="eastAsia" w:ascii="宋体" w:hAnsi="宋体" w:eastAsia="宋体" w:cs="宋体"/>
                <w:sz w:val="24"/>
                <w:szCs w:val="24"/>
                <w:lang w:val="en-US" w:eastAsia="zh-CN"/>
              </w:rPr>
              <w:t>分（缺陷是指在完整性、可实施性和针对性等方面存在瑕疵或实用性不强）</w:t>
            </w:r>
            <w:r>
              <w:rPr>
                <w:rFonts w:hint="eastAsia" w:ascii="宋体" w:hAnsi="宋体" w:eastAsia="宋体" w:cs="宋体"/>
                <w:sz w:val="24"/>
                <w:szCs w:val="24"/>
              </w:rPr>
              <w:t>。</w:t>
            </w:r>
          </w:p>
          <w:p w14:paraId="18B431B2">
            <w:pPr>
              <w:rPr>
                <w:rFonts w:hint="eastAsia" w:ascii="宋体" w:hAnsi="宋体" w:eastAsia="宋体" w:cs="宋体"/>
                <w:sz w:val="24"/>
                <w:szCs w:val="24"/>
              </w:rPr>
            </w:pPr>
            <w:r>
              <w:rPr>
                <w:rFonts w:hint="eastAsia" w:ascii="宋体" w:hAnsi="宋体" w:eastAsia="宋体" w:cs="宋体"/>
                <w:sz w:val="24"/>
                <w:szCs w:val="24"/>
              </w:rPr>
              <w:t>根据评审标准对供应商技术方案进行评审，每一条不符合本项目特点和实际需求，存在缺陷或实用性不强的扣1分，扣完为止。</w:t>
            </w:r>
          </w:p>
          <w:p w14:paraId="1BA33BF4">
            <w:pPr>
              <w:rPr>
                <w:rFonts w:hint="eastAsia" w:ascii="宋体" w:hAnsi="宋体" w:eastAsia="宋体" w:cs="宋体"/>
                <w:sz w:val="24"/>
                <w:szCs w:val="24"/>
              </w:rPr>
            </w:pPr>
            <w:r>
              <w:rPr>
                <w:rFonts w:hint="eastAsia" w:ascii="宋体" w:hAnsi="宋体" w:eastAsia="宋体" w:cs="宋体"/>
                <w:sz w:val="24"/>
                <w:szCs w:val="24"/>
              </w:rPr>
              <w:t xml:space="preserve">评审标准： </w:t>
            </w:r>
          </w:p>
          <w:p w14:paraId="414B28A6">
            <w:pPr>
              <w:rPr>
                <w:rFonts w:hint="eastAsia" w:ascii="宋体" w:hAnsi="宋体" w:eastAsia="宋体" w:cs="宋体"/>
                <w:sz w:val="24"/>
                <w:szCs w:val="24"/>
              </w:rPr>
            </w:pPr>
            <w:r>
              <w:rPr>
                <w:rFonts w:hint="eastAsia" w:ascii="宋体" w:hAnsi="宋体" w:eastAsia="宋体" w:cs="宋体"/>
                <w:sz w:val="24"/>
                <w:szCs w:val="24"/>
              </w:rPr>
              <w:t xml:space="preserve">完整性：方案须全面，对评审内容中的各项要求有详细描述； </w:t>
            </w:r>
          </w:p>
          <w:p w14:paraId="1A068F87">
            <w:pPr>
              <w:rPr>
                <w:rFonts w:hint="eastAsia" w:ascii="宋体" w:hAnsi="宋体" w:eastAsia="宋体" w:cs="宋体"/>
                <w:sz w:val="24"/>
                <w:szCs w:val="24"/>
              </w:rPr>
            </w:pPr>
            <w:r>
              <w:rPr>
                <w:rFonts w:hint="eastAsia" w:ascii="宋体" w:hAnsi="宋体" w:eastAsia="宋体" w:cs="宋体"/>
                <w:sz w:val="24"/>
                <w:szCs w:val="24"/>
              </w:rPr>
              <w:t xml:space="preserve">可实施性：切合本项目实际情况，实施步骤清晰、合理； </w:t>
            </w:r>
          </w:p>
          <w:p w14:paraId="06288E7A">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针对性：方案能够紧扣项目实际情况，内容科学合理。 </w:t>
            </w:r>
          </w:p>
        </w:tc>
      </w:tr>
      <w:tr w14:paraId="28C83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continue"/>
            <w:noWrap w:val="0"/>
            <w:vAlign w:val="center"/>
          </w:tcPr>
          <w:p w14:paraId="3FC61683">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7DF4A5A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2855F20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1ECF17E0">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仓储</w:t>
            </w:r>
            <w:r>
              <w:rPr>
                <w:rFonts w:hint="eastAsia" w:ascii="宋体" w:hAnsi="宋体" w:eastAsia="宋体" w:cs="宋体"/>
                <w:b/>
                <w:bCs/>
                <w:color w:val="auto"/>
                <w:sz w:val="24"/>
                <w:szCs w:val="24"/>
                <w:highlight w:val="none"/>
              </w:rPr>
              <w:t>和冷藏</w:t>
            </w:r>
            <w:r>
              <w:rPr>
                <w:rFonts w:hint="eastAsia" w:ascii="宋体" w:hAnsi="宋体" w:eastAsia="宋体" w:cs="宋体"/>
                <w:b/>
                <w:bCs/>
                <w:color w:val="auto"/>
                <w:sz w:val="24"/>
                <w:szCs w:val="24"/>
                <w:highlight w:val="none"/>
                <w:lang w:eastAsia="zh-CN"/>
              </w:rPr>
              <w:t>保</w:t>
            </w:r>
            <w:r>
              <w:rPr>
                <w:rFonts w:hint="eastAsia" w:ascii="宋体" w:hAnsi="宋体" w:eastAsia="宋体" w:cs="宋体"/>
                <w:b/>
                <w:bCs/>
                <w:color w:val="auto"/>
                <w:sz w:val="24"/>
                <w:szCs w:val="24"/>
                <w:highlight w:val="none"/>
              </w:rPr>
              <w:t>鲜</w:t>
            </w:r>
            <w:r>
              <w:rPr>
                <w:rFonts w:hint="eastAsia" w:ascii="宋体" w:hAnsi="宋体" w:eastAsia="宋体" w:cs="宋体"/>
                <w:b/>
                <w:bCs/>
                <w:color w:val="auto"/>
                <w:sz w:val="24"/>
                <w:szCs w:val="24"/>
                <w:highlight w:val="none"/>
                <w:lang w:val="en-US" w:eastAsia="zh-CN"/>
              </w:rPr>
              <w:t>能力（</w:t>
            </w:r>
            <w:r>
              <w:rPr>
                <w:rFonts w:hint="eastAsia" w:cs="宋体"/>
                <w:b/>
                <w:bCs/>
                <w:color w:val="auto"/>
                <w:sz w:val="24"/>
                <w:szCs w:val="24"/>
                <w:highlight w:val="none"/>
                <w:lang w:val="en-US" w:eastAsia="zh-CN"/>
              </w:rPr>
              <w:t>12</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kern w:val="2"/>
                <w:sz w:val="24"/>
                <w:szCs w:val="24"/>
                <w:highlight w:val="none"/>
                <w:lang w:val="en-US" w:eastAsia="zh-CN" w:bidi="ar-SA"/>
              </w:rPr>
              <w:t>：有独立的</w:t>
            </w:r>
            <w:r>
              <w:rPr>
                <w:rFonts w:hint="eastAsia" w:cs="宋体"/>
                <w:color w:val="auto"/>
                <w:kern w:val="2"/>
                <w:sz w:val="24"/>
                <w:szCs w:val="24"/>
                <w:highlight w:val="none"/>
                <w:lang w:val="en-US" w:eastAsia="zh-CN" w:bidi="ar-SA"/>
              </w:rPr>
              <w:t>冷藏库</w:t>
            </w:r>
            <w:r>
              <w:rPr>
                <w:rFonts w:hint="eastAsia" w:ascii="宋体" w:hAnsi="宋体" w:eastAsia="宋体" w:cs="宋体"/>
                <w:color w:val="auto"/>
                <w:kern w:val="2"/>
                <w:sz w:val="24"/>
                <w:szCs w:val="24"/>
                <w:highlight w:val="none"/>
                <w:lang w:val="en-US" w:eastAsia="zh-CN" w:bidi="ar-SA"/>
              </w:rPr>
              <w:t>，且为</w:t>
            </w:r>
            <w:r>
              <w:rPr>
                <w:rFonts w:hint="eastAsia" w:cs="宋体"/>
                <w:color w:val="auto"/>
                <w:kern w:val="2"/>
                <w:sz w:val="24"/>
                <w:szCs w:val="24"/>
                <w:highlight w:val="none"/>
                <w:lang w:val="en-US" w:eastAsia="zh-CN" w:bidi="ar-SA"/>
              </w:rPr>
              <w:t>食品</w:t>
            </w:r>
            <w:r>
              <w:rPr>
                <w:rFonts w:hint="eastAsia" w:ascii="宋体" w:hAnsi="宋体" w:eastAsia="宋体" w:cs="宋体"/>
                <w:color w:val="auto"/>
                <w:kern w:val="2"/>
                <w:sz w:val="24"/>
                <w:szCs w:val="24"/>
                <w:highlight w:val="none"/>
                <w:lang w:val="en-US" w:eastAsia="zh-CN" w:bidi="ar-SA"/>
              </w:rPr>
              <w:t>材料存储专用库</w:t>
            </w:r>
            <w:r>
              <w:rPr>
                <w:rFonts w:hint="eastAsia"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提供库房自有证明或租赁合同和仓储设备及其他能反映出其适合产品储存、周转的证明材料，满足相关食材所要求的存储要求</w:t>
            </w:r>
            <w:r>
              <w:rPr>
                <w:rFonts w:hint="eastAsia" w:cs="宋体"/>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en-US" w:eastAsia="zh-CN" w:bidi="ar-SA"/>
              </w:rPr>
              <w:t>证明材料中所用的照片必须为清晰的全方位彩色照片</w:t>
            </w:r>
            <w:r>
              <w:rPr>
                <w:rFonts w:hint="eastAsia" w:cs="宋体"/>
                <w:b/>
                <w:bCs/>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 </w:t>
            </w:r>
          </w:p>
          <w:p w14:paraId="26EE8B87">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1.库房面积（</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分）：根据投标人提供的有效证明材料，库房面积≥100㎡，得</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分，库房面积＜100㎡，得</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r>
              <w:rPr>
                <w:rFonts w:hint="eastAsia" w:ascii="宋体" w:hAnsi="宋体" w:eastAsia="宋体" w:cs="宋体"/>
                <w:color w:val="auto"/>
                <w:kern w:val="2"/>
                <w:sz w:val="24"/>
                <w:szCs w:val="24"/>
                <w:highlight w:val="none"/>
                <w:lang w:val="en-US" w:eastAsia="zh-CN" w:bidi="ar-SA"/>
              </w:rPr>
              <w:t>无独立专用库</w:t>
            </w:r>
            <w:r>
              <w:rPr>
                <w:rFonts w:hint="eastAsia" w:cs="宋体"/>
                <w:color w:val="auto"/>
                <w:kern w:val="2"/>
                <w:sz w:val="24"/>
                <w:szCs w:val="24"/>
                <w:highlight w:val="none"/>
                <w:lang w:val="en-US" w:eastAsia="zh-CN" w:bidi="ar-SA"/>
              </w:rPr>
              <w:t>房得0分</w:t>
            </w:r>
            <w:r>
              <w:rPr>
                <w:rFonts w:hint="eastAsia" w:ascii="宋体" w:hAnsi="宋体" w:eastAsia="宋体" w:cs="宋体"/>
                <w:color w:val="auto"/>
                <w:sz w:val="24"/>
                <w:szCs w:val="24"/>
                <w:highlight w:val="none"/>
                <w:lang w:val="en-US" w:eastAsia="zh-CN"/>
              </w:rPr>
              <w:t>。</w:t>
            </w:r>
          </w:p>
          <w:p w14:paraId="474CC354">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2.仓储设备（</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shd w:val="clear" w:color="auto" w:fill="auto"/>
                <w:lang w:val="en-US" w:eastAsia="zh-CN"/>
              </w:rPr>
              <w:t>有冻货专用</w:t>
            </w:r>
            <w:r>
              <w:rPr>
                <w:rFonts w:hint="eastAsia" w:cs="宋体"/>
                <w:color w:val="auto"/>
                <w:sz w:val="24"/>
                <w:szCs w:val="24"/>
                <w:highlight w:val="none"/>
                <w:shd w:val="clear" w:color="auto" w:fill="auto"/>
                <w:lang w:val="en-US" w:eastAsia="zh-CN"/>
              </w:rPr>
              <w:t>设备，有</w:t>
            </w:r>
            <w:r>
              <w:rPr>
                <w:rFonts w:hint="eastAsia" w:ascii="宋体" w:hAnsi="宋体" w:eastAsia="宋体" w:cs="宋体"/>
                <w:color w:val="auto"/>
                <w:sz w:val="24"/>
                <w:szCs w:val="24"/>
                <w:highlight w:val="none"/>
                <w:shd w:val="clear" w:color="auto" w:fill="auto"/>
                <w:lang w:val="en-US" w:eastAsia="zh-CN"/>
              </w:rPr>
              <w:t>通风、</w:t>
            </w:r>
            <w:r>
              <w:rPr>
                <w:rFonts w:hint="eastAsia" w:cs="宋体"/>
                <w:color w:val="auto"/>
                <w:sz w:val="24"/>
                <w:szCs w:val="24"/>
                <w:highlight w:val="none"/>
                <w:shd w:val="clear" w:color="auto" w:fill="auto"/>
                <w:lang w:val="en-US" w:eastAsia="zh-CN"/>
              </w:rPr>
              <w:t>温度</w:t>
            </w:r>
            <w:r>
              <w:rPr>
                <w:rFonts w:hint="eastAsia" w:ascii="宋体" w:hAnsi="宋体" w:eastAsia="宋体" w:cs="宋体"/>
                <w:color w:val="auto"/>
                <w:sz w:val="24"/>
                <w:szCs w:val="24"/>
                <w:highlight w:val="none"/>
                <w:shd w:val="clear" w:color="auto" w:fill="auto"/>
                <w:lang w:val="en-US" w:eastAsia="zh-CN"/>
              </w:rPr>
              <w:t>、</w:t>
            </w:r>
            <w:r>
              <w:rPr>
                <w:rFonts w:hint="eastAsia" w:cs="宋体"/>
                <w:color w:val="auto"/>
                <w:sz w:val="24"/>
                <w:szCs w:val="24"/>
                <w:highlight w:val="none"/>
                <w:shd w:val="clear" w:color="auto" w:fill="auto"/>
                <w:lang w:val="en-US" w:eastAsia="zh-CN"/>
              </w:rPr>
              <w:t>湿度控制</w:t>
            </w:r>
            <w:r>
              <w:rPr>
                <w:rFonts w:hint="eastAsia" w:ascii="宋体" w:hAnsi="宋体" w:eastAsia="宋体" w:cs="宋体"/>
                <w:color w:val="auto"/>
                <w:sz w:val="24"/>
                <w:szCs w:val="24"/>
                <w:highlight w:val="none"/>
                <w:shd w:val="clear" w:color="auto" w:fill="auto"/>
                <w:lang w:val="en-US" w:eastAsia="zh-CN"/>
              </w:rPr>
              <w:t>设备，能满足相关食材存储所要求的温</w:t>
            </w:r>
            <w:r>
              <w:rPr>
                <w:rFonts w:hint="eastAsia" w:cs="宋体"/>
                <w:color w:val="auto"/>
                <w:sz w:val="24"/>
                <w:szCs w:val="24"/>
                <w:highlight w:val="none"/>
                <w:shd w:val="clear" w:color="auto" w:fill="auto"/>
                <w:lang w:val="en-US" w:eastAsia="zh-CN"/>
              </w:rPr>
              <w:t>度</w:t>
            </w:r>
            <w:r>
              <w:rPr>
                <w:rFonts w:hint="eastAsia" w:ascii="宋体" w:hAnsi="宋体" w:eastAsia="宋体" w:cs="宋体"/>
                <w:color w:val="auto"/>
                <w:sz w:val="24"/>
                <w:szCs w:val="24"/>
                <w:highlight w:val="none"/>
                <w:shd w:val="clear" w:color="auto" w:fill="auto"/>
                <w:lang w:val="en-US" w:eastAsia="zh-CN"/>
              </w:rPr>
              <w:t>、湿度、安全条件，设备齐全共得3分，缺少一项设备扣1分</w:t>
            </w:r>
            <w:r>
              <w:rPr>
                <w:rFonts w:hint="eastAsia" w:cs="宋体"/>
                <w:color w:val="auto"/>
                <w:sz w:val="24"/>
                <w:szCs w:val="24"/>
                <w:highlight w:val="none"/>
                <w:shd w:val="clear" w:color="auto" w:fill="auto"/>
                <w:lang w:val="en-US" w:eastAsia="zh-CN"/>
              </w:rPr>
              <w:t>。</w:t>
            </w:r>
          </w:p>
          <w:p w14:paraId="3B9E5070">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 库房“七防”设施（防火、防盗、防潮、防投毒、防鼠、防蝇、防尘）设施图片及制度齐全，得3分；不全得0分。</w:t>
            </w:r>
          </w:p>
          <w:p w14:paraId="40D0958E">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rPr>
            </w:pP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 xml:space="preserve"> 库房</w:t>
            </w:r>
            <w:r>
              <w:rPr>
                <w:rFonts w:hint="eastAsia" w:cs="宋体"/>
                <w:color w:val="auto"/>
                <w:kern w:val="2"/>
                <w:sz w:val="24"/>
                <w:szCs w:val="24"/>
                <w:highlight w:val="none"/>
                <w:lang w:val="en-US" w:eastAsia="zh-CN" w:bidi="ar-SA"/>
              </w:rPr>
              <w:t>内</w:t>
            </w:r>
            <w:r>
              <w:rPr>
                <w:rFonts w:hint="eastAsia" w:ascii="宋体" w:hAnsi="宋体" w:eastAsia="宋体" w:cs="宋体"/>
                <w:color w:val="auto"/>
                <w:kern w:val="2"/>
                <w:sz w:val="24"/>
                <w:szCs w:val="24"/>
                <w:highlight w:val="none"/>
                <w:lang w:val="en-US" w:eastAsia="zh-CN" w:bidi="ar-SA"/>
              </w:rPr>
              <w:t>外安装有监控设备且全方位覆盖，得2分；未达到上述要求，得0分</w:t>
            </w:r>
            <w:r>
              <w:rPr>
                <w:rFonts w:hint="eastAsia" w:ascii="宋体" w:hAnsi="宋体" w:eastAsia="宋体" w:cs="宋体"/>
                <w:color w:val="auto"/>
                <w:kern w:val="0"/>
                <w:sz w:val="24"/>
                <w:szCs w:val="24"/>
                <w:lang w:val="en-US" w:eastAsia="zh-CN" w:bidi="ar"/>
              </w:rPr>
              <w:t>。</w:t>
            </w:r>
          </w:p>
        </w:tc>
      </w:tr>
      <w:tr w14:paraId="098F8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continue"/>
            <w:noWrap w:val="0"/>
            <w:vAlign w:val="center"/>
          </w:tcPr>
          <w:p w14:paraId="37F7171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0CB7D97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6ACD55C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77D7BF5E">
            <w:pPr>
              <w:pStyle w:val="52"/>
              <w:jc w:val="left"/>
              <w:rPr>
                <w:rFonts w:hint="eastAsia" w:ascii="宋体" w:hAnsi="宋体" w:eastAsia="宋体" w:cs="宋体"/>
                <w:b/>
                <w:bCs/>
                <w:sz w:val="24"/>
                <w:szCs w:val="24"/>
                <w:lang w:eastAsia="zh-CN"/>
              </w:rPr>
            </w:pPr>
            <w:r>
              <w:rPr>
                <w:rFonts w:hint="eastAsia" w:ascii="宋体" w:hAnsi="宋体" w:eastAsia="宋体" w:cs="宋体"/>
                <w:b/>
                <w:bCs/>
                <w:sz w:val="24"/>
                <w:szCs w:val="24"/>
              </w:rPr>
              <w:t>人员配备</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5分</w:t>
            </w:r>
            <w:r>
              <w:rPr>
                <w:rFonts w:hint="eastAsia" w:ascii="宋体" w:hAnsi="宋体" w:eastAsia="宋体" w:cs="宋体"/>
                <w:b/>
                <w:bCs/>
                <w:sz w:val="24"/>
                <w:szCs w:val="24"/>
                <w:lang w:eastAsia="zh-CN"/>
              </w:rPr>
              <w:t>）</w:t>
            </w:r>
          </w:p>
          <w:p w14:paraId="22A1DDFB">
            <w:pPr>
              <w:pStyle w:val="52"/>
              <w:jc w:val="left"/>
              <w:rPr>
                <w:rFonts w:hint="eastAsia" w:ascii="宋体" w:hAnsi="宋体" w:cs="宋体"/>
                <w:sz w:val="24"/>
                <w:szCs w:val="24"/>
                <w:lang w:eastAsia="zh-CN"/>
              </w:rPr>
            </w:pPr>
            <w:r>
              <w:rPr>
                <w:rFonts w:hint="eastAsia" w:ascii="宋体" w:hAnsi="宋体" w:eastAsia="宋体" w:cs="宋体"/>
                <w:sz w:val="24"/>
                <w:szCs w:val="24"/>
              </w:rPr>
              <w:t>岗位设置齐全、职责明确、人员配置合理充足，</w:t>
            </w:r>
            <w:r>
              <w:rPr>
                <w:rFonts w:hint="eastAsia" w:ascii="宋体" w:hAnsi="宋体" w:eastAsia="宋体" w:cs="宋体"/>
                <w:sz w:val="24"/>
                <w:szCs w:val="24"/>
                <w:lang w:val="en-US" w:eastAsia="zh-CN"/>
              </w:rPr>
              <w:t>相关</w:t>
            </w:r>
            <w:r>
              <w:rPr>
                <w:rFonts w:hint="eastAsia" w:ascii="宋体" w:hAnsi="宋体" w:eastAsia="宋体" w:cs="宋体"/>
                <w:sz w:val="24"/>
                <w:szCs w:val="24"/>
              </w:rPr>
              <w:t>人员提供人员身份证、健康证</w:t>
            </w:r>
            <w:r>
              <w:rPr>
                <w:rFonts w:hint="eastAsia" w:ascii="宋体" w:hAnsi="宋体" w:eastAsia="宋体" w:cs="宋体"/>
                <w:sz w:val="24"/>
                <w:szCs w:val="24"/>
                <w:lang w:eastAsia="zh-CN"/>
              </w:rPr>
              <w:t>、</w:t>
            </w:r>
            <w:r>
              <w:rPr>
                <w:rFonts w:hint="eastAsia" w:ascii="宋体" w:hAnsi="宋体" w:eastAsia="宋体" w:cs="宋体"/>
                <w:sz w:val="24"/>
                <w:szCs w:val="24"/>
              </w:rPr>
              <w:t>劳务合同</w:t>
            </w:r>
            <w:r>
              <w:rPr>
                <w:rFonts w:hint="eastAsia" w:ascii="宋体" w:hAnsi="宋体" w:eastAsia="宋体" w:cs="宋体"/>
                <w:sz w:val="24"/>
                <w:szCs w:val="24"/>
                <w:lang w:val="en-US" w:eastAsia="zh-CN"/>
              </w:rPr>
              <w:t>及无犯罪证明</w:t>
            </w:r>
            <w:r>
              <w:rPr>
                <w:rFonts w:hint="eastAsia" w:ascii="宋体" w:hAnsi="宋体" w:eastAsia="宋体" w:cs="宋体"/>
                <w:sz w:val="24"/>
                <w:szCs w:val="24"/>
              </w:rPr>
              <w:t>等</w:t>
            </w:r>
            <w:r>
              <w:rPr>
                <w:rFonts w:hint="eastAsia" w:ascii="宋体" w:hAnsi="宋体" w:cs="宋体"/>
                <w:sz w:val="24"/>
                <w:szCs w:val="24"/>
                <w:lang w:eastAsia="zh-CN"/>
              </w:rPr>
              <w:t>；</w:t>
            </w:r>
            <w:r>
              <w:rPr>
                <w:rFonts w:hint="eastAsia" w:ascii="宋体" w:hAnsi="宋体" w:eastAsia="宋体" w:cs="宋体"/>
                <w:sz w:val="24"/>
                <w:szCs w:val="24"/>
              </w:rPr>
              <w:t>司机</w:t>
            </w:r>
            <w:r>
              <w:rPr>
                <w:rFonts w:hint="eastAsia" w:ascii="宋体" w:hAnsi="宋体" w:eastAsia="宋体" w:cs="宋体"/>
                <w:sz w:val="24"/>
                <w:szCs w:val="24"/>
                <w:lang w:val="en-US" w:eastAsia="zh-CN"/>
              </w:rPr>
              <w:t>还须提供</w:t>
            </w:r>
            <w:r>
              <w:rPr>
                <w:rFonts w:hint="eastAsia" w:ascii="宋体" w:hAnsi="宋体" w:eastAsia="宋体" w:cs="宋体"/>
                <w:sz w:val="24"/>
                <w:szCs w:val="24"/>
              </w:rPr>
              <w:t>驾驶证</w:t>
            </w:r>
            <w:r>
              <w:rPr>
                <w:rFonts w:hint="eastAsia" w:ascii="宋体" w:hAnsi="宋体" w:cs="宋体"/>
                <w:sz w:val="24"/>
                <w:szCs w:val="24"/>
                <w:lang w:eastAsia="zh-CN"/>
              </w:rPr>
              <w:t>。</w:t>
            </w:r>
          </w:p>
          <w:p w14:paraId="64833C6B">
            <w:pPr>
              <w:pStyle w:val="52"/>
              <w:jc w:val="left"/>
              <w:rPr>
                <w:rFonts w:hint="eastAsia" w:ascii="宋体" w:hAnsi="宋体" w:eastAsia="宋体" w:cs="宋体"/>
                <w:sz w:val="24"/>
                <w:szCs w:val="24"/>
              </w:rPr>
            </w:pPr>
            <w:r>
              <w:rPr>
                <w:rFonts w:hint="eastAsia" w:ascii="宋体" w:hAnsi="宋体" w:eastAsia="宋体" w:cs="宋体"/>
                <w:sz w:val="24"/>
                <w:szCs w:val="24"/>
              </w:rPr>
              <w:t>①为本项目配备的服务团队人员上述条件齐全有效且达到</w:t>
            </w:r>
            <w:r>
              <w:rPr>
                <w:rFonts w:hint="eastAsia" w:ascii="宋体" w:hAnsi="宋体" w:cs="宋体"/>
                <w:sz w:val="24"/>
                <w:szCs w:val="24"/>
                <w:lang w:val="en-US" w:eastAsia="zh-CN"/>
              </w:rPr>
              <w:t>5</w:t>
            </w:r>
            <w:r>
              <w:rPr>
                <w:rFonts w:hint="eastAsia" w:ascii="宋体" w:hAnsi="宋体" w:eastAsia="宋体" w:cs="宋体"/>
                <w:sz w:val="24"/>
                <w:szCs w:val="24"/>
              </w:rPr>
              <w:t>人以上得5分；</w:t>
            </w:r>
          </w:p>
          <w:p w14:paraId="4F879875">
            <w:pPr>
              <w:pStyle w:val="52"/>
              <w:jc w:val="left"/>
              <w:rPr>
                <w:rFonts w:hint="eastAsia" w:ascii="宋体" w:hAnsi="宋体" w:eastAsia="宋体" w:cs="宋体"/>
                <w:sz w:val="24"/>
                <w:szCs w:val="24"/>
              </w:rPr>
            </w:pPr>
            <w:r>
              <w:rPr>
                <w:rFonts w:hint="eastAsia" w:ascii="宋体" w:hAnsi="宋体" w:eastAsia="宋体" w:cs="宋体"/>
                <w:sz w:val="24"/>
                <w:szCs w:val="24"/>
              </w:rPr>
              <w:t>②为本项目配备的服务团队人员上述条件齐全有效且达到</w:t>
            </w:r>
            <w:r>
              <w:rPr>
                <w:rFonts w:hint="eastAsia" w:ascii="宋体" w:hAnsi="宋体" w:cs="宋体"/>
                <w:sz w:val="24"/>
                <w:szCs w:val="24"/>
                <w:lang w:val="en-US" w:eastAsia="zh-CN"/>
              </w:rPr>
              <w:t>3</w:t>
            </w:r>
            <w:r>
              <w:rPr>
                <w:rFonts w:hint="eastAsia" w:ascii="宋体" w:hAnsi="宋体" w:eastAsia="宋体" w:cs="宋体"/>
                <w:sz w:val="24"/>
                <w:szCs w:val="24"/>
              </w:rPr>
              <w:t>～</w:t>
            </w:r>
            <w:r>
              <w:rPr>
                <w:rFonts w:hint="eastAsia" w:ascii="宋体" w:hAnsi="宋体" w:cs="宋体"/>
                <w:sz w:val="24"/>
                <w:szCs w:val="24"/>
                <w:lang w:val="en-US" w:eastAsia="zh-CN"/>
              </w:rPr>
              <w:t>4</w:t>
            </w:r>
            <w:r>
              <w:rPr>
                <w:rFonts w:hint="eastAsia" w:ascii="宋体" w:hAnsi="宋体" w:eastAsia="宋体" w:cs="宋体"/>
                <w:sz w:val="24"/>
                <w:szCs w:val="24"/>
              </w:rPr>
              <w:t>人分得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09BF75C2">
            <w:pPr>
              <w:keepNext w:val="0"/>
              <w:keepLines w:val="0"/>
              <w:pageBreakBefore w:val="0"/>
              <w:kinsoku/>
              <w:wordWrap/>
              <w:overflowPunct/>
              <w:topLinePunct w:val="0"/>
              <w:bidi w:val="0"/>
              <w:adjustRightInd/>
              <w:snapToGrid/>
              <w:spacing w:line="400" w:lineRule="exact"/>
              <w:ind w:left="0" w:right="0"/>
              <w:jc w:val="left"/>
              <w:textAlignment w:val="auto"/>
              <w:rPr>
                <w:rFonts w:hint="eastAsia" w:cs="宋体"/>
                <w:color w:val="auto"/>
                <w:kern w:val="2"/>
                <w:sz w:val="24"/>
                <w:szCs w:val="24"/>
                <w:highlight w:val="none"/>
                <w:lang w:val="en-US" w:eastAsia="zh-CN" w:bidi="ar-SA"/>
              </w:rPr>
            </w:pPr>
            <w:r>
              <w:rPr>
                <w:rFonts w:hint="eastAsia" w:ascii="宋体" w:hAnsi="宋体" w:eastAsia="宋体" w:cs="宋体"/>
                <w:sz w:val="24"/>
                <w:szCs w:val="24"/>
              </w:rPr>
              <w:t>③人员配置</w:t>
            </w:r>
            <w:r>
              <w:rPr>
                <w:rFonts w:hint="eastAsia" w:ascii="宋体" w:hAnsi="宋体" w:cs="宋体"/>
                <w:sz w:val="24"/>
                <w:szCs w:val="24"/>
                <w:lang w:val="en-US" w:eastAsia="zh-CN"/>
              </w:rPr>
              <w:t>不足3人得1分，少于2人得0分</w:t>
            </w:r>
            <w:r>
              <w:rPr>
                <w:rFonts w:hint="eastAsia" w:ascii="宋体" w:hAnsi="宋体" w:eastAsia="宋体" w:cs="宋体"/>
                <w:sz w:val="24"/>
                <w:szCs w:val="24"/>
              </w:rPr>
              <w:t>。</w:t>
            </w:r>
          </w:p>
        </w:tc>
      </w:tr>
      <w:tr w14:paraId="41710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4" w:hRule="atLeast"/>
        </w:trPr>
        <w:tc>
          <w:tcPr>
            <w:tcW w:w="789" w:type="dxa"/>
            <w:vMerge w:val="continue"/>
            <w:noWrap w:val="0"/>
            <w:vAlign w:val="center"/>
          </w:tcPr>
          <w:p w14:paraId="3077163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1EA480B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499D069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5E750BAA">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2"/>
                <w:sz w:val="24"/>
                <w:szCs w:val="24"/>
                <w:highlight w:val="none"/>
                <w:lang w:val="en-US" w:eastAsia="zh-CN" w:bidi="ar-SA"/>
              </w:rPr>
              <w:t>配送车辆（6分）</w:t>
            </w:r>
            <w:r>
              <w:rPr>
                <w:rFonts w:hint="eastAsia" w:ascii="宋体" w:hAnsi="宋体" w:eastAsia="宋体" w:cs="宋体"/>
                <w:color w:val="auto"/>
                <w:kern w:val="2"/>
                <w:sz w:val="24"/>
                <w:szCs w:val="24"/>
                <w:highlight w:val="none"/>
                <w:lang w:val="en-US" w:eastAsia="zh-CN" w:bidi="ar-SA"/>
              </w:rPr>
              <w:t>：投标人须具有</w:t>
            </w: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辆以上自有或租赁（租赁车辆须提供租赁合同等证明材料）符合安全运输标准的厢式运输专用车辆等相关配送设备，须提供车辆</w:t>
            </w:r>
            <w:r>
              <w:rPr>
                <w:rFonts w:hint="eastAsia" w:cs="宋体"/>
                <w:color w:val="auto"/>
                <w:kern w:val="2"/>
                <w:sz w:val="24"/>
                <w:szCs w:val="24"/>
                <w:highlight w:val="none"/>
                <w:lang w:val="en-US" w:eastAsia="zh-CN" w:bidi="ar-SA"/>
              </w:rPr>
              <w:t>（车辆照片彩页）、</w:t>
            </w:r>
            <w:r>
              <w:rPr>
                <w:rFonts w:hint="eastAsia" w:ascii="宋体" w:hAnsi="宋体" w:eastAsia="宋体" w:cs="宋体"/>
                <w:color w:val="auto"/>
                <w:kern w:val="2"/>
                <w:sz w:val="24"/>
                <w:szCs w:val="24"/>
                <w:highlight w:val="none"/>
                <w:lang w:val="en-US" w:eastAsia="zh-CN" w:bidi="ar-SA"/>
              </w:rPr>
              <w:t>行驶证满足项目基本配送车辆要求得3分（少于</w:t>
            </w: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辆不得分），车辆数量每增加1辆加1分，最多加3分，满分6分。</w:t>
            </w:r>
          </w:p>
        </w:tc>
      </w:tr>
      <w:tr w14:paraId="5C138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78" w:hRule="atLeast"/>
        </w:trPr>
        <w:tc>
          <w:tcPr>
            <w:tcW w:w="789" w:type="dxa"/>
            <w:vMerge w:val="continue"/>
            <w:noWrap w:val="0"/>
            <w:vAlign w:val="center"/>
          </w:tcPr>
          <w:p w14:paraId="7398984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noWrap w:val="0"/>
            <w:vAlign w:val="center"/>
          </w:tcPr>
          <w:p w14:paraId="063F158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467" w:type="dxa"/>
            <w:noWrap w:val="0"/>
            <w:vAlign w:val="center"/>
          </w:tcPr>
          <w:p w14:paraId="48705507">
            <w:pPr>
              <w:pStyle w:val="50"/>
              <w:keepNext w:val="0"/>
              <w:keepLines w:val="0"/>
              <w:pageBreakBefore w:val="0"/>
              <w:tabs>
                <w:tab w:val="clear" w:pos="4153"/>
                <w:tab w:val="clear" w:pos="8306"/>
              </w:tabs>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质量及安全控制措施</w:t>
            </w:r>
            <w:r>
              <w:rPr>
                <w:rFonts w:hint="eastAsia" w:ascii="宋体" w:hAnsi="宋体" w:eastAsia="宋体" w:cs="宋体"/>
                <w:bCs/>
                <w:color w:val="auto"/>
                <w:sz w:val="24"/>
                <w:szCs w:val="24"/>
                <w:highlight w:val="none"/>
              </w:rPr>
              <w:t>（</w:t>
            </w:r>
            <w:r>
              <w:rPr>
                <w:rFonts w:hint="eastAsia" w:cs="宋体"/>
                <w:bCs/>
                <w:color w:val="auto"/>
                <w:sz w:val="24"/>
                <w:szCs w:val="24"/>
                <w:highlight w:val="none"/>
                <w:lang w:val="en-US" w:eastAsia="zh-CN"/>
              </w:rPr>
              <w:t>10</w:t>
            </w:r>
            <w:r>
              <w:rPr>
                <w:rFonts w:hint="eastAsia" w:ascii="宋体" w:hAnsi="宋体" w:eastAsia="宋体" w:cs="宋体"/>
                <w:bCs/>
                <w:color w:val="auto"/>
                <w:sz w:val="24"/>
                <w:szCs w:val="24"/>
                <w:highlight w:val="none"/>
              </w:rPr>
              <w:t>分）</w:t>
            </w:r>
          </w:p>
        </w:tc>
        <w:tc>
          <w:tcPr>
            <w:tcW w:w="6529" w:type="dxa"/>
            <w:noWrap w:val="0"/>
            <w:vAlign w:val="center"/>
          </w:tcPr>
          <w:p w14:paraId="1600B1F1">
            <w:pPr>
              <w:keepNext w:val="0"/>
              <w:keepLines w:val="0"/>
              <w:pageBreakBefore w:val="0"/>
              <w:numPr>
                <w:ilvl w:val="0"/>
                <w:numId w:val="16"/>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根据项目需求内容制定整体质量保证措施：方案至少包括①质量安全保证具体措施；②卫生安全；③货物的来源；④采购环节控制；⑤加工包装保存运输等环节。提供必要的证明材料复印件或扫描件（包括但不限于销售协议、代理商授权、检测报告等）。以上5项内容齐全，针对性强、条理清晰、表述准确得分10分。每缺少一项内容扣2分（缺陷是指在完整性、可实施性和针对性等方面存在瑕疵或实用性不强）。</w:t>
            </w:r>
          </w:p>
          <w:p w14:paraId="59AC3624">
            <w:pPr>
              <w:keepNext w:val="0"/>
              <w:keepLines w:val="0"/>
              <w:pageBreakBefore w:val="0"/>
              <w:numPr>
                <w:ilvl w:val="0"/>
                <w:numId w:val="16"/>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根据评审标准对供应商技术方案进行评审，每一条不符合本项目特点和实际需求，存在缺陷或实用性不强的扣1分，扣完为止。</w:t>
            </w:r>
          </w:p>
          <w:p w14:paraId="152867B4">
            <w:pPr>
              <w:keepNext w:val="0"/>
              <w:keepLines w:val="0"/>
              <w:pageBreakBefore w:val="0"/>
              <w:numPr>
                <w:ilvl w:val="0"/>
                <w:numId w:val="16"/>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评审标准： </w:t>
            </w:r>
          </w:p>
          <w:p w14:paraId="0B1E0B62">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完整性：方案须全面，对评审内容中的各项要求有详细描述； </w:t>
            </w:r>
          </w:p>
          <w:p w14:paraId="38ABB9C3">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可实施性：切合本项目实际情况，实施步骤清晰、合理； </w:t>
            </w:r>
          </w:p>
          <w:p w14:paraId="3EFB9718">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针对性：方案能够紧扣项目实际情况，内容科学合理。 </w:t>
            </w:r>
          </w:p>
        </w:tc>
      </w:tr>
      <w:tr w14:paraId="5AF71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0" w:hRule="atLeast"/>
        </w:trPr>
        <w:tc>
          <w:tcPr>
            <w:tcW w:w="789" w:type="dxa"/>
            <w:vMerge w:val="continue"/>
            <w:noWrap w:val="0"/>
            <w:vAlign w:val="center"/>
          </w:tcPr>
          <w:p w14:paraId="0B7A808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noWrap w:val="0"/>
            <w:vAlign w:val="center"/>
          </w:tcPr>
          <w:p w14:paraId="7D59CEA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467" w:type="dxa"/>
            <w:noWrap w:val="0"/>
            <w:vAlign w:val="center"/>
          </w:tcPr>
          <w:p w14:paraId="1B0FA2C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w:t>
            </w:r>
          </w:p>
          <w:p w14:paraId="16E3FEB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p>
        </w:tc>
        <w:tc>
          <w:tcPr>
            <w:tcW w:w="6529" w:type="dxa"/>
            <w:noWrap w:val="0"/>
            <w:vAlign w:val="center"/>
          </w:tcPr>
          <w:p w14:paraId="44ED04CC">
            <w:pPr>
              <w:keepNext w:val="0"/>
              <w:keepLines w:val="0"/>
              <w:pageBreakBefore w:val="0"/>
              <w:numPr>
                <w:ilvl w:val="0"/>
                <w:numId w:val="17"/>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制定在验货时出现问题的方案：包括但不限于①</w:t>
            </w:r>
            <w:r>
              <w:rPr>
                <w:rFonts w:hint="eastAsia" w:cs="宋体"/>
                <w:color w:val="auto"/>
                <w:sz w:val="24"/>
                <w:szCs w:val="24"/>
                <w:highlight w:val="none"/>
                <w:lang w:val="en-US" w:eastAsia="zh-CN"/>
              </w:rPr>
              <w:t>应急方案措施；</w:t>
            </w:r>
            <w:r>
              <w:rPr>
                <w:rFonts w:hint="eastAsia" w:ascii="宋体" w:hAnsi="宋体" w:eastAsia="宋体" w:cs="宋体"/>
                <w:color w:val="auto"/>
                <w:sz w:val="24"/>
                <w:szCs w:val="24"/>
                <w:highlight w:val="none"/>
                <w:lang w:val="en-US" w:eastAsia="zh-CN"/>
              </w:rPr>
              <w:t>②响应速度快；③退换货服务方案描述无缺漏；</w:t>
            </w:r>
            <w:r>
              <w:rPr>
                <w:rFonts w:hint="eastAsia" w:cs="宋体"/>
                <w:color w:val="auto"/>
                <w:sz w:val="24"/>
                <w:szCs w:val="24"/>
                <w:highlight w:val="none"/>
                <w:lang w:val="en-US" w:eastAsia="zh-CN"/>
              </w:rPr>
              <w:t>④</w:t>
            </w:r>
            <w:r>
              <w:rPr>
                <w:rFonts w:hint="eastAsia" w:ascii="宋体" w:hAnsi="宋体" w:eastAsia="宋体" w:cs="宋体"/>
                <w:color w:val="auto"/>
                <w:sz w:val="24"/>
                <w:szCs w:val="24"/>
                <w:highlight w:val="none"/>
                <w:lang w:val="en-US" w:eastAsia="zh-CN"/>
              </w:rPr>
              <w:t>联系人员及电话。</w:t>
            </w:r>
          </w:p>
          <w:p w14:paraId="5E52E5D9">
            <w:pPr>
              <w:keepNext w:val="0"/>
              <w:keepLines w:val="0"/>
              <w:pageBreakBefore w:val="0"/>
              <w:numPr>
                <w:ilvl w:val="0"/>
                <w:numId w:val="17"/>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项内容齐全，针对性强、条理清晰、表述准确得分</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分。每缺少一项内容扣</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分，每一项存在缺陷扣0.</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分（缺陷是指在完整性、可实施性和针对性等方面存在瑕疵或实用性不强）。</w:t>
            </w:r>
          </w:p>
          <w:p w14:paraId="2379BD70">
            <w:pPr>
              <w:keepNext w:val="0"/>
              <w:keepLines w:val="0"/>
              <w:pageBreakBefore w:val="0"/>
              <w:numPr>
                <w:ilvl w:val="0"/>
                <w:numId w:val="17"/>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评审标准： </w:t>
            </w:r>
          </w:p>
          <w:p w14:paraId="3CA68F45">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完整性：方案须全面，对评审内容中的各项要求有详细描述； </w:t>
            </w:r>
          </w:p>
          <w:p w14:paraId="1C6CD634">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可实施性：切合本项目实际情况，实施步骤清晰、合理； </w:t>
            </w:r>
          </w:p>
          <w:p w14:paraId="11F985B2">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针对性：方案能够紧扣项目实际情况，内容科学合理。</w:t>
            </w:r>
          </w:p>
        </w:tc>
      </w:tr>
      <w:tr w14:paraId="3FC56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0" w:hRule="atLeast"/>
        </w:trPr>
        <w:tc>
          <w:tcPr>
            <w:tcW w:w="789" w:type="dxa"/>
            <w:noWrap w:val="0"/>
            <w:vAlign w:val="center"/>
          </w:tcPr>
          <w:p w14:paraId="46013DE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w:t>
            </w:r>
          </w:p>
          <w:p w14:paraId="60DFD87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743" w:type="dxa"/>
            <w:noWrap w:val="0"/>
            <w:vAlign w:val="center"/>
          </w:tcPr>
          <w:p w14:paraId="6ECDE8A5">
            <w:pPr>
              <w:keepNext w:val="0"/>
              <w:keepLines w:val="0"/>
              <w:pageBreakBefore w:val="0"/>
              <w:kinsoku/>
              <w:wordWrap/>
              <w:overflowPunct/>
              <w:topLinePunct w:val="0"/>
              <w:bidi w:val="0"/>
              <w:adjustRightInd/>
              <w:snapToGrid/>
              <w:spacing w:line="40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p>
        </w:tc>
        <w:tc>
          <w:tcPr>
            <w:tcW w:w="1467" w:type="dxa"/>
            <w:noWrap w:val="0"/>
            <w:vAlign w:val="center"/>
          </w:tcPr>
          <w:p w14:paraId="591ED04D">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业绩</w:t>
            </w:r>
          </w:p>
          <w:p w14:paraId="6C5F639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p>
        </w:tc>
        <w:tc>
          <w:tcPr>
            <w:tcW w:w="6529" w:type="dxa"/>
            <w:noWrap w:val="0"/>
            <w:vAlign w:val="center"/>
          </w:tcPr>
          <w:p w14:paraId="08A9D95E">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供应商提供自2023年7月至今，具有同类项目业绩（</w:t>
            </w:r>
            <w:r>
              <w:rPr>
                <w:rFonts w:hint="eastAsia" w:cs="宋体"/>
                <w:color w:val="auto"/>
                <w:sz w:val="24"/>
                <w:szCs w:val="24"/>
                <w:highlight w:val="none"/>
                <w:lang w:val="en-US" w:eastAsia="zh-CN"/>
              </w:rPr>
              <w:t>包括但不限于各级各类学校、党政机关、企事业单位、医疗机构等食材配送服务项目</w:t>
            </w:r>
            <w:r>
              <w:rPr>
                <w:rFonts w:hint="eastAsia" w:ascii="宋体" w:hAnsi="宋体" w:eastAsia="宋体" w:cs="宋体"/>
                <w:color w:val="auto"/>
                <w:sz w:val="24"/>
                <w:szCs w:val="24"/>
                <w:highlight w:val="none"/>
                <w:lang w:val="en-US" w:eastAsia="zh-CN"/>
              </w:rPr>
              <w:t>），以合同复印件和中标通知书为准，每提供一个得</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分，满分</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tc>
      </w:tr>
      <w:tr w14:paraId="1532F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19" w:hRule="atLeast"/>
        </w:trPr>
        <w:tc>
          <w:tcPr>
            <w:tcW w:w="2999" w:type="dxa"/>
            <w:gridSpan w:val="3"/>
            <w:noWrap w:val="0"/>
            <w:vAlign w:val="center"/>
          </w:tcPr>
          <w:p w14:paraId="13BF85F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评标程序</w:t>
            </w:r>
          </w:p>
          <w:p w14:paraId="5A6EB9E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p>
        </w:tc>
        <w:tc>
          <w:tcPr>
            <w:tcW w:w="6529" w:type="dxa"/>
            <w:noWrap w:val="0"/>
            <w:vAlign w:val="top"/>
          </w:tcPr>
          <w:p w14:paraId="4E60FA7B">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1.开标后，由</w:t>
            </w:r>
            <w:r>
              <w:rPr>
                <w:rFonts w:hint="eastAsia" w:cs="宋体"/>
                <w:color w:val="auto"/>
                <w:sz w:val="24"/>
                <w:szCs w:val="24"/>
                <w:highlight w:val="none"/>
                <w:lang w:val="en-US" w:eastAsia="zh-CN"/>
              </w:rPr>
              <w:t>采购人或代理机构</w:t>
            </w:r>
            <w:r>
              <w:rPr>
                <w:rFonts w:hint="eastAsia" w:ascii="宋体" w:hAnsi="宋体" w:eastAsia="宋体" w:cs="宋体"/>
                <w:color w:val="auto"/>
                <w:sz w:val="24"/>
                <w:szCs w:val="24"/>
                <w:highlight w:val="none"/>
                <w:lang w:val="en-US" w:eastAsia="zh-CN"/>
              </w:rPr>
              <w:t xml:space="preserve">对投标单位进行资格性评审，资格性评审合格的响应文件进行符合性评审。不合格的单位，不再对其进行后续评审与分值评定。 </w:t>
            </w:r>
          </w:p>
          <w:p w14:paraId="39823C55">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2.如经过对所有供应商的响应文件进行评审，有效投标不足三个使得投标明显缺乏竞</w:t>
            </w:r>
            <w:r>
              <w:rPr>
                <w:rFonts w:hint="eastAsia" w:cs="宋体"/>
                <w:color w:val="auto"/>
                <w:sz w:val="24"/>
                <w:szCs w:val="24"/>
                <w:highlight w:val="none"/>
                <w:lang w:val="en-US" w:eastAsia="zh-CN"/>
              </w:rPr>
              <w:t>争性</w:t>
            </w:r>
            <w:r>
              <w:rPr>
                <w:rFonts w:hint="eastAsia" w:ascii="宋体" w:hAnsi="宋体" w:eastAsia="宋体" w:cs="宋体"/>
                <w:color w:val="auto"/>
                <w:sz w:val="24"/>
                <w:szCs w:val="24"/>
                <w:highlight w:val="none"/>
                <w:lang w:val="en-US" w:eastAsia="zh-CN"/>
              </w:rPr>
              <w:t>的，</w:t>
            </w:r>
            <w:r>
              <w:rPr>
                <w:rFonts w:hint="eastAsia" w:cs="宋体"/>
                <w:color w:val="auto"/>
                <w:sz w:val="24"/>
                <w:szCs w:val="24"/>
                <w:highlight w:val="none"/>
                <w:lang w:val="en-US" w:eastAsia="zh-CN"/>
              </w:rPr>
              <w:t>评标委员会</w:t>
            </w:r>
            <w:r>
              <w:rPr>
                <w:rFonts w:hint="eastAsia" w:ascii="宋体" w:hAnsi="宋体" w:eastAsia="宋体" w:cs="宋体"/>
                <w:color w:val="auto"/>
                <w:sz w:val="24"/>
                <w:szCs w:val="24"/>
                <w:highlight w:val="none"/>
                <w:lang w:val="en-US" w:eastAsia="zh-CN"/>
              </w:rPr>
              <w:t xml:space="preserve">可以否决全部投标。 </w:t>
            </w:r>
          </w:p>
          <w:p w14:paraId="53BF3C51">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评标委员会</w:t>
            </w:r>
            <w:r>
              <w:rPr>
                <w:rFonts w:hint="eastAsia" w:ascii="宋体" w:hAnsi="宋体" w:eastAsia="宋体" w:cs="宋体"/>
                <w:color w:val="auto"/>
                <w:sz w:val="24"/>
                <w:szCs w:val="24"/>
                <w:highlight w:val="none"/>
                <w:lang w:val="en-US" w:eastAsia="zh-CN"/>
              </w:rPr>
              <w:t>应当根据综合评分情况，按照评审得分由高到低顺序推荐 3 名以上成交候选供应商，并编写评审报告报采购人。评审得分相同的，按照最后报价由低到高的顺序推荐。评审得分且最后报价相同的，按照</w:t>
            </w:r>
            <w:r>
              <w:rPr>
                <w:rFonts w:hint="eastAsia"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方案优劣顺序推荐。</w:t>
            </w:r>
          </w:p>
        </w:tc>
      </w:tr>
    </w:tbl>
    <w:p w14:paraId="5D8C7C1E">
      <w:pPr>
        <w:pStyle w:val="12"/>
        <w:rPr>
          <w:rFonts w:hint="eastAsia"/>
          <w:color w:val="auto"/>
          <w:lang w:val="en-US" w:eastAsia="zh-CN"/>
        </w:rPr>
      </w:pPr>
    </w:p>
    <w:p w14:paraId="1D22DA4C">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46CE630A">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6FE7E3AB">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7D3C9630">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5739933E">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3AC8BB09">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4ED47674">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48D13135">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0F0A1E88">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147130ED">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4599D99D">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6585A485">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7C6B58EB">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4495966D">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6D7D2FB4">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6726E825">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5CDB46FB">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110B2965">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536B028B">
      <w:pPr>
        <w:pStyle w:val="7"/>
        <w:keepNext w:val="0"/>
        <w:keepLines w:val="0"/>
        <w:pageBreakBefore w:val="0"/>
        <w:kinsoku/>
        <w:wordWrap/>
        <w:overflowPunct/>
        <w:topLinePunct w:val="0"/>
        <w:bidi w:val="0"/>
        <w:adjustRightInd/>
        <w:snapToGrid/>
        <w:spacing w:line="400" w:lineRule="exact"/>
        <w:ind w:left="0" w:leftChars="0" w:right="0" w:rightChars="0" w:firstLine="0" w:firstLineChars="0"/>
        <w:textAlignment w:val="auto"/>
        <w:rPr>
          <w:rFonts w:hint="eastAsia"/>
          <w:color w:val="auto"/>
          <w:lang w:val="en-US" w:eastAsia="zh-CN"/>
        </w:rPr>
      </w:pPr>
    </w:p>
    <w:p w14:paraId="1F68A7FF">
      <w:pPr>
        <w:pStyle w:val="7"/>
        <w:keepNext w:val="0"/>
        <w:keepLines w:val="0"/>
        <w:pageBreakBefore w:val="0"/>
        <w:kinsoku/>
        <w:wordWrap/>
        <w:overflowPunct/>
        <w:topLinePunct w:val="0"/>
        <w:bidi w:val="0"/>
        <w:adjustRightInd/>
        <w:snapToGrid/>
        <w:spacing w:line="400" w:lineRule="exact"/>
        <w:ind w:left="0" w:leftChars="0" w:right="0" w:rightChars="0" w:firstLine="0" w:firstLineChars="0"/>
        <w:textAlignment w:val="auto"/>
        <w:rPr>
          <w:color w:val="auto"/>
        </w:rPr>
      </w:pPr>
      <w:r>
        <w:rPr>
          <w:rFonts w:hint="eastAsia"/>
          <w:color w:val="auto"/>
          <w:lang w:val="en-US" w:eastAsia="zh-CN"/>
        </w:rPr>
        <w:t>合同包六</w:t>
      </w:r>
      <w:r>
        <w:rPr>
          <w:color w:val="auto"/>
        </w:rPr>
        <w:t>：</w:t>
      </w:r>
      <w:r>
        <w:rPr>
          <w:rFonts w:hint="eastAsia" w:cs="宋体"/>
          <w:color w:val="auto"/>
          <w:lang w:val="en-US" w:eastAsia="zh-CN"/>
        </w:rPr>
        <w:t>B片区营养午餐蔬菜、水果、干货及调味品采购</w:t>
      </w:r>
    </w:p>
    <w:p w14:paraId="1DA7F87F">
      <w:pPr>
        <w:pageBreakBefore w:val="0"/>
        <w:topLinePunct w:val="0"/>
        <w:bidi w:val="0"/>
        <w:spacing w:line="500" w:lineRule="exact"/>
        <w:ind w:left="0" w:leftChars="0" w:right="0" w:rightChars="0" w:firstLine="482" w:firstLineChars="200"/>
        <w:rPr>
          <w:rFonts w:hint="eastAsia"/>
          <w:b/>
          <w:bCs/>
          <w:color w:val="auto"/>
          <w:sz w:val="24"/>
          <w:szCs w:val="24"/>
          <w:lang w:val="en-US" w:eastAsia="zh-CN"/>
        </w:rPr>
      </w:pPr>
    </w:p>
    <w:tbl>
      <w:tblPr>
        <w:tblStyle w:val="23"/>
        <w:tblW w:w="9528"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743"/>
        <w:gridCol w:w="1467"/>
        <w:gridCol w:w="6529"/>
      </w:tblGrid>
      <w:tr w14:paraId="062DF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5" w:hRule="atLeast"/>
        </w:trPr>
        <w:tc>
          <w:tcPr>
            <w:tcW w:w="789" w:type="dxa"/>
            <w:noWrap w:val="0"/>
            <w:vAlign w:val="center"/>
          </w:tcPr>
          <w:p w14:paraId="33B67AC7">
            <w:pPr>
              <w:pStyle w:val="49"/>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类别</w:t>
            </w:r>
          </w:p>
        </w:tc>
        <w:tc>
          <w:tcPr>
            <w:tcW w:w="743" w:type="dxa"/>
            <w:noWrap w:val="0"/>
            <w:vAlign w:val="center"/>
          </w:tcPr>
          <w:p w14:paraId="0B8E33D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467" w:type="dxa"/>
            <w:noWrap w:val="0"/>
            <w:vAlign w:val="center"/>
          </w:tcPr>
          <w:p w14:paraId="5FF8B330">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评审要素及分值</w:t>
            </w:r>
          </w:p>
        </w:tc>
        <w:tc>
          <w:tcPr>
            <w:tcW w:w="6529" w:type="dxa"/>
            <w:noWrap w:val="0"/>
            <w:vAlign w:val="center"/>
          </w:tcPr>
          <w:p w14:paraId="70EA616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赋分标准</w:t>
            </w:r>
          </w:p>
        </w:tc>
      </w:tr>
      <w:tr w14:paraId="2FEAC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54" w:hRule="atLeast"/>
        </w:trPr>
        <w:tc>
          <w:tcPr>
            <w:tcW w:w="789" w:type="dxa"/>
            <w:noWrap w:val="0"/>
            <w:vAlign w:val="center"/>
          </w:tcPr>
          <w:p w14:paraId="437534BC">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p w14:paraId="72062390">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w:t>
            </w:r>
          </w:p>
        </w:tc>
        <w:tc>
          <w:tcPr>
            <w:tcW w:w="743" w:type="dxa"/>
            <w:noWrap w:val="0"/>
            <w:vAlign w:val="center"/>
          </w:tcPr>
          <w:p w14:paraId="01A28BC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67" w:type="dxa"/>
            <w:noWrap w:val="0"/>
            <w:vAlign w:val="center"/>
          </w:tcPr>
          <w:p w14:paraId="1823720E">
            <w:pPr>
              <w:keepNext w:val="0"/>
              <w:keepLines w:val="0"/>
              <w:pageBreakBefore w:val="0"/>
              <w:widowControl/>
              <w:kinsoku/>
              <w:wordWrap/>
              <w:overflowPunct/>
              <w:topLinePunct w:val="0"/>
              <w:bidi w:val="0"/>
              <w:adjustRightInd/>
              <w:snapToGrid/>
              <w:spacing w:line="400" w:lineRule="exact"/>
              <w:ind w:left="0" w:right="0" w:hanging="2"/>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w:t>
            </w:r>
          </w:p>
          <w:p w14:paraId="218A7728">
            <w:pPr>
              <w:keepNext w:val="0"/>
              <w:keepLines w:val="0"/>
              <w:pageBreakBefore w:val="0"/>
              <w:widowControl/>
              <w:kinsoku/>
              <w:wordWrap/>
              <w:overflowPunct/>
              <w:topLinePunct w:val="0"/>
              <w:bidi w:val="0"/>
              <w:adjustRightInd/>
              <w:snapToGrid/>
              <w:spacing w:line="400" w:lineRule="exact"/>
              <w:ind w:left="0" w:right="0" w:hanging="2"/>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30分</w:t>
            </w:r>
            <w:r>
              <w:rPr>
                <w:rFonts w:hint="eastAsia" w:cs="宋体"/>
                <w:color w:val="auto"/>
                <w:sz w:val="24"/>
                <w:szCs w:val="24"/>
                <w:highlight w:val="none"/>
                <w:lang w:val="en-US" w:eastAsia="zh-CN"/>
              </w:rPr>
              <w:t>）</w:t>
            </w:r>
          </w:p>
        </w:tc>
        <w:tc>
          <w:tcPr>
            <w:tcW w:w="6529" w:type="dxa"/>
            <w:noWrap w:val="0"/>
            <w:vAlign w:val="center"/>
          </w:tcPr>
          <w:p w14:paraId="594DDBCD">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以满足招标文件要求且投标报价最低的为评标基准价，其价格分为满分 30 分，其他供应商的价格分按照下列公式计算：投标报价得分=（评标基准价/投标报价）×30。</w:t>
            </w:r>
            <w:r>
              <w:rPr>
                <w:rFonts w:hint="eastAsia" w:cs="宋体"/>
                <w:color w:val="auto"/>
                <w:sz w:val="24"/>
                <w:szCs w:val="24"/>
                <w:highlight w:val="none"/>
                <w:lang w:val="en-US" w:eastAsia="zh-CN"/>
              </w:rPr>
              <w:t>（</w:t>
            </w:r>
            <w:r>
              <w:rPr>
                <w:rFonts w:hint="eastAsia"/>
                <w:b/>
                <w:bCs/>
                <w:color w:val="auto"/>
                <w:sz w:val="24"/>
                <w:szCs w:val="24"/>
                <w:lang w:val="en-US" w:eastAsia="zh-CN"/>
              </w:rPr>
              <w:t>符合招标文件规定的小微企业、监狱企业或残疾人福利性单位优惠条件的供应商，价格给予10%的扣除（不重复优惠，最高为10%），用扣除后的价格参与评审。</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 </w:t>
            </w:r>
          </w:p>
        </w:tc>
      </w:tr>
      <w:tr w14:paraId="12231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restart"/>
            <w:noWrap w:val="0"/>
            <w:vAlign w:val="center"/>
          </w:tcPr>
          <w:p w14:paraId="6D58A2CD">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p>
          <w:p w14:paraId="79A3720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64</w:t>
            </w:r>
            <w:r>
              <w:rPr>
                <w:rFonts w:hint="eastAsia" w:ascii="宋体" w:hAnsi="宋体" w:eastAsia="宋体" w:cs="宋体"/>
                <w:color w:val="auto"/>
                <w:sz w:val="24"/>
                <w:szCs w:val="24"/>
                <w:highlight w:val="none"/>
              </w:rPr>
              <w:t>分</w:t>
            </w:r>
          </w:p>
        </w:tc>
        <w:tc>
          <w:tcPr>
            <w:tcW w:w="743" w:type="dxa"/>
            <w:vMerge w:val="restart"/>
            <w:noWrap w:val="0"/>
            <w:vAlign w:val="center"/>
          </w:tcPr>
          <w:p w14:paraId="11AC8D4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467" w:type="dxa"/>
            <w:vMerge w:val="restart"/>
            <w:noWrap w:val="0"/>
            <w:vAlign w:val="center"/>
          </w:tcPr>
          <w:p w14:paraId="1A173E5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技术方案</w:t>
            </w:r>
          </w:p>
          <w:p w14:paraId="472FA27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w:t>
            </w:r>
            <w:r>
              <w:rPr>
                <w:rFonts w:hint="eastAsia" w:cs="宋体"/>
                <w:bCs/>
                <w:color w:val="auto"/>
                <w:sz w:val="24"/>
                <w:szCs w:val="24"/>
                <w:highlight w:val="none"/>
                <w:lang w:val="en-US" w:eastAsia="zh-CN"/>
              </w:rPr>
              <w:t>50</w:t>
            </w:r>
            <w:r>
              <w:rPr>
                <w:rFonts w:hint="eastAsia" w:ascii="宋体" w:hAnsi="宋体" w:eastAsia="宋体" w:cs="宋体"/>
                <w:bCs/>
                <w:color w:val="auto"/>
                <w:sz w:val="24"/>
                <w:szCs w:val="24"/>
                <w:highlight w:val="none"/>
              </w:rPr>
              <w:t>分）</w:t>
            </w:r>
          </w:p>
        </w:tc>
        <w:tc>
          <w:tcPr>
            <w:tcW w:w="6529" w:type="dxa"/>
            <w:noWrap w:val="0"/>
            <w:vAlign w:val="center"/>
          </w:tcPr>
          <w:p w14:paraId="63F61D4F">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产品渠道（5分）：</w:t>
            </w:r>
          </w:p>
          <w:p w14:paraId="1DE59928">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1.产品来源渠道合法且相关证明材料（包括但不限于销售协议、代理协议、原厂授权等）符合要求的得3分，提供但不完整的得2分，未提供或存在明显问题的得0分。</w:t>
            </w:r>
          </w:p>
          <w:p w14:paraId="36D52E51">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2.核心产品生产厂家连带质量责任承担承诺，符合规范的得 2分，承诺不规范的得1分，无有效承诺的得0分。</w:t>
            </w:r>
          </w:p>
          <w:p w14:paraId="71EE1BBF">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技术指标（1</w:t>
            </w:r>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提供所投产品执行</w:t>
            </w:r>
            <w:r>
              <w:rPr>
                <w:rFonts w:hint="eastAsia" w:cs="宋体"/>
                <w:color w:val="auto"/>
                <w:sz w:val="24"/>
                <w:szCs w:val="24"/>
                <w:highlight w:val="none"/>
                <w:lang w:val="en-US" w:eastAsia="zh-CN"/>
              </w:rPr>
              <w:t>国家</w:t>
            </w:r>
            <w:r>
              <w:rPr>
                <w:rFonts w:hint="eastAsia" w:ascii="宋体" w:hAnsi="宋体" w:eastAsia="宋体" w:cs="宋体"/>
                <w:color w:val="auto"/>
                <w:sz w:val="24"/>
                <w:szCs w:val="24"/>
                <w:highlight w:val="none"/>
                <w:lang w:val="en-US" w:eastAsia="zh-CN"/>
              </w:rPr>
              <w:t>标准所检测的本年度产品技术参数及质检报告，参数清晰明确，技术指标和规格完全满足招标文件要求，检测报告等印证资料齐全。</w:t>
            </w:r>
          </w:p>
          <w:p w14:paraId="7D56C182">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1.产品完全满足要求、质量优良，印证资料完善、符合标准规范、能充分佐证产品质量的，得1</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19285C98">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2.产品满足要求、质量优良，印证资料较为完善、符合标准规范、能佐证产品质量的，得</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p w14:paraId="7D046736">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3.产品基本满足要求、质量合格，印证资料较为完善、基本符合标准规范、能佐证产品质量的，得</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4AE69B3B">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4.产品不能满足要求，印证资料不完善、不符合标准规范、难以佐证产品质量的，得0分。</w:t>
            </w:r>
          </w:p>
          <w:p w14:paraId="6CC29B79">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ascii="宋体" w:hAnsi="宋体" w:eastAsia="宋体" w:cs="宋体"/>
                <w:b/>
                <w:bCs/>
                <w:color w:val="auto"/>
                <w:sz w:val="24"/>
                <w:szCs w:val="24"/>
                <w:highlight w:val="none"/>
                <w:lang w:val="en-US"/>
              </w:rPr>
            </w:pPr>
            <w:r>
              <w:rPr>
                <w:rFonts w:hint="eastAsia" w:cs="宋体"/>
                <w:b/>
                <w:bCs/>
                <w:color w:val="auto"/>
                <w:sz w:val="24"/>
                <w:szCs w:val="24"/>
                <w:highlight w:val="none"/>
                <w:lang w:val="en-US" w:eastAsia="zh-CN"/>
              </w:rPr>
              <w:t>（所有材料需提供原件的扫描件）</w:t>
            </w:r>
          </w:p>
        </w:tc>
      </w:tr>
      <w:tr w14:paraId="29ACF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89" w:hRule="atLeast"/>
        </w:trPr>
        <w:tc>
          <w:tcPr>
            <w:tcW w:w="789" w:type="dxa"/>
            <w:vMerge w:val="continue"/>
            <w:noWrap w:val="0"/>
            <w:vAlign w:val="center"/>
          </w:tcPr>
          <w:p w14:paraId="5D644180">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6E35DF3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p>
        </w:tc>
        <w:tc>
          <w:tcPr>
            <w:tcW w:w="1467" w:type="dxa"/>
            <w:vMerge w:val="continue"/>
            <w:noWrap w:val="0"/>
            <w:vAlign w:val="center"/>
          </w:tcPr>
          <w:p w14:paraId="5CB9104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p>
        </w:tc>
        <w:tc>
          <w:tcPr>
            <w:tcW w:w="6529" w:type="dxa"/>
            <w:noWrap w:val="0"/>
            <w:vAlign w:val="center"/>
          </w:tcPr>
          <w:p w14:paraId="442FE55E">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总体方案（</w:t>
            </w:r>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w:t>
            </w:r>
          </w:p>
          <w:p w14:paraId="368790CA">
            <w:pPr>
              <w:rPr>
                <w:rFonts w:hint="eastAsia" w:ascii="宋体" w:hAnsi="宋体" w:eastAsia="宋体" w:cs="宋体"/>
                <w:sz w:val="24"/>
                <w:szCs w:val="24"/>
              </w:rPr>
            </w:pPr>
            <w:r>
              <w:rPr>
                <w:rFonts w:hint="eastAsia" w:ascii="宋体" w:hAnsi="宋体" w:eastAsia="宋体" w:cs="宋体"/>
                <w:sz w:val="24"/>
                <w:szCs w:val="24"/>
              </w:rPr>
              <w:t>根据项目需求编制</w:t>
            </w:r>
            <w:r>
              <w:rPr>
                <w:rFonts w:hint="eastAsia" w:ascii="宋体" w:hAnsi="宋体" w:eastAsia="宋体" w:cs="宋体"/>
                <w:sz w:val="24"/>
                <w:szCs w:val="24"/>
                <w:lang w:eastAsia="zh-CN"/>
              </w:rPr>
              <w:t>实施</w:t>
            </w:r>
            <w:r>
              <w:rPr>
                <w:rFonts w:hint="eastAsia" w:ascii="宋体" w:hAnsi="宋体" w:eastAsia="宋体" w:cs="宋体"/>
                <w:sz w:val="24"/>
                <w:szCs w:val="24"/>
              </w:rPr>
              <w:t>方案</w:t>
            </w:r>
            <w:r>
              <w:rPr>
                <w:rFonts w:hint="eastAsia" w:ascii="宋体" w:hAnsi="宋体" w:cs="宋体"/>
                <w:sz w:val="24"/>
                <w:szCs w:val="24"/>
                <w:lang w:eastAsia="zh-CN"/>
              </w:rPr>
              <w:t>：</w:t>
            </w:r>
            <w:r>
              <w:rPr>
                <w:rFonts w:hint="eastAsia" w:ascii="宋体" w:hAnsi="宋体" w:cs="宋体"/>
                <w:sz w:val="24"/>
                <w:szCs w:val="24"/>
                <w:lang w:val="en-US" w:eastAsia="zh-CN"/>
              </w:rPr>
              <w:t>方案至少包括</w:t>
            </w:r>
            <w:r>
              <w:rPr>
                <w:rFonts w:hint="eastAsia" w:ascii="宋体" w:hAnsi="宋体" w:eastAsia="宋体" w:cs="宋体"/>
                <w:sz w:val="24"/>
                <w:szCs w:val="24"/>
              </w:rPr>
              <w:t>①供货保障</w:t>
            </w:r>
            <w:r>
              <w:rPr>
                <w:rFonts w:hint="eastAsia" w:ascii="宋体" w:hAnsi="宋体" w:cs="宋体"/>
                <w:sz w:val="24"/>
                <w:szCs w:val="24"/>
                <w:lang w:eastAsia="zh-CN"/>
              </w:rPr>
              <w:t>；</w:t>
            </w:r>
            <w:r>
              <w:rPr>
                <w:rFonts w:hint="eastAsia" w:ascii="宋体" w:hAnsi="宋体" w:eastAsia="宋体" w:cs="宋体"/>
                <w:sz w:val="24"/>
                <w:szCs w:val="24"/>
              </w:rPr>
              <w:t>②管理制度</w:t>
            </w:r>
            <w:r>
              <w:rPr>
                <w:rFonts w:hint="eastAsia" w:ascii="宋体" w:hAnsi="宋体" w:cs="宋体"/>
                <w:sz w:val="24"/>
                <w:szCs w:val="24"/>
                <w:lang w:eastAsia="zh-CN"/>
              </w:rPr>
              <w:t>；</w:t>
            </w:r>
            <w:r>
              <w:rPr>
                <w:rFonts w:hint="eastAsia" w:ascii="宋体" w:hAnsi="宋体" w:eastAsia="宋体" w:cs="宋体"/>
                <w:sz w:val="24"/>
                <w:szCs w:val="24"/>
              </w:rPr>
              <w:t>③运行模式</w:t>
            </w:r>
            <w:r>
              <w:rPr>
                <w:rFonts w:hint="eastAsia" w:ascii="宋体" w:hAnsi="宋体" w:cs="宋体"/>
                <w:sz w:val="24"/>
                <w:szCs w:val="24"/>
                <w:lang w:eastAsia="zh-CN"/>
              </w:rPr>
              <w:t>。</w:t>
            </w:r>
            <w:r>
              <w:rPr>
                <w:rFonts w:hint="eastAsia" w:ascii="宋体" w:hAnsi="宋体" w:eastAsia="宋体" w:cs="宋体"/>
                <w:sz w:val="24"/>
                <w:szCs w:val="24"/>
                <w:lang w:eastAsia="zh-CN"/>
              </w:rPr>
              <w:t>以上</w:t>
            </w:r>
            <w:r>
              <w:rPr>
                <w:rFonts w:hint="eastAsia" w:ascii="宋体" w:hAnsi="宋体" w:eastAsia="宋体" w:cs="宋体"/>
                <w:sz w:val="24"/>
                <w:szCs w:val="24"/>
                <w:lang w:val="en-US" w:eastAsia="zh-CN"/>
              </w:rPr>
              <w:t>3项内容齐全，针对性强、条理清晰、表述准确得分</w:t>
            </w:r>
            <w:r>
              <w:rPr>
                <w:rFonts w:hint="eastAsia" w:cs="宋体"/>
                <w:sz w:val="24"/>
                <w:szCs w:val="24"/>
                <w:lang w:val="en-US" w:eastAsia="zh-CN"/>
              </w:rPr>
              <w:t>6</w:t>
            </w:r>
            <w:r>
              <w:rPr>
                <w:rFonts w:hint="eastAsia" w:ascii="宋体" w:hAnsi="宋体" w:eastAsia="宋体" w:cs="宋体"/>
                <w:sz w:val="24"/>
                <w:szCs w:val="24"/>
                <w:lang w:val="en-US" w:eastAsia="zh-CN"/>
              </w:rPr>
              <w:t>分。每缺少一项内容扣</w:t>
            </w:r>
            <w:r>
              <w:rPr>
                <w:rFonts w:hint="eastAsia" w:cs="宋体"/>
                <w:sz w:val="24"/>
                <w:szCs w:val="24"/>
                <w:lang w:val="en-US" w:eastAsia="zh-CN"/>
              </w:rPr>
              <w:t>2</w:t>
            </w:r>
            <w:r>
              <w:rPr>
                <w:rFonts w:hint="eastAsia" w:ascii="宋体" w:hAnsi="宋体" w:eastAsia="宋体" w:cs="宋体"/>
                <w:sz w:val="24"/>
                <w:szCs w:val="24"/>
                <w:lang w:val="en-US" w:eastAsia="zh-CN"/>
              </w:rPr>
              <w:t>分（缺陷是指在完整性、可实施性和针对性等方面存在瑕疵或实用性不强）</w:t>
            </w:r>
            <w:r>
              <w:rPr>
                <w:rFonts w:hint="eastAsia" w:ascii="宋体" w:hAnsi="宋体" w:eastAsia="宋体" w:cs="宋体"/>
                <w:sz w:val="24"/>
                <w:szCs w:val="24"/>
              </w:rPr>
              <w:t>。</w:t>
            </w:r>
          </w:p>
          <w:p w14:paraId="31CACC13">
            <w:pPr>
              <w:rPr>
                <w:rFonts w:hint="eastAsia" w:ascii="宋体" w:hAnsi="宋体" w:eastAsia="宋体" w:cs="宋体"/>
                <w:sz w:val="24"/>
                <w:szCs w:val="24"/>
              </w:rPr>
            </w:pPr>
            <w:r>
              <w:rPr>
                <w:rFonts w:hint="eastAsia" w:ascii="宋体" w:hAnsi="宋体" w:eastAsia="宋体" w:cs="宋体"/>
                <w:sz w:val="24"/>
                <w:szCs w:val="24"/>
              </w:rPr>
              <w:t>根据评审标准对供应商技术方案进行评审，每一条不符合本项目特点和实际需求，存在缺陷或实用性不强的扣1分，扣完为止。</w:t>
            </w:r>
          </w:p>
          <w:p w14:paraId="77E7E2B4">
            <w:pPr>
              <w:rPr>
                <w:rFonts w:hint="eastAsia" w:ascii="宋体" w:hAnsi="宋体" w:eastAsia="宋体" w:cs="宋体"/>
                <w:sz w:val="24"/>
                <w:szCs w:val="24"/>
              </w:rPr>
            </w:pPr>
            <w:r>
              <w:rPr>
                <w:rFonts w:hint="eastAsia" w:ascii="宋体" w:hAnsi="宋体" w:eastAsia="宋体" w:cs="宋体"/>
                <w:sz w:val="24"/>
                <w:szCs w:val="24"/>
              </w:rPr>
              <w:t xml:space="preserve">评审标准： </w:t>
            </w:r>
          </w:p>
          <w:p w14:paraId="18676E6A">
            <w:pPr>
              <w:rPr>
                <w:rFonts w:hint="eastAsia" w:ascii="宋体" w:hAnsi="宋体" w:eastAsia="宋体" w:cs="宋体"/>
                <w:sz w:val="24"/>
                <w:szCs w:val="24"/>
              </w:rPr>
            </w:pPr>
            <w:r>
              <w:rPr>
                <w:rFonts w:hint="eastAsia" w:ascii="宋体" w:hAnsi="宋体" w:eastAsia="宋体" w:cs="宋体"/>
                <w:sz w:val="24"/>
                <w:szCs w:val="24"/>
              </w:rPr>
              <w:t xml:space="preserve">完整性：方案须全面，对评审内容中的各项要求有详细描述； </w:t>
            </w:r>
          </w:p>
          <w:p w14:paraId="22F94A8C">
            <w:pPr>
              <w:rPr>
                <w:rFonts w:hint="eastAsia" w:ascii="宋体" w:hAnsi="宋体" w:eastAsia="宋体" w:cs="宋体"/>
                <w:sz w:val="24"/>
                <w:szCs w:val="24"/>
              </w:rPr>
            </w:pPr>
            <w:r>
              <w:rPr>
                <w:rFonts w:hint="eastAsia" w:ascii="宋体" w:hAnsi="宋体" w:eastAsia="宋体" w:cs="宋体"/>
                <w:sz w:val="24"/>
                <w:szCs w:val="24"/>
              </w:rPr>
              <w:t xml:space="preserve">可实施性：切合本项目实际情况，实施步骤清晰、合理； </w:t>
            </w:r>
          </w:p>
          <w:p w14:paraId="0CBF162C">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针对性：方案能够紧扣项目实际情况，内容科学合理。 </w:t>
            </w:r>
          </w:p>
        </w:tc>
      </w:tr>
      <w:tr w14:paraId="25204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continue"/>
            <w:noWrap w:val="0"/>
            <w:vAlign w:val="center"/>
          </w:tcPr>
          <w:p w14:paraId="69675A7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509402F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25FF26B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31B6F64F">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仓储</w:t>
            </w:r>
            <w:r>
              <w:rPr>
                <w:rFonts w:hint="eastAsia" w:ascii="宋体" w:hAnsi="宋体" w:eastAsia="宋体" w:cs="宋体"/>
                <w:b/>
                <w:bCs/>
                <w:color w:val="auto"/>
                <w:sz w:val="24"/>
                <w:szCs w:val="24"/>
                <w:highlight w:val="none"/>
              </w:rPr>
              <w:t>和冷藏</w:t>
            </w:r>
            <w:r>
              <w:rPr>
                <w:rFonts w:hint="eastAsia" w:ascii="宋体" w:hAnsi="宋体" w:eastAsia="宋体" w:cs="宋体"/>
                <w:b/>
                <w:bCs/>
                <w:color w:val="auto"/>
                <w:sz w:val="24"/>
                <w:szCs w:val="24"/>
                <w:highlight w:val="none"/>
                <w:lang w:eastAsia="zh-CN"/>
              </w:rPr>
              <w:t>保</w:t>
            </w:r>
            <w:r>
              <w:rPr>
                <w:rFonts w:hint="eastAsia" w:ascii="宋体" w:hAnsi="宋体" w:eastAsia="宋体" w:cs="宋体"/>
                <w:b/>
                <w:bCs/>
                <w:color w:val="auto"/>
                <w:sz w:val="24"/>
                <w:szCs w:val="24"/>
                <w:highlight w:val="none"/>
              </w:rPr>
              <w:t>鲜</w:t>
            </w:r>
            <w:r>
              <w:rPr>
                <w:rFonts w:hint="eastAsia" w:ascii="宋体" w:hAnsi="宋体" w:eastAsia="宋体" w:cs="宋体"/>
                <w:b/>
                <w:bCs/>
                <w:color w:val="auto"/>
                <w:sz w:val="24"/>
                <w:szCs w:val="24"/>
                <w:highlight w:val="none"/>
                <w:lang w:val="en-US" w:eastAsia="zh-CN"/>
              </w:rPr>
              <w:t>能力（</w:t>
            </w:r>
            <w:r>
              <w:rPr>
                <w:rFonts w:hint="eastAsia" w:cs="宋体"/>
                <w:b/>
                <w:bCs/>
                <w:color w:val="auto"/>
                <w:sz w:val="24"/>
                <w:szCs w:val="24"/>
                <w:highlight w:val="none"/>
                <w:lang w:val="en-US" w:eastAsia="zh-CN"/>
              </w:rPr>
              <w:t>12</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kern w:val="2"/>
                <w:sz w:val="24"/>
                <w:szCs w:val="24"/>
                <w:highlight w:val="none"/>
                <w:lang w:val="en-US" w:eastAsia="zh-CN" w:bidi="ar-SA"/>
              </w:rPr>
              <w:t>：有独立的仓库，且为</w:t>
            </w:r>
            <w:r>
              <w:rPr>
                <w:rFonts w:hint="eastAsia" w:cs="宋体"/>
                <w:color w:val="auto"/>
                <w:kern w:val="2"/>
                <w:sz w:val="24"/>
                <w:szCs w:val="24"/>
                <w:highlight w:val="none"/>
                <w:lang w:val="en-US" w:eastAsia="zh-CN" w:bidi="ar-SA"/>
              </w:rPr>
              <w:t>食品</w:t>
            </w:r>
            <w:r>
              <w:rPr>
                <w:rFonts w:hint="eastAsia" w:ascii="宋体" w:hAnsi="宋体" w:eastAsia="宋体" w:cs="宋体"/>
                <w:color w:val="auto"/>
                <w:kern w:val="2"/>
                <w:sz w:val="24"/>
                <w:szCs w:val="24"/>
                <w:highlight w:val="none"/>
                <w:lang w:val="en-US" w:eastAsia="zh-CN" w:bidi="ar-SA"/>
              </w:rPr>
              <w:t>材料存储专用库</w:t>
            </w:r>
            <w:r>
              <w:rPr>
                <w:rFonts w:hint="eastAsia"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提供库房自有证明或租赁合同和仓储设备及其他能反映出其适合产品储存、周转的证明材料，满足相关食材所要求的存储要求</w:t>
            </w:r>
            <w:r>
              <w:rPr>
                <w:rFonts w:hint="eastAsia" w:cs="宋体"/>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en-US" w:eastAsia="zh-CN" w:bidi="ar-SA"/>
              </w:rPr>
              <w:t>证明材料中所用的照片必须为清晰的全方位彩色照片</w:t>
            </w:r>
            <w:r>
              <w:rPr>
                <w:rFonts w:hint="eastAsia" w:cs="宋体"/>
                <w:b/>
                <w:bCs/>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 </w:t>
            </w:r>
          </w:p>
          <w:p w14:paraId="09BE9223">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 xml:space="preserve"> 投标人有独立的仓库，且为</w:t>
            </w:r>
            <w:r>
              <w:rPr>
                <w:rFonts w:hint="eastAsia" w:cs="宋体"/>
                <w:color w:val="auto"/>
                <w:kern w:val="2"/>
                <w:sz w:val="24"/>
                <w:szCs w:val="24"/>
                <w:highlight w:val="none"/>
                <w:lang w:val="en-US" w:eastAsia="zh-CN" w:bidi="ar-SA"/>
              </w:rPr>
              <w:t>食品</w:t>
            </w:r>
            <w:r>
              <w:rPr>
                <w:rFonts w:hint="eastAsia" w:ascii="宋体" w:hAnsi="宋体" w:eastAsia="宋体" w:cs="宋体"/>
                <w:color w:val="auto"/>
                <w:kern w:val="2"/>
                <w:sz w:val="24"/>
                <w:szCs w:val="24"/>
                <w:highlight w:val="none"/>
                <w:lang w:val="en-US" w:eastAsia="zh-CN" w:bidi="ar-SA"/>
              </w:rPr>
              <w:t>材料存储专用库，根据库房位置、面积，以及提供库房场所自有或租赁证明资料、仓储设备证明材料、</w:t>
            </w:r>
            <w:r>
              <w:rPr>
                <w:rFonts w:hint="eastAsia" w:cs="宋体"/>
                <w:color w:val="auto"/>
                <w:kern w:val="2"/>
                <w:sz w:val="24"/>
                <w:szCs w:val="24"/>
                <w:highlight w:val="none"/>
                <w:lang w:val="en-US" w:eastAsia="zh-CN" w:bidi="ar-SA"/>
              </w:rPr>
              <w:t>仓库管理</w:t>
            </w:r>
            <w:r>
              <w:rPr>
                <w:rFonts w:hint="eastAsia" w:ascii="宋体" w:hAnsi="宋体" w:eastAsia="宋体" w:cs="宋体"/>
                <w:color w:val="auto"/>
                <w:kern w:val="2"/>
                <w:sz w:val="24"/>
                <w:szCs w:val="24"/>
                <w:highlight w:val="none"/>
                <w:lang w:val="en-US" w:eastAsia="zh-CN" w:bidi="ar-SA"/>
              </w:rPr>
              <w:t>制度等，库房面积≥300㎡，得4分；库房面积＜</w:t>
            </w:r>
            <w:r>
              <w:rPr>
                <w:rFonts w:hint="eastAsia"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00㎡，得</w:t>
            </w:r>
            <w:r>
              <w:rPr>
                <w:rFonts w:hint="eastAsia"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分</w:t>
            </w:r>
            <w:r>
              <w:rPr>
                <w:rFonts w:hint="eastAsia"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无独立库</w:t>
            </w:r>
            <w:r>
              <w:rPr>
                <w:rFonts w:hint="eastAsia" w:cs="宋体"/>
                <w:color w:val="auto"/>
                <w:kern w:val="2"/>
                <w:sz w:val="24"/>
                <w:szCs w:val="24"/>
                <w:highlight w:val="none"/>
                <w:lang w:val="en-US" w:eastAsia="zh-CN" w:bidi="ar-SA"/>
              </w:rPr>
              <w:t>房得0分</w:t>
            </w:r>
            <w:r>
              <w:rPr>
                <w:rFonts w:hint="eastAsia" w:ascii="宋体" w:hAnsi="宋体" w:eastAsia="宋体" w:cs="宋体"/>
                <w:color w:val="auto"/>
                <w:kern w:val="2"/>
                <w:sz w:val="24"/>
                <w:szCs w:val="24"/>
                <w:highlight w:val="none"/>
                <w:lang w:val="en-US" w:eastAsia="zh-CN" w:bidi="ar-SA"/>
              </w:rPr>
              <w:t xml:space="preserve">。 </w:t>
            </w:r>
          </w:p>
          <w:p w14:paraId="5F894F38">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 xml:space="preserve"> 仓库</w:t>
            </w:r>
            <w:r>
              <w:rPr>
                <w:rFonts w:hint="eastAsia" w:cs="宋体"/>
                <w:color w:val="auto"/>
                <w:kern w:val="2"/>
                <w:sz w:val="24"/>
                <w:szCs w:val="24"/>
                <w:highlight w:val="none"/>
                <w:lang w:val="en-US" w:eastAsia="zh-CN" w:bidi="ar-SA"/>
              </w:rPr>
              <w:t>条件能满足</w:t>
            </w:r>
            <w:r>
              <w:rPr>
                <w:rFonts w:hint="eastAsia" w:ascii="宋体" w:hAnsi="宋体" w:eastAsia="宋体" w:cs="宋体"/>
                <w:color w:val="auto"/>
                <w:kern w:val="2"/>
                <w:sz w:val="24"/>
                <w:szCs w:val="24"/>
                <w:highlight w:val="none"/>
                <w:lang w:val="en-US" w:eastAsia="zh-CN" w:bidi="ar-SA"/>
              </w:rPr>
              <w:t>相关食材存储所要求的</w:t>
            </w:r>
            <w:r>
              <w:rPr>
                <w:rFonts w:hint="eastAsia" w:cs="宋体"/>
                <w:color w:val="auto"/>
                <w:kern w:val="2"/>
                <w:sz w:val="24"/>
                <w:szCs w:val="24"/>
                <w:highlight w:val="none"/>
                <w:lang w:val="en-US" w:eastAsia="zh-CN" w:bidi="ar-SA"/>
              </w:rPr>
              <w:t>通风、</w:t>
            </w:r>
            <w:r>
              <w:rPr>
                <w:rFonts w:hint="eastAsia" w:ascii="宋体" w:hAnsi="宋体" w:eastAsia="宋体" w:cs="宋体"/>
                <w:color w:val="auto"/>
                <w:kern w:val="2"/>
                <w:sz w:val="24"/>
                <w:szCs w:val="24"/>
                <w:highlight w:val="none"/>
                <w:lang w:val="en-US" w:eastAsia="zh-CN" w:bidi="ar-SA"/>
              </w:rPr>
              <w:t>温</w:t>
            </w:r>
            <w:r>
              <w:rPr>
                <w:rFonts w:hint="eastAsia" w:cs="宋体"/>
                <w:color w:val="auto"/>
                <w:kern w:val="2"/>
                <w:sz w:val="24"/>
                <w:szCs w:val="24"/>
                <w:highlight w:val="none"/>
                <w:lang w:val="en-US" w:eastAsia="zh-CN" w:bidi="ar-SA"/>
              </w:rPr>
              <w:t>度</w:t>
            </w:r>
            <w:r>
              <w:rPr>
                <w:rFonts w:hint="eastAsia" w:ascii="宋体" w:hAnsi="宋体" w:eastAsia="宋体" w:cs="宋体"/>
                <w:color w:val="auto"/>
                <w:kern w:val="2"/>
                <w:sz w:val="24"/>
                <w:szCs w:val="24"/>
                <w:highlight w:val="none"/>
                <w:lang w:val="en-US" w:eastAsia="zh-CN" w:bidi="ar-SA"/>
              </w:rPr>
              <w:t>、湿度条件</w:t>
            </w:r>
            <w:r>
              <w:rPr>
                <w:rFonts w:hint="eastAsia" w:cs="宋体"/>
                <w:color w:val="auto"/>
                <w:kern w:val="2"/>
                <w:sz w:val="24"/>
                <w:szCs w:val="24"/>
                <w:highlight w:val="none"/>
                <w:lang w:val="en-US" w:eastAsia="zh-CN" w:bidi="ar-SA"/>
              </w:rPr>
              <w:t>的</w:t>
            </w:r>
            <w:r>
              <w:rPr>
                <w:rFonts w:hint="eastAsia" w:ascii="宋体" w:hAnsi="宋体" w:eastAsia="宋体" w:cs="宋体"/>
                <w:color w:val="auto"/>
                <w:kern w:val="2"/>
                <w:sz w:val="24"/>
                <w:szCs w:val="24"/>
                <w:highlight w:val="none"/>
                <w:lang w:val="en-US" w:eastAsia="zh-CN" w:bidi="ar-SA"/>
              </w:rPr>
              <w:t>得3分</w:t>
            </w:r>
            <w:r>
              <w:rPr>
                <w:rFonts w:hint="eastAsia" w:cs="宋体"/>
                <w:color w:val="auto"/>
                <w:kern w:val="2"/>
                <w:sz w:val="24"/>
                <w:szCs w:val="24"/>
                <w:highlight w:val="none"/>
                <w:lang w:val="en-US" w:eastAsia="zh-CN" w:bidi="ar-SA"/>
              </w:rPr>
              <w:t>，无法满足的得0分</w:t>
            </w:r>
            <w:r>
              <w:rPr>
                <w:rFonts w:hint="eastAsia" w:ascii="宋体" w:hAnsi="宋体" w:eastAsia="宋体" w:cs="宋体"/>
                <w:color w:val="auto"/>
                <w:kern w:val="2"/>
                <w:sz w:val="24"/>
                <w:szCs w:val="24"/>
                <w:highlight w:val="none"/>
                <w:lang w:val="en-US" w:eastAsia="zh-CN" w:bidi="ar-SA"/>
              </w:rPr>
              <w:t xml:space="preserve">。 </w:t>
            </w:r>
          </w:p>
          <w:p w14:paraId="13027942">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 xml:space="preserve"> 库房“七防”设施（防火、防盗、防潮、防投毒、防鼠、防蝇、防尘）设施图片及制度齐全，得3分；不全得0分。 </w:t>
            </w:r>
          </w:p>
          <w:p w14:paraId="003CEDAA">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rPr>
            </w:pP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 xml:space="preserve"> 库房</w:t>
            </w:r>
            <w:r>
              <w:rPr>
                <w:rFonts w:hint="eastAsia" w:cs="宋体"/>
                <w:color w:val="auto"/>
                <w:kern w:val="2"/>
                <w:sz w:val="24"/>
                <w:szCs w:val="24"/>
                <w:highlight w:val="none"/>
                <w:lang w:val="en-US" w:eastAsia="zh-CN" w:bidi="ar-SA"/>
              </w:rPr>
              <w:t>内</w:t>
            </w:r>
            <w:r>
              <w:rPr>
                <w:rFonts w:hint="eastAsia" w:ascii="宋体" w:hAnsi="宋体" w:eastAsia="宋体" w:cs="宋体"/>
                <w:color w:val="auto"/>
                <w:kern w:val="2"/>
                <w:sz w:val="24"/>
                <w:szCs w:val="24"/>
                <w:highlight w:val="none"/>
                <w:lang w:val="en-US" w:eastAsia="zh-CN" w:bidi="ar-SA"/>
              </w:rPr>
              <w:t>外安装有监控设备且全方位覆盖，得2分；未达到上述要求，得0分</w:t>
            </w:r>
            <w:r>
              <w:rPr>
                <w:rFonts w:hint="eastAsia" w:ascii="宋体" w:hAnsi="宋体" w:eastAsia="宋体" w:cs="宋体"/>
                <w:color w:val="auto"/>
                <w:kern w:val="0"/>
                <w:sz w:val="24"/>
                <w:szCs w:val="24"/>
                <w:lang w:val="en-US" w:eastAsia="zh-CN" w:bidi="ar"/>
              </w:rPr>
              <w:t>。</w:t>
            </w:r>
          </w:p>
        </w:tc>
      </w:tr>
      <w:tr w14:paraId="2EAC7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continue"/>
            <w:noWrap w:val="0"/>
            <w:vAlign w:val="center"/>
          </w:tcPr>
          <w:p w14:paraId="61FD397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49ABDBB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14989DA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7343174C">
            <w:pPr>
              <w:pStyle w:val="52"/>
              <w:jc w:val="left"/>
              <w:rPr>
                <w:rFonts w:hint="eastAsia" w:ascii="宋体" w:hAnsi="宋体" w:eastAsia="宋体" w:cs="宋体"/>
                <w:b/>
                <w:bCs/>
                <w:sz w:val="24"/>
                <w:szCs w:val="24"/>
                <w:lang w:eastAsia="zh-CN"/>
              </w:rPr>
            </w:pPr>
            <w:r>
              <w:rPr>
                <w:rFonts w:hint="eastAsia" w:ascii="宋体" w:hAnsi="宋体" w:eastAsia="宋体" w:cs="宋体"/>
                <w:b/>
                <w:bCs/>
                <w:sz w:val="24"/>
                <w:szCs w:val="24"/>
              </w:rPr>
              <w:t>人员配备</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5分</w:t>
            </w:r>
            <w:r>
              <w:rPr>
                <w:rFonts w:hint="eastAsia" w:ascii="宋体" w:hAnsi="宋体" w:eastAsia="宋体" w:cs="宋体"/>
                <w:b/>
                <w:bCs/>
                <w:sz w:val="24"/>
                <w:szCs w:val="24"/>
                <w:lang w:eastAsia="zh-CN"/>
              </w:rPr>
              <w:t>）</w:t>
            </w:r>
          </w:p>
          <w:p w14:paraId="6905AA25">
            <w:pPr>
              <w:pStyle w:val="52"/>
              <w:jc w:val="left"/>
              <w:rPr>
                <w:rFonts w:hint="eastAsia" w:ascii="宋体" w:hAnsi="宋体" w:cs="宋体"/>
                <w:sz w:val="24"/>
                <w:szCs w:val="24"/>
                <w:lang w:eastAsia="zh-CN"/>
              </w:rPr>
            </w:pPr>
            <w:r>
              <w:rPr>
                <w:rFonts w:hint="eastAsia" w:ascii="宋体" w:hAnsi="宋体" w:eastAsia="宋体" w:cs="宋体"/>
                <w:sz w:val="24"/>
                <w:szCs w:val="24"/>
              </w:rPr>
              <w:t>岗位设置齐全、职责明确、人员配置合理充足，</w:t>
            </w:r>
            <w:r>
              <w:rPr>
                <w:rFonts w:hint="eastAsia" w:ascii="宋体" w:hAnsi="宋体" w:eastAsia="宋体" w:cs="宋体"/>
                <w:sz w:val="24"/>
                <w:szCs w:val="24"/>
                <w:lang w:val="en-US" w:eastAsia="zh-CN"/>
              </w:rPr>
              <w:t>相关</w:t>
            </w:r>
            <w:r>
              <w:rPr>
                <w:rFonts w:hint="eastAsia" w:ascii="宋体" w:hAnsi="宋体" w:eastAsia="宋体" w:cs="宋体"/>
                <w:sz w:val="24"/>
                <w:szCs w:val="24"/>
              </w:rPr>
              <w:t>人员提供人员身份证、健康证</w:t>
            </w:r>
            <w:r>
              <w:rPr>
                <w:rFonts w:hint="eastAsia" w:ascii="宋体" w:hAnsi="宋体" w:eastAsia="宋体" w:cs="宋体"/>
                <w:sz w:val="24"/>
                <w:szCs w:val="24"/>
                <w:lang w:eastAsia="zh-CN"/>
              </w:rPr>
              <w:t>、</w:t>
            </w:r>
            <w:r>
              <w:rPr>
                <w:rFonts w:hint="eastAsia" w:ascii="宋体" w:hAnsi="宋体" w:eastAsia="宋体" w:cs="宋体"/>
                <w:sz w:val="24"/>
                <w:szCs w:val="24"/>
              </w:rPr>
              <w:t>劳务合同</w:t>
            </w:r>
            <w:r>
              <w:rPr>
                <w:rFonts w:hint="eastAsia" w:ascii="宋体" w:hAnsi="宋体" w:eastAsia="宋体" w:cs="宋体"/>
                <w:sz w:val="24"/>
                <w:szCs w:val="24"/>
                <w:lang w:val="en-US" w:eastAsia="zh-CN"/>
              </w:rPr>
              <w:t>及无犯罪证明</w:t>
            </w:r>
            <w:r>
              <w:rPr>
                <w:rFonts w:hint="eastAsia" w:ascii="宋体" w:hAnsi="宋体" w:eastAsia="宋体" w:cs="宋体"/>
                <w:sz w:val="24"/>
                <w:szCs w:val="24"/>
              </w:rPr>
              <w:t>等</w:t>
            </w:r>
            <w:r>
              <w:rPr>
                <w:rFonts w:hint="eastAsia" w:ascii="宋体" w:hAnsi="宋体" w:cs="宋体"/>
                <w:sz w:val="24"/>
                <w:szCs w:val="24"/>
                <w:lang w:eastAsia="zh-CN"/>
              </w:rPr>
              <w:t>；</w:t>
            </w:r>
            <w:r>
              <w:rPr>
                <w:rFonts w:hint="eastAsia" w:ascii="宋体" w:hAnsi="宋体" w:eastAsia="宋体" w:cs="宋体"/>
                <w:sz w:val="24"/>
                <w:szCs w:val="24"/>
              </w:rPr>
              <w:t>司机</w:t>
            </w:r>
            <w:r>
              <w:rPr>
                <w:rFonts w:hint="eastAsia" w:ascii="宋体" w:hAnsi="宋体" w:eastAsia="宋体" w:cs="宋体"/>
                <w:sz w:val="24"/>
                <w:szCs w:val="24"/>
                <w:lang w:val="en-US" w:eastAsia="zh-CN"/>
              </w:rPr>
              <w:t>还须提供</w:t>
            </w:r>
            <w:r>
              <w:rPr>
                <w:rFonts w:hint="eastAsia" w:ascii="宋体" w:hAnsi="宋体" w:eastAsia="宋体" w:cs="宋体"/>
                <w:sz w:val="24"/>
                <w:szCs w:val="24"/>
              </w:rPr>
              <w:t>驾驶证</w:t>
            </w:r>
            <w:r>
              <w:rPr>
                <w:rFonts w:hint="eastAsia" w:ascii="宋体" w:hAnsi="宋体" w:cs="宋体"/>
                <w:sz w:val="24"/>
                <w:szCs w:val="24"/>
                <w:lang w:eastAsia="zh-CN"/>
              </w:rPr>
              <w:t>。</w:t>
            </w:r>
          </w:p>
          <w:p w14:paraId="11173701">
            <w:pPr>
              <w:pStyle w:val="52"/>
              <w:jc w:val="left"/>
              <w:rPr>
                <w:rFonts w:hint="eastAsia" w:ascii="宋体" w:hAnsi="宋体" w:eastAsia="宋体" w:cs="宋体"/>
                <w:sz w:val="24"/>
                <w:szCs w:val="24"/>
              </w:rPr>
            </w:pPr>
            <w:r>
              <w:rPr>
                <w:rFonts w:hint="eastAsia" w:ascii="宋体" w:hAnsi="宋体" w:eastAsia="宋体" w:cs="宋体"/>
                <w:sz w:val="24"/>
                <w:szCs w:val="24"/>
              </w:rPr>
              <w:t>①为本项目配备的服务团队人员上述条件齐全有效且达到</w:t>
            </w:r>
            <w:r>
              <w:rPr>
                <w:rFonts w:hint="eastAsia" w:ascii="宋体" w:hAnsi="宋体" w:cs="宋体"/>
                <w:sz w:val="24"/>
                <w:szCs w:val="24"/>
                <w:lang w:val="en-US" w:eastAsia="zh-CN"/>
              </w:rPr>
              <w:t>12</w:t>
            </w:r>
            <w:r>
              <w:rPr>
                <w:rFonts w:hint="eastAsia" w:ascii="宋体" w:hAnsi="宋体" w:eastAsia="宋体" w:cs="宋体"/>
                <w:sz w:val="24"/>
                <w:szCs w:val="24"/>
              </w:rPr>
              <w:t>人以上得5分；</w:t>
            </w:r>
          </w:p>
          <w:p w14:paraId="5FF9D8AB">
            <w:pPr>
              <w:pStyle w:val="52"/>
              <w:jc w:val="left"/>
              <w:rPr>
                <w:rFonts w:hint="eastAsia" w:ascii="宋体" w:hAnsi="宋体" w:eastAsia="宋体" w:cs="宋体"/>
                <w:sz w:val="24"/>
                <w:szCs w:val="24"/>
              </w:rPr>
            </w:pPr>
            <w:r>
              <w:rPr>
                <w:rFonts w:hint="eastAsia" w:ascii="宋体" w:hAnsi="宋体" w:eastAsia="宋体" w:cs="宋体"/>
                <w:sz w:val="24"/>
                <w:szCs w:val="24"/>
              </w:rPr>
              <w:t>②为本项目配备的服务团队人员上述条件齐全有效且达到</w:t>
            </w:r>
            <w:r>
              <w:rPr>
                <w:rFonts w:hint="eastAsia" w:ascii="宋体" w:hAnsi="宋体" w:cs="宋体"/>
                <w:sz w:val="24"/>
                <w:szCs w:val="24"/>
                <w:lang w:val="en-US" w:eastAsia="zh-CN"/>
              </w:rPr>
              <w:t>8-12</w:t>
            </w:r>
            <w:r>
              <w:rPr>
                <w:rFonts w:hint="eastAsia" w:ascii="宋体" w:hAnsi="宋体" w:eastAsia="宋体" w:cs="宋体"/>
                <w:sz w:val="24"/>
                <w:szCs w:val="24"/>
              </w:rPr>
              <w:t>人分得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3D052A5D">
            <w:pPr>
              <w:keepNext w:val="0"/>
              <w:keepLines w:val="0"/>
              <w:pageBreakBefore w:val="0"/>
              <w:kinsoku/>
              <w:wordWrap/>
              <w:overflowPunct/>
              <w:topLinePunct w:val="0"/>
              <w:bidi w:val="0"/>
              <w:adjustRightInd/>
              <w:snapToGrid/>
              <w:spacing w:line="400" w:lineRule="exact"/>
              <w:ind w:left="0" w:right="0"/>
              <w:jc w:val="left"/>
              <w:textAlignment w:val="auto"/>
              <w:rPr>
                <w:rFonts w:hint="eastAsia" w:cs="宋体"/>
                <w:color w:val="auto"/>
                <w:kern w:val="2"/>
                <w:sz w:val="24"/>
                <w:szCs w:val="24"/>
                <w:highlight w:val="none"/>
                <w:lang w:val="en-US" w:eastAsia="zh-CN" w:bidi="ar-SA"/>
              </w:rPr>
            </w:pPr>
            <w:r>
              <w:rPr>
                <w:rFonts w:hint="eastAsia" w:ascii="宋体" w:hAnsi="宋体" w:eastAsia="宋体" w:cs="宋体"/>
                <w:sz w:val="24"/>
                <w:szCs w:val="24"/>
              </w:rPr>
              <w:t>③人员配置</w:t>
            </w:r>
            <w:r>
              <w:rPr>
                <w:rFonts w:hint="eastAsia" w:ascii="宋体" w:hAnsi="宋体" w:cs="宋体"/>
                <w:sz w:val="24"/>
                <w:szCs w:val="24"/>
                <w:lang w:val="en-US" w:eastAsia="zh-CN"/>
              </w:rPr>
              <w:t>不足</w:t>
            </w:r>
            <w:r>
              <w:rPr>
                <w:rFonts w:hint="eastAsia" w:cs="宋体"/>
                <w:sz w:val="24"/>
                <w:szCs w:val="24"/>
                <w:lang w:val="en-US" w:eastAsia="zh-CN"/>
              </w:rPr>
              <w:t>8</w:t>
            </w:r>
            <w:r>
              <w:rPr>
                <w:rFonts w:hint="eastAsia" w:ascii="宋体" w:hAnsi="宋体" w:cs="宋体"/>
                <w:sz w:val="24"/>
                <w:szCs w:val="24"/>
                <w:lang w:val="en-US" w:eastAsia="zh-CN"/>
              </w:rPr>
              <w:t>人得1分，少于</w:t>
            </w:r>
            <w:r>
              <w:rPr>
                <w:rFonts w:hint="eastAsia" w:cs="宋体"/>
                <w:sz w:val="24"/>
                <w:szCs w:val="24"/>
                <w:lang w:val="en-US" w:eastAsia="zh-CN"/>
              </w:rPr>
              <w:t>7</w:t>
            </w:r>
            <w:r>
              <w:rPr>
                <w:rFonts w:hint="eastAsia" w:ascii="宋体" w:hAnsi="宋体" w:cs="宋体"/>
                <w:sz w:val="24"/>
                <w:szCs w:val="24"/>
                <w:lang w:val="en-US" w:eastAsia="zh-CN"/>
              </w:rPr>
              <w:t>人得0分</w:t>
            </w:r>
            <w:r>
              <w:rPr>
                <w:rFonts w:hint="eastAsia" w:ascii="宋体" w:hAnsi="宋体" w:eastAsia="宋体" w:cs="宋体"/>
                <w:sz w:val="24"/>
                <w:szCs w:val="24"/>
              </w:rPr>
              <w:t>。</w:t>
            </w:r>
          </w:p>
        </w:tc>
      </w:tr>
      <w:tr w14:paraId="47BF6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4" w:hRule="atLeast"/>
        </w:trPr>
        <w:tc>
          <w:tcPr>
            <w:tcW w:w="789" w:type="dxa"/>
            <w:vMerge w:val="continue"/>
            <w:noWrap w:val="0"/>
            <w:vAlign w:val="center"/>
          </w:tcPr>
          <w:p w14:paraId="5066B37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292FCD03">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5541DD81">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058EFA79">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2"/>
                <w:sz w:val="24"/>
                <w:szCs w:val="24"/>
                <w:highlight w:val="none"/>
                <w:lang w:val="en-US" w:eastAsia="zh-CN" w:bidi="ar-SA"/>
              </w:rPr>
              <w:t>配送车辆（6分）</w:t>
            </w:r>
            <w:r>
              <w:rPr>
                <w:rFonts w:hint="eastAsia" w:ascii="宋体" w:hAnsi="宋体" w:eastAsia="宋体" w:cs="宋体"/>
                <w:color w:val="auto"/>
                <w:kern w:val="2"/>
                <w:sz w:val="24"/>
                <w:szCs w:val="24"/>
                <w:highlight w:val="none"/>
                <w:lang w:val="en-US" w:eastAsia="zh-CN" w:bidi="ar-SA"/>
              </w:rPr>
              <w:t>：投标人须具有</w:t>
            </w:r>
            <w:r>
              <w:rPr>
                <w:rFonts w:hint="eastAsia" w:cs="宋体"/>
                <w:color w:val="auto"/>
                <w:kern w:val="2"/>
                <w:sz w:val="24"/>
                <w:szCs w:val="24"/>
                <w:highlight w:val="none"/>
                <w:lang w:val="en-US" w:eastAsia="zh-CN" w:bidi="ar-SA"/>
              </w:rPr>
              <w:t>6</w:t>
            </w:r>
            <w:r>
              <w:rPr>
                <w:rFonts w:hint="eastAsia" w:ascii="宋体" w:hAnsi="宋体" w:eastAsia="宋体" w:cs="宋体"/>
                <w:color w:val="auto"/>
                <w:kern w:val="2"/>
                <w:sz w:val="24"/>
                <w:szCs w:val="24"/>
                <w:highlight w:val="none"/>
                <w:lang w:val="en-US" w:eastAsia="zh-CN" w:bidi="ar-SA"/>
              </w:rPr>
              <w:t>辆以上自有或租赁（租赁车辆须提供租赁合同等证明材料）符合安全运输标准的厢式运输专用车辆等相关配送设备，须提供车辆</w:t>
            </w:r>
            <w:r>
              <w:rPr>
                <w:rFonts w:hint="eastAsia" w:cs="宋体"/>
                <w:color w:val="auto"/>
                <w:kern w:val="2"/>
                <w:sz w:val="24"/>
                <w:szCs w:val="24"/>
                <w:highlight w:val="none"/>
                <w:lang w:val="en-US" w:eastAsia="zh-CN" w:bidi="ar-SA"/>
              </w:rPr>
              <w:t>（车辆照片彩页）、</w:t>
            </w:r>
            <w:r>
              <w:rPr>
                <w:rFonts w:hint="eastAsia" w:ascii="宋体" w:hAnsi="宋体" w:eastAsia="宋体" w:cs="宋体"/>
                <w:color w:val="auto"/>
                <w:kern w:val="2"/>
                <w:sz w:val="24"/>
                <w:szCs w:val="24"/>
                <w:highlight w:val="none"/>
                <w:lang w:val="en-US" w:eastAsia="zh-CN" w:bidi="ar-SA"/>
              </w:rPr>
              <w:t>行驶证满足项目基本配送车辆要求得3分（少于</w:t>
            </w:r>
            <w:r>
              <w:rPr>
                <w:rFonts w:hint="eastAsia" w:cs="宋体"/>
                <w:color w:val="auto"/>
                <w:kern w:val="2"/>
                <w:sz w:val="24"/>
                <w:szCs w:val="24"/>
                <w:highlight w:val="none"/>
                <w:lang w:val="en-US" w:eastAsia="zh-CN" w:bidi="ar-SA"/>
              </w:rPr>
              <w:t>6</w:t>
            </w:r>
            <w:r>
              <w:rPr>
                <w:rFonts w:hint="eastAsia" w:ascii="宋体" w:hAnsi="宋体" w:eastAsia="宋体" w:cs="宋体"/>
                <w:color w:val="auto"/>
                <w:kern w:val="2"/>
                <w:sz w:val="24"/>
                <w:szCs w:val="24"/>
                <w:highlight w:val="none"/>
                <w:lang w:val="en-US" w:eastAsia="zh-CN" w:bidi="ar-SA"/>
              </w:rPr>
              <w:t>辆不得分），车辆数量每增加1辆加1分，最多加3分，满分6分。</w:t>
            </w:r>
          </w:p>
        </w:tc>
      </w:tr>
      <w:tr w14:paraId="15C85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78" w:hRule="atLeast"/>
        </w:trPr>
        <w:tc>
          <w:tcPr>
            <w:tcW w:w="789" w:type="dxa"/>
            <w:vMerge w:val="continue"/>
            <w:noWrap w:val="0"/>
            <w:vAlign w:val="center"/>
          </w:tcPr>
          <w:p w14:paraId="1E67C5C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noWrap w:val="0"/>
            <w:vAlign w:val="center"/>
          </w:tcPr>
          <w:p w14:paraId="500B733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467" w:type="dxa"/>
            <w:noWrap w:val="0"/>
            <w:vAlign w:val="center"/>
          </w:tcPr>
          <w:p w14:paraId="7E1A5B29">
            <w:pPr>
              <w:pStyle w:val="50"/>
              <w:keepNext w:val="0"/>
              <w:keepLines w:val="0"/>
              <w:pageBreakBefore w:val="0"/>
              <w:tabs>
                <w:tab w:val="clear" w:pos="4153"/>
                <w:tab w:val="clear" w:pos="8306"/>
              </w:tabs>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质量及安全控制措施</w:t>
            </w:r>
            <w:r>
              <w:rPr>
                <w:rFonts w:hint="eastAsia" w:ascii="宋体" w:hAnsi="宋体" w:eastAsia="宋体" w:cs="宋体"/>
                <w:bCs/>
                <w:color w:val="auto"/>
                <w:sz w:val="24"/>
                <w:szCs w:val="24"/>
                <w:highlight w:val="none"/>
              </w:rPr>
              <w:t>（</w:t>
            </w:r>
            <w:r>
              <w:rPr>
                <w:rFonts w:hint="eastAsia" w:cs="宋体"/>
                <w:bCs/>
                <w:color w:val="auto"/>
                <w:sz w:val="24"/>
                <w:szCs w:val="24"/>
                <w:highlight w:val="none"/>
                <w:lang w:val="en-US" w:eastAsia="zh-CN"/>
              </w:rPr>
              <w:t>10</w:t>
            </w:r>
            <w:r>
              <w:rPr>
                <w:rFonts w:hint="eastAsia" w:ascii="宋体" w:hAnsi="宋体" w:eastAsia="宋体" w:cs="宋体"/>
                <w:bCs/>
                <w:color w:val="auto"/>
                <w:sz w:val="24"/>
                <w:szCs w:val="24"/>
                <w:highlight w:val="none"/>
              </w:rPr>
              <w:t>分）</w:t>
            </w:r>
          </w:p>
        </w:tc>
        <w:tc>
          <w:tcPr>
            <w:tcW w:w="6529" w:type="dxa"/>
            <w:noWrap w:val="0"/>
            <w:vAlign w:val="center"/>
          </w:tcPr>
          <w:p w14:paraId="487B2106">
            <w:pPr>
              <w:keepNext w:val="0"/>
              <w:keepLines w:val="0"/>
              <w:pageBreakBefore w:val="0"/>
              <w:numPr>
                <w:ilvl w:val="0"/>
                <w:numId w:val="16"/>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根据项目需求内容制定整体质量保证措施：方案至少包括①质量安全保证具体措施；②卫生安全；③货物的来源；④采购环节控制；⑤加工包装保存运输等环节。提供必要的证明材料复印件或扫描件（包括但不限于销售协议、代理商授权、检测报告等）。以上5项内容齐全，针对性强、条理清晰、表述准确得分10分。每缺少一项内容扣2分（缺陷是指在完整性、可实施性和针对性等方面存在瑕疵或实用性不强）。</w:t>
            </w:r>
          </w:p>
          <w:p w14:paraId="787B752A">
            <w:pPr>
              <w:keepNext w:val="0"/>
              <w:keepLines w:val="0"/>
              <w:pageBreakBefore w:val="0"/>
              <w:numPr>
                <w:ilvl w:val="0"/>
                <w:numId w:val="18"/>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根据评审标准对供应商技术方案进行评审，每一条不符合本项目特点和实际需求，存在缺陷或实用性不强的扣1分，扣完为止。</w:t>
            </w:r>
          </w:p>
          <w:p w14:paraId="6D4ABD48">
            <w:pPr>
              <w:keepNext w:val="0"/>
              <w:keepLines w:val="0"/>
              <w:pageBreakBefore w:val="0"/>
              <w:numPr>
                <w:ilvl w:val="0"/>
                <w:numId w:val="18"/>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评审标准： </w:t>
            </w:r>
          </w:p>
          <w:p w14:paraId="24132987">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完整性：方案须全面，对评审内容中的各项要求有详细描述； </w:t>
            </w:r>
          </w:p>
          <w:p w14:paraId="549A0C3A">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可实施性：切合本项目实际情况，实施步骤清晰、合理； </w:t>
            </w:r>
          </w:p>
          <w:p w14:paraId="42B0BE05">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针对性：方案能够紧扣项目实际情况，内容科学合理。 </w:t>
            </w:r>
          </w:p>
        </w:tc>
      </w:tr>
      <w:tr w14:paraId="0A40B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0" w:hRule="atLeast"/>
        </w:trPr>
        <w:tc>
          <w:tcPr>
            <w:tcW w:w="789" w:type="dxa"/>
            <w:vMerge w:val="continue"/>
            <w:noWrap w:val="0"/>
            <w:vAlign w:val="center"/>
          </w:tcPr>
          <w:p w14:paraId="1AB11E51">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noWrap w:val="0"/>
            <w:vAlign w:val="center"/>
          </w:tcPr>
          <w:p w14:paraId="1B51A124">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467" w:type="dxa"/>
            <w:noWrap w:val="0"/>
            <w:vAlign w:val="center"/>
          </w:tcPr>
          <w:p w14:paraId="5DA7EAFC">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w:t>
            </w:r>
          </w:p>
          <w:p w14:paraId="05696B7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p>
        </w:tc>
        <w:tc>
          <w:tcPr>
            <w:tcW w:w="6529" w:type="dxa"/>
            <w:noWrap w:val="0"/>
            <w:vAlign w:val="center"/>
          </w:tcPr>
          <w:p w14:paraId="6488D917">
            <w:pPr>
              <w:keepNext w:val="0"/>
              <w:keepLines w:val="0"/>
              <w:pageBreakBefore w:val="0"/>
              <w:numPr>
                <w:ilvl w:val="0"/>
                <w:numId w:val="19"/>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制定在验货时出现问题的方案：包括但不限于①</w:t>
            </w:r>
            <w:r>
              <w:rPr>
                <w:rFonts w:hint="eastAsia" w:cs="宋体"/>
                <w:color w:val="auto"/>
                <w:sz w:val="24"/>
                <w:szCs w:val="24"/>
                <w:highlight w:val="none"/>
                <w:lang w:val="en-US" w:eastAsia="zh-CN"/>
              </w:rPr>
              <w:t>应急方案措施；</w:t>
            </w:r>
            <w:r>
              <w:rPr>
                <w:rFonts w:hint="eastAsia" w:ascii="宋体" w:hAnsi="宋体" w:eastAsia="宋体" w:cs="宋体"/>
                <w:color w:val="auto"/>
                <w:sz w:val="24"/>
                <w:szCs w:val="24"/>
                <w:highlight w:val="none"/>
                <w:lang w:val="en-US" w:eastAsia="zh-CN"/>
              </w:rPr>
              <w:t>②响应速度快；③退换货服务方案描述无缺漏；</w:t>
            </w:r>
            <w:r>
              <w:rPr>
                <w:rFonts w:hint="eastAsia" w:cs="宋体"/>
                <w:color w:val="auto"/>
                <w:sz w:val="24"/>
                <w:szCs w:val="24"/>
                <w:highlight w:val="none"/>
                <w:lang w:val="en-US" w:eastAsia="zh-CN"/>
              </w:rPr>
              <w:t>④</w:t>
            </w:r>
            <w:r>
              <w:rPr>
                <w:rFonts w:hint="eastAsia" w:ascii="宋体" w:hAnsi="宋体" w:eastAsia="宋体" w:cs="宋体"/>
                <w:color w:val="auto"/>
                <w:sz w:val="24"/>
                <w:szCs w:val="24"/>
                <w:highlight w:val="none"/>
                <w:lang w:val="en-US" w:eastAsia="zh-CN"/>
              </w:rPr>
              <w:t>联系人员及电话。</w:t>
            </w:r>
          </w:p>
          <w:p w14:paraId="05A2C367">
            <w:pPr>
              <w:keepNext w:val="0"/>
              <w:keepLines w:val="0"/>
              <w:pageBreakBefore w:val="0"/>
              <w:numPr>
                <w:ilvl w:val="0"/>
                <w:numId w:val="19"/>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项内容齐全，针对性强、条理清晰、表述准确得分</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分。每缺少一项内容扣</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分，每一项存在缺陷扣0.</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分（缺陷是指在完整性、可实施性和针对性等方面存在瑕疵或实用性不强）。</w:t>
            </w:r>
          </w:p>
          <w:p w14:paraId="7901E452">
            <w:pPr>
              <w:keepNext w:val="0"/>
              <w:keepLines w:val="0"/>
              <w:pageBreakBefore w:val="0"/>
              <w:numPr>
                <w:ilvl w:val="0"/>
                <w:numId w:val="19"/>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评审标准： </w:t>
            </w:r>
          </w:p>
          <w:p w14:paraId="7E1E30A9">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完整性：方案须全面，对评审内容中的各项要求有详细描述； </w:t>
            </w:r>
          </w:p>
          <w:p w14:paraId="5A5F6DCC">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可实施性：切合本项目实际情况，实施步骤清晰、合理； </w:t>
            </w:r>
          </w:p>
          <w:p w14:paraId="221A0DD4">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针对性：方案能够紧扣项目实际情况，内容科学合理。</w:t>
            </w:r>
          </w:p>
        </w:tc>
      </w:tr>
      <w:tr w14:paraId="3C892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62" w:hRule="atLeast"/>
        </w:trPr>
        <w:tc>
          <w:tcPr>
            <w:tcW w:w="789" w:type="dxa"/>
            <w:noWrap w:val="0"/>
            <w:vAlign w:val="center"/>
          </w:tcPr>
          <w:p w14:paraId="64596B8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w:t>
            </w:r>
          </w:p>
          <w:p w14:paraId="0622342D">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743" w:type="dxa"/>
            <w:noWrap w:val="0"/>
            <w:vAlign w:val="center"/>
          </w:tcPr>
          <w:p w14:paraId="2FB0FBA4">
            <w:pPr>
              <w:keepNext w:val="0"/>
              <w:keepLines w:val="0"/>
              <w:pageBreakBefore w:val="0"/>
              <w:kinsoku/>
              <w:wordWrap/>
              <w:overflowPunct/>
              <w:topLinePunct w:val="0"/>
              <w:bidi w:val="0"/>
              <w:adjustRightInd/>
              <w:snapToGrid/>
              <w:spacing w:line="40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p>
        </w:tc>
        <w:tc>
          <w:tcPr>
            <w:tcW w:w="1467" w:type="dxa"/>
            <w:noWrap w:val="0"/>
            <w:vAlign w:val="center"/>
          </w:tcPr>
          <w:p w14:paraId="40D0831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业绩</w:t>
            </w:r>
          </w:p>
          <w:p w14:paraId="14A6853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p>
        </w:tc>
        <w:tc>
          <w:tcPr>
            <w:tcW w:w="6529" w:type="dxa"/>
            <w:noWrap w:val="0"/>
            <w:vAlign w:val="center"/>
          </w:tcPr>
          <w:p w14:paraId="11567742">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供应商提供自2023年7月至今，具有同类项目业绩（</w:t>
            </w:r>
            <w:r>
              <w:rPr>
                <w:rFonts w:hint="eastAsia" w:cs="宋体"/>
                <w:color w:val="auto"/>
                <w:sz w:val="24"/>
                <w:szCs w:val="24"/>
                <w:highlight w:val="none"/>
                <w:lang w:val="en-US" w:eastAsia="zh-CN"/>
              </w:rPr>
              <w:t>包括但不限于各级各类学校、党政机关、企事业单位、医疗机构等食材配送服务项目</w:t>
            </w:r>
            <w:r>
              <w:rPr>
                <w:rFonts w:hint="eastAsia" w:ascii="宋体" w:hAnsi="宋体" w:eastAsia="宋体" w:cs="宋体"/>
                <w:color w:val="auto"/>
                <w:sz w:val="24"/>
                <w:szCs w:val="24"/>
                <w:highlight w:val="none"/>
                <w:lang w:val="en-US" w:eastAsia="zh-CN"/>
              </w:rPr>
              <w:t>），以合同复印件和中标通知书为准，每提供一个得</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分，满分</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tc>
      </w:tr>
      <w:tr w14:paraId="05F99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19" w:hRule="atLeast"/>
        </w:trPr>
        <w:tc>
          <w:tcPr>
            <w:tcW w:w="2999" w:type="dxa"/>
            <w:gridSpan w:val="3"/>
            <w:noWrap w:val="0"/>
            <w:vAlign w:val="center"/>
          </w:tcPr>
          <w:p w14:paraId="1B15213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评标程序</w:t>
            </w:r>
          </w:p>
          <w:p w14:paraId="282D6E0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p>
        </w:tc>
        <w:tc>
          <w:tcPr>
            <w:tcW w:w="6529" w:type="dxa"/>
            <w:noWrap w:val="0"/>
            <w:vAlign w:val="top"/>
          </w:tcPr>
          <w:p w14:paraId="530B6759">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1.开标后，由</w:t>
            </w:r>
            <w:r>
              <w:rPr>
                <w:rFonts w:hint="eastAsia" w:cs="宋体"/>
                <w:color w:val="auto"/>
                <w:sz w:val="24"/>
                <w:szCs w:val="24"/>
                <w:highlight w:val="none"/>
                <w:lang w:val="en-US" w:eastAsia="zh-CN"/>
              </w:rPr>
              <w:t>采购人或代理机构</w:t>
            </w:r>
            <w:r>
              <w:rPr>
                <w:rFonts w:hint="eastAsia" w:ascii="宋体" w:hAnsi="宋体" w:eastAsia="宋体" w:cs="宋体"/>
                <w:color w:val="auto"/>
                <w:sz w:val="24"/>
                <w:szCs w:val="24"/>
                <w:highlight w:val="none"/>
                <w:lang w:val="en-US" w:eastAsia="zh-CN"/>
              </w:rPr>
              <w:t xml:space="preserve">对投标单位进行资格性评审，资格性评审合格的响应文件进行符合性评审。不合格的单位，不再对其进行后续评审与分值评定。 </w:t>
            </w:r>
          </w:p>
          <w:p w14:paraId="67F059E5">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2.如经过对所有供应商的响应文件进行评审，有效投标不足三个使得投标明显缺乏竞</w:t>
            </w:r>
            <w:r>
              <w:rPr>
                <w:rFonts w:hint="eastAsia" w:cs="宋体"/>
                <w:color w:val="auto"/>
                <w:sz w:val="24"/>
                <w:szCs w:val="24"/>
                <w:highlight w:val="none"/>
                <w:lang w:val="en-US" w:eastAsia="zh-CN"/>
              </w:rPr>
              <w:t>争性</w:t>
            </w:r>
            <w:r>
              <w:rPr>
                <w:rFonts w:hint="eastAsia" w:ascii="宋体" w:hAnsi="宋体" w:eastAsia="宋体" w:cs="宋体"/>
                <w:color w:val="auto"/>
                <w:sz w:val="24"/>
                <w:szCs w:val="24"/>
                <w:highlight w:val="none"/>
                <w:lang w:val="en-US" w:eastAsia="zh-CN"/>
              </w:rPr>
              <w:t>的，</w:t>
            </w:r>
            <w:r>
              <w:rPr>
                <w:rFonts w:hint="eastAsia" w:cs="宋体"/>
                <w:color w:val="auto"/>
                <w:sz w:val="24"/>
                <w:szCs w:val="24"/>
                <w:highlight w:val="none"/>
                <w:lang w:val="en-US" w:eastAsia="zh-CN"/>
              </w:rPr>
              <w:t>评标委员会</w:t>
            </w:r>
            <w:r>
              <w:rPr>
                <w:rFonts w:hint="eastAsia" w:ascii="宋体" w:hAnsi="宋体" w:eastAsia="宋体" w:cs="宋体"/>
                <w:color w:val="auto"/>
                <w:sz w:val="24"/>
                <w:szCs w:val="24"/>
                <w:highlight w:val="none"/>
                <w:lang w:val="en-US" w:eastAsia="zh-CN"/>
              </w:rPr>
              <w:t xml:space="preserve">可以否决全部投标。 </w:t>
            </w:r>
          </w:p>
          <w:p w14:paraId="2872EECD">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评标委员会</w:t>
            </w:r>
            <w:r>
              <w:rPr>
                <w:rFonts w:hint="eastAsia" w:ascii="宋体" w:hAnsi="宋体" w:eastAsia="宋体" w:cs="宋体"/>
                <w:color w:val="auto"/>
                <w:sz w:val="24"/>
                <w:szCs w:val="24"/>
                <w:highlight w:val="none"/>
                <w:lang w:val="en-US" w:eastAsia="zh-CN"/>
              </w:rPr>
              <w:t>应当根据综合评分情况，按照评审得分由高到低顺序推荐 3 名以上成交候选供应商，并编写评审报告报采购人。评审得分相同的，按照最后报价由低到高的顺序推荐。评审得分且最后报价相同的，按照</w:t>
            </w:r>
            <w:r>
              <w:rPr>
                <w:rFonts w:hint="eastAsia"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方案优劣顺序推荐。</w:t>
            </w:r>
          </w:p>
        </w:tc>
      </w:tr>
    </w:tbl>
    <w:p w14:paraId="332B8BCF">
      <w:pPr>
        <w:pageBreakBefore w:val="0"/>
        <w:topLinePunct w:val="0"/>
        <w:bidi w:val="0"/>
        <w:spacing w:line="500" w:lineRule="exact"/>
        <w:ind w:left="0" w:leftChars="0" w:right="0" w:rightChars="0" w:firstLine="482" w:firstLineChars="200"/>
        <w:rPr>
          <w:rFonts w:hint="eastAsia"/>
          <w:b/>
          <w:bCs/>
          <w:color w:val="auto"/>
          <w:sz w:val="24"/>
          <w:szCs w:val="24"/>
          <w:lang w:val="en-US" w:eastAsia="zh-CN"/>
        </w:rPr>
      </w:pPr>
    </w:p>
    <w:p w14:paraId="31268098">
      <w:pPr>
        <w:pageBreakBefore w:val="0"/>
        <w:topLinePunct w:val="0"/>
        <w:bidi w:val="0"/>
        <w:spacing w:line="500" w:lineRule="exact"/>
        <w:ind w:left="0" w:leftChars="0" w:right="0" w:rightChars="0" w:firstLine="482" w:firstLineChars="200"/>
        <w:rPr>
          <w:color w:val="auto"/>
          <w:sz w:val="24"/>
          <w:szCs w:val="24"/>
          <w:lang w:val="en-US"/>
        </w:rPr>
      </w:pPr>
      <w:r>
        <w:rPr>
          <w:rFonts w:hint="eastAsia"/>
          <w:b/>
          <w:bCs/>
          <w:color w:val="auto"/>
          <w:sz w:val="24"/>
          <w:szCs w:val="24"/>
          <w:lang w:val="en-US" w:eastAsia="zh-CN"/>
        </w:rPr>
        <w:t>注：</w:t>
      </w:r>
      <w:r>
        <w:rPr>
          <w:rFonts w:hint="eastAsia"/>
          <w:color w:val="auto"/>
          <w:sz w:val="24"/>
          <w:szCs w:val="24"/>
          <w:lang w:val="en-US"/>
        </w:rPr>
        <w:t>（1</w:t>
      </w:r>
      <w:r>
        <w:rPr>
          <w:rFonts w:hint="eastAsia"/>
          <w:color w:val="auto"/>
          <w:sz w:val="24"/>
          <w:szCs w:val="24"/>
          <w:lang w:val="en-US" w:eastAsia="zh-CN"/>
        </w:rPr>
        <w:t>）</w:t>
      </w:r>
      <w:r>
        <w:rPr>
          <w:rFonts w:hint="eastAsia"/>
          <w:color w:val="auto"/>
          <w:sz w:val="24"/>
          <w:szCs w:val="24"/>
          <w:lang w:val="en-US"/>
        </w:rPr>
        <w:t>若出现综合得分并列时，比较价格得分，此分项得分高者排序在前；若投标报价得分仍相同，则由评标委员会无记名投票，得票高者排序在前。</w:t>
      </w:r>
    </w:p>
    <w:p w14:paraId="5A69314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（2）评委打分超过得分界限或未按本方法赋分时，该评委的打分按废票处理。</w:t>
      </w:r>
    </w:p>
    <w:p w14:paraId="13F1BBCF">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（3）各种计算采用插入法，数字均保留两位小数，第三位“四舍五入”。</w:t>
      </w:r>
    </w:p>
    <w:p w14:paraId="3FCDFADC">
      <w:pPr>
        <w:pageBreakBefore w:val="0"/>
        <w:topLinePunct w:val="0"/>
        <w:bidi w:val="0"/>
        <w:spacing w:line="500" w:lineRule="exact"/>
        <w:ind w:left="0" w:leftChars="0" w:right="0" w:rightChars="0" w:firstLine="480" w:firstLineChars="200"/>
        <w:rPr>
          <w:b/>
          <w:bCs/>
          <w:color w:val="auto"/>
          <w:sz w:val="24"/>
          <w:szCs w:val="24"/>
          <w:lang w:val="en-US"/>
        </w:rPr>
      </w:pPr>
      <w:r>
        <w:rPr>
          <w:rFonts w:hint="eastAsia"/>
          <w:color w:val="auto"/>
          <w:sz w:val="24"/>
          <w:szCs w:val="24"/>
          <w:lang w:val="en-US"/>
        </w:rPr>
        <w:t>（4）</w:t>
      </w:r>
      <w:bookmarkStart w:id="10" w:name="_Toc5783"/>
      <w:r>
        <w:rPr>
          <w:rFonts w:hint="eastAsia"/>
          <w:color w:val="auto"/>
          <w:sz w:val="24"/>
          <w:szCs w:val="24"/>
          <w:lang w:val="en-US"/>
        </w:rPr>
        <w:t>政策性扣减范围</w:t>
      </w:r>
      <w:bookmarkEnd w:id="10"/>
    </w:p>
    <w:p w14:paraId="2D3946F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1.供应商符合小型、微型企业或监狱企业、残疾人福利性单位条件的，其投标报价价格评审时将按相应比例进行扣减。</w:t>
      </w:r>
    </w:p>
    <w:p w14:paraId="749D69C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2.依照关于印发《政府采购促进中小企业发展管理办法》（财库〔2020〕46号）的规定，小型、微型企业应当同时符合以下条件：</w:t>
      </w:r>
    </w:p>
    <w:p w14:paraId="3245F0C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（1）符合中小企业划分标准（中小企业划分标准是指国务院有关部门根据企业从业人员、营业收入、资产总额等指标制定的中小企业划型标准（工信部联企业〔2011〕300号））。</w:t>
      </w:r>
    </w:p>
    <w:p w14:paraId="17DBF9C0">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（2）提供本企业制造的货物、承担的工程或者服务，或者提供其他中小企业制造的货物，不包括提供或使用大型企业注册商标的货物。</w:t>
      </w:r>
    </w:p>
    <w:p w14:paraId="7FAB104F">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（3）小型、微型企业提供中型企业制造的货物的，视同为中型企业；小型、微型、中型企业提供大型企业制造的货物的，视同为大型企业。</w:t>
      </w:r>
    </w:p>
    <w:p w14:paraId="3086F51E">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3.采购人拟采购产品属于优先采购节能、环境标志产品范围的，应当优先采购节能、环境标志产品；拟采购产品符合政府采购强制采购政策的，实行强制采购。</w:t>
      </w:r>
    </w:p>
    <w:p w14:paraId="35C5A32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（1）采购人依据节能产品、环境标志产品品目清单和节能、环境标志产品认证证书实施政府优先采购和强制采购。</w:t>
      </w:r>
    </w:p>
    <w:p w14:paraId="4459FBD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0F7FD08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4.监狱企业参加政府采购活动时，应当提供由省级以上监狱管理局、戒毒管理局</w:t>
      </w:r>
      <w:r>
        <w:rPr>
          <w:rFonts w:hint="eastAsia"/>
          <w:color w:val="auto"/>
          <w:sz w:val="24"/>
          <w:szCs w:val="24"/>
          <w:lang w:val="en-US" w:eastAsia="zh-CN"/>
        </w:rPr>
        <w:t>（</w:t>
      </w:r>
      <w:r>
        <w:rPr>
          <w:rFonts w:hint="eastAsia"/>
          <w:color w:val="auto"/>
          <w:sz w:val="24"/>
          <w:szCs w:val="24"/>
          <w:lang w:val="en-US"/>
        </w:rPr>
        <w:t>含新疆生产建设兵团</w:t>
      </w:r>
      <w:r>
        <w:rPr>
          <w:rFonts w:hint="eastAsia"/>
          <w:color w:val="auto"/>
          <w:sz w:val="24"/>
          <w:szCs w:val="24"/>
          <w:lang w:val="en-US" w:eastAsia="zh-CN"/>
        </w:rPr>
        <w:t>）</w:t>
      </w:r>
      <w:r>
        <w:rPr>
          <w:rFonts w:hint="eastAsia"/>
          <w:color w:val="auto"/>
          <w:sz w:val="24"/>
          <w:szCs w:val="24"/>
          <w:lang w:val="en-US"/>
        </w:rPr>
        <w:t>出具的属于监狱企业的证明文件。监狱企业参加政府采购活动时，视同小型、微型企业。</w:t>
      </w:r>
    </w:p>
    <w:p w14:paraId="36FF4E1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226DFACD">
      <w:pPr>
        <w:pageBreakBefore w:val="0"/>
        <w:topLinePunct w:val="0"/>
        <w:bidi w:val="0"/>
        <w:spacing w:line="500" w:lineRule="exact"/>
        <w:ind w:left="0" w:leftChars="0" w:right="0" w:rightChars="0" w:firstLine="480" w:firstLineChars="200"/>
        <w:rPr>
          <w:color w:val="auto"/>
          <w:sz w:val="24"/>
          <w:szCs w:val="24"/>
          <w:lang w:val="en-US"/>
        </w:rPr>
      </w:pPr>
      <w:bookmarkStart w:id="11" w:name="_Toc9727"/>
      <w:r>
        <w:rPr>
          <w:rFonts w:hint="eastAsia"/>
          <w:color w:val="auto"/>
          <w:sz w:val="24"/>
          <w:szCs w:val="24"/>
          <w:lang w:val="en-US"/>
        </w:rPr>
        <w:t>6.政策性扣减方式：</w:t>
      </w:r>
      <w:bookmarkEnd w:id="11"/>
    </w:p>
    <w:p w14:paraId="2A95EB95">
      <w:pPr>
        <w:pageBreakBefore w:val="0"/>
        <w:topLinePunct w:val="0"/>
        <w:bidi w:val="0"/>
        <w:spacing w:line="500" w:lineRule="exact"/>
        <w:ind w:left="0" w:leftChars="0" w:right="0" w:rightChars="0" w:firstLine="482" w:firstLineChars="200"/>
        <w:rPr>
          <w:rFonts w:hint="eastAsia"/>
          <w:b/>
          <w:bCs/>
          <w:color w:val="auto"/>
          <w:sz w:val="24"/>
          <w:szCs w:val="24"/>
          <w:lang w:val="en-US" w:eastAsia="zh-CN"/>
        </w:rPr>
      </w:pPr>
      <w:r>
        <w:rPr>
          <w:rFonts w:hint="eastAsia"/>
          <w:b/>
          <w:bCs/>
          <w:color w:val="auto"/>
          <w:sz w:val="24"/>
          <w:szCs w:val="24"/>
          <w:lang w:val="en-US" w:eastAsia="zh-CN"/>
        </w:rPr>
        <w:t>（1）符合招标文件规定的小微企业、监狱企业或残疾人福利性单位优惠条件的供应商，价格给予10%的扣除（不重复优惠，最高为10%），用扣除后的价格参与评审；</w:t>
      </w:r>
    </w:p>
    <w:p w14:paraId="6EDAC056">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w:t>
      </w:r>
      <w:r>
        <w:rPr>
          <w:rFonts w:hint="eastAsia"/>
          <w:color w:val="auto"/>
          <w:sz w:val="24"/>
          <w:szCs w:val="24"/>
          <w:lang w:val="en-US" w:eastAsia="zh-CN"/>
        </w:rPr>
        <w:t>2</w:t>
      </w:r>
      <w:r>
        <w:rPr>
          <w:rFonts w:hint="eastAsia"/>
          <w:color w:val="auto"/>
          <w:sz w:val="24"/>
          <w:szCs w:val="24"/>
          <w:lang w:val="en-US"/>
        </w:rPr>
        <w:t>）供应商享受支持中小型企业发展政策优惠的，可以同时享受节能、环境标志产品优先采购政策。</w:t>
      </w:r>
    </w:p>
    <w:p w14:paraId="2D7145E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7.为支持和促进中小企业发展，进一步发挥政府采购政策功能作用，有效缓解中小企业融资难等问题，根据财政部财库</w:t>
      </w:r>
      <w:r>
        <w:rPr>
          <w:rFonts w:hint="eastAsia"/>
          <w:color w:val="auto"/>
          <w:sz w:val="24"/>
          <w:szCs w:val="24"/>
          <w:lang w:val="en-US" w:eastAsia="zh-CN"/>
        </w:rPr>
        <w:t>〔2011〕124号</w:t>
      </w:r>
      <w:r>
        <w:rPr>
          <w:rFonts w:hint="eastAsia"/>
          <w:color w:val="auto"/>
          <w:sz w:val="24"/>
          <w:szCs w:val="24"/>
          <w:lang w:val="en-US"/>
        </w:rPr>
        <w:t>文件的精神，陕西省财政厅制订了《陕西省政府采购信用担保试点工作实施方案（试行）》，为参与陕西省政府采购项目的</w:t>
      </w:r>
      <w:r>
        <w:rPr>
          <w:rFonts w:hint="eastAsia"/>
          <w:color w:val="auto"/>
          <w:sz w:val="24"/>
          <w:szCs w:val="24"/>
          <w:lang w:val="en-US" w:eastAsia="zh-CN"/>
        </w:rPr>
        <w:t>供应商</w:t>
      </w:r>
      <w:r>
        <w:rPr>
          <w:rFonts w:hint="eastAsia"/>
          <w:color w:val="auto"/>
          <w:sz w:val="24"/>
          <w:szCs w:val="24"/>
          <w:lang w:val="en-US"/>
        </w:rPr>
        <w:t>提供政府采购信用担保，并按照程序确定了合作的担保机构。中标（成交）</w:t>
      </w:r>
      <w:r>
        <w:rPr>
          <w:rFonts w:hint="eastAsia"/>
          <w:color w:val="auto"/>
          <w:sz w:val="24"/>
          <w:szCs w:val="24"/>
          <w:lang w:val="en-US" w:eastAsia="zh-CN"/>
        </w:rPr>
        <w:t>供应商</w:t>
      </w:r>
      <w:r>
        <w:rPr>
          <w:rFonts w:hint="eastAsia"/>
          <w:color w:val="auto"/>
          <w:sz w:val="24"/>
          <w:szCs w:val="24"/>
          <w:lang w:val="en-US"/>
        </w:rPr>
        <w:t>缴纳履约保证金时可自愿选择通过担保机构保函的形式缴纳</w:t>
      </w:r>
      <w:r>
        <w:rPr>
          <w:rFonts w:hint="eastAsia"/>
          <w:color w:val="auto"/>
          <w:sz w:val="24"/>
          <w:szCs w:val="24"/>
          <w:lang w:val="en-US" w:eastAsia="zh-CN"/>
        </w:rPr>
        <w:t>；供应商</w:t>
      </w:r>
      <w:r>
        <w:rPr>
          <w:rFonts w:hint="eastAsia"/>
          <w:color w:val="auto"/>
          <w:sz w:val="24"/>
          <w:szCs w:val="24"/>
          <w:lang w:val="en-US"/>
        </w:rPr>
        <w:t>如果需要融资贷款服务的，可凭成交通知书、政府采购合同等相关资料，按照文件规定的程序申请办理，具体规定</w:t>
      </w:r>
      <w:r>
        <w:rPr>
          <w:rFonts w:hint="eastAsia"/>
          <w:color w:val="auto"/>
          <w:sz w:val="24"/>
          <w:szCs w:val="24"/>
          <w:lang w:val="en-US" w:eastAsia="zh-CN"/>
        </w:rPr>
        <w:t>可登录</w:t>
      </w:r>
      <w:r>
        <w:rPr>
          <w:rFonts w:hint="eastAsia"/>
          <w:color w:val="auto"/>
          <w:sz w:val="24"/>
          <w:szCs w:val="24"/>
          <w:lang w:val="en-US"/>
        </w:rPr>
        <w:t>陕西省政府采购网（www.ccgp-shaanxi.gov.cn</w:t>
      </w:r>
      <w:r>
        <w:rPr>
          <w:rFonts w:hint="eastAsia"/>
          <w:color w:val="auto"/>
          <w:sz w:val="24"/>
          <w:szCs w:val="24"/>
          <w:lang w:val="en-US" w:eastAsia="zh-CN"/>
        </w:rPr>
        <w:t>）</w:t>
      </w:r>
      <w:r>
        <w:rPr>
          <w:rFonts w:hint="eastAsia"/>
          <w:color w:val="auto"/>
          <w:sz w:val="24"/>
          <w:szCs w:val="24"/>
          <w:lang w:val="en-US"/>
        </w:rPr>
        <w:t>重要通知专栏中查询了解。</w:t>
      </w:r>
    </w:p>
    <w:p w14:paraId="3678A66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8.供应商为中小企业的，可依据《陕西省中小企业政府采购信用融资办法》（陕财办采〔2018〕23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w:t>
      </w:r>
      <w:r>
        <w:rPr>
          <w:rFonts w:hint="eastAsia"/>
          <w:color w:val="auto"/>
          <w:sz w:val="24"/>
          <w:szCs w:val="24"/>
          <w:lang w:val="en-US" w:eastAsia="zh-CN"/>
        </w:rPr>
        <w:t>可登录</w:t>
      </w:r>
      <w:r>
        <w:rPr>
          <w:rFonts w:hint="eastAsia"/>
          <w:color w:val="auto"/>
          <w:sz w:val="24"/>
          <w:szCs w:val="24"/>
          <w:lang w:val="en-US"/>
        </w:rPr>
        <w:t>http∶//www.ccgpshaanxi.gov.cn/zcdservice/zcd/shananxi（陕西省政府采购信用融资平台）查看办理。</w:t>
      </w:r>
    </w:p>
    <w:p w14:paraId="6890CE42">
      <w:pPr>
        <w:pStyle w:val="5"/>
        <w:pageBreakBefore w:val="0"/>
        <w:topLinePunct w:val="0"/>
        <w:bidi w:val="0"/>
        <w:spacing w:line="500" w:lineRule="exact"/>
        <w:ind w:left="0" w:leftChars="0" w:right="0" w:rightChars="0" w:firstLine="562" w:firstLineChars="200"/>
        <w:rPr>
          <w:color w:val="auto"/>
        </w:rPr>
      </w:pPr>
      <w:r>
        <w:rPr>
          <w:color w:val="auto"/>
        </w:rPr>
        <w:t>七、确定中标</w:t>
      </w:r>
    </w:p>
    <w:p w14:paraId="45E3FCB0">
      <w:pPr>
        <w:pStyle w:val="7"/>
        <w:pageBreakBefore w:val="0"/>
        <w:topLinePunct w:val="0"/>
        <w:bidi w:val="0"/>
        <w:spacing w:line="500" w:lineRule="exact"/>
        <w:ind w:left="0" w:leftChars="0" w:right="0" w:rightChars="0" w:firstLine="482" w:firstLineChars="200"/>
        <w:rPr>
          <w:color w:val="auto"/>
        </w:rPr>
      </w:pPr>
      <w:r>
        <w:rPr>
          <w:rFonts w:hint="eastAsia"/>
          <w:color w:val="auto"/>
        </w:rPr>
        <w:t>1</w:t>
      </w:r>
      <w:r>
        <w:rPr>
          <w:rFonts w:hint="eastAsia"/>
          <w:color w:val="auto"/>
          <w:lang w:val="en-US" w:eastAsia="zh-CN"/>
        </w:rPr>
        <w:t>.</w:t>
      </w:r>
      <w:r>
        <w:rPr>
          <w:rFonts w:hint="eastAsia"/>
          <w:color w:val="auto"/>
        </w:rPr>
        <w:t>定标程序</w:t>
      </w:r>
    </w:p>
    <w:p w14:paraId="6EA3675F">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1.1评标委员会依据评标办法，经过初审、澄清、比较与评价等程序后，在最大限度满足招标文件实质性要求前提下进行综合评审，以评标总得分最高到低的顺序推荐 3 名中标候选人，并编写评标报告。</w:t>
      </w:r>
    </w:p>
    <w:p w14:paraId="42322FDF">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1.2采购代理机构应当自评审结束之日起 2 个工作日内将评审报告送交采购人。采购人在收到评审报告 5 个工作日内，从评审报告推荐的中标候选人中，以评标总分最高的</w:t>
      </w:r>
      <w:r>
        <w:rPr>
          <w:rFonts w:hint="eastAsia"/>
          <w:color w:val="auto"/>
          <w:sz w:val="24"/>
          <w:szCs w:val="24"/>
          <w:lang w:val="en-US" w:eastAsia="zh-CN"/>
        </w:rPr>
        <w:t>供应商</w:t>
      </w:r>
      <w:r>
        <w:rPr>
          <w:rFonts w:hint="eastAsia"/>
          <w:color w:val="auto"/>
          <w:sz w:val="24"/>
          <w:szCs w:val="24"/>
          <w:lang w:val="en-US"/>
        </w:rPr>
        <w:t>作为中标人，向采购代理机构出具《定标复函》；采购人逾期未确定中标单位且不提出异议的，视为确定评标报告推荐的评标得分最高的</w:t>
      </w:r>
      <w:r>
        <w:rPr>
          <w:rFonts w:hint="eastAsia"/>
          <w:color w:val="auto"/>
          <w:sz w:val="24"/>
          <w:szCs w:val="24"/>
          <w:lang w:val="en-US" w:eastAsia="zh-CN"/>
        </w:rPr>
        <w:t>供应商</w:t>
      </w:r>
      <w:r>
        <w:rPr>
          <w:rFonts w:hint="eastAsia"/>
          <w:color w:val="auto"/>
          <w:sz w:val="24"/>
          <w:szCs w:val="24"/>
          <w:lang w:val="en-US"/>
        </w:rPr>
        <w:t>为中标人。</w:t>
      </w:r>
    </w:p>
    <w:p w14:paraId="79EF8D7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1.3采购代理机构接到采购人的《定标复函》后，在 2 个工作日内，将中标结果在陕西省政府采购网上、全国公共资源交易中心网进行公告。公告发布 1 个工作日，其他</w:t>
      </w:r>
      <w:r>
        <w:rPr>
          <w:rFonts w:hint="eastAsia"/>
          <w:color w:val="auto"/>
          <w:sz w:val="24"/>
          <w:szCs w:val="24"/>
          <w:lang w:val="en-US" w:eastAsia="zh-CN"/>
        </w:rPr>
        <w:t>供应商</w:t>
      </w:r>
      <w:r>
        <w:rPr>
          <w:rFonts w:hint="eastAsia"/>
          <w:color w:val="auto"/>
          <w:sz w:val="24"/>
          <w:szCs w:val="24"/>
          <w:lang w:val="en-US"/>
        </w:rPr>
        <w:t>若有异议，按</w:t>
      </w:r>
      <w:r>
        <w:rPr>
          <w:rFonts w:hint="eastAsia"/>
          <w:color w:val="auto"/>
          <w:sz w:val="24"/>
          <w:szCs w:val="24"/>
          <w:lang w:val="en-US" w:eastAsia="zh-CN"/>
        </w:rPr>
        <w:t>《中华人民共和国政府采购法》及其实施条例、《政府采购货物和服务招标投标管理办法》（财政部令第87号）</w:t>
      </w:r>
      <w:r>
        <w:rPr>
          <w:rFonts w:hint="eastAsia"/>
          <w:color w:val="auto"/>
          <w:sz w:val="24"/>
          <w:szCs w:val="24"/>
          <w:lang w:val="en-US"/>
        </w:rPr>
        <w:t>执行。</w:t>
      </w:r>
    </w:p>
    <w:p w14:paraId="5C12E91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1.4采购人在开标结束后对第一中标候选人进行实地考察，若第一中标候选人实地考察结果与投标文件、</w:t>
      </w:r>
      <w:r>
        <w:rPr>
          <w:rFonts w:hint="eastAsia"/>
          <w:color w:val="auto"/>
          <w:sz w:val="24"/>
          <w:szCs w:val="24"/>
          <w:lang w:val="en-US" w:eastAsia="zh-CN"/>
        </w:rPr>
        <w:t>图片、</w:t>
      </w:r>
      <w:r>
        <w:rPr>
          <w:rFonts w:hint="eastAsia"/>
          <w:color w:val="auto"/>
          <w:sz w:val="24"/>
          <w:szCs w:val="24"/>
          <w:lang w:val="en-US"/>
        </w:rPr>
        <w:t>视频等资料信息不符，则取消其第一中标候选人资格。采购人在第二、第三中标候选人中实地考察后，择优选择。</w:t>
      </w:r>
    </w:p>
    <w:p w14:paraId="27764C9E">
      <w:pPr>
        <w:pStyle w:val="7"/>
        <w:pageBreakBefore w:val="0"/>
        <w:topLinePunct w:val="0"/>
        <w:bidi w:val="0"/>
        <w:spacing w:line="500" w:lineRule="exact"/>
        <w:ind w:left="0" w:leftChars="0" w:right="0" w:rightChars="0" w:firstLine="482" w:firstLineChars="200"/>
        <w:rPr>
          <w:color w:val="auto"/>
          <w:lang w:val="en-US"/>
        </w:rPr>
      </w:pPr>
      <w:r>
        <w:rPr>
          <w:rFonts w:hint="eastAsia"/>
          <w:color w:val="auto"/>
          <w:lang w:val="en-US"/>
        </w:rPr>
        <w:t>2</w:t>
      </w:r>
      <w:r>
        <w:rPr>
          <w:rFonts w:hint="eastAsia"/>
          <w:color w:val="auto"/>
          <w:lang w:val="en-US" w:eastAsia="zh-CN"/>
        </w:rPr>
        <w:t>.</w:t>
      </w:r>
      <w:r>
        <w:rPr>
          <w:rFonts w:hint="eastAsia"/>
          <w:color w:val="auto"/>
          <w:lang w:val="en-US"/>
        </w:rPr>
        <w:t>中标通知书</w:t>
      </w:r>
    </w:p>
    <w:p w14:paraId="2C678FB2">
      <w:pPr>
        <w:pageBreakBefore w:val="0"/>
        <w:topLinePunct w:val="0"/>
        <w:bidi w:val="0"/>
        <w:spacing w:line="500" w:lineRule="exact"/>
        <w:ind w:left="0" w:leftChars="0" w:right="0" w:rightChars="0" w:firstLine="480" w:firstLineChars="200"/>
        <w:rPr>
          <w:b/>
          <w:bCs/>
          <w:color w:val="auto"/>
          <w:lang w:val="en-US"/>
        </w:rPr>
      </w:pPr>
      <w:r>
        <w:rPr>
          <w:rFonts w:hint="eastAsia"/>
          <w:color w:val="auto"/>
          <w:sz w:val="24"/>
          <w:szCs w:val="24"/>
          <w:lang w:val="en-US"/>
        </w:rPr>
        <w:t>2.1采购代理机构在收到采购人的成交复函后，按规定时间向成交人发出中标通知书。</w:t>
      </w:r>
    </w:p>
    <w:p w14:paraId="6AD315EE">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2.2中标通知书是合同的组成部分。</w:t>
      </w:r>
    </w:p>
    <w:p w14:paraId="2E34B683">
      <w:pPr>
        <w:pStyle w:val="7"/>
        <w:pageBreakBefore w:val="0"/>
        <w:topLinePunct w:val="0"/>
        <w:bidi w:val="0"/>
        <w:spacing w:line="500" w:lineRule="exact"/>
        <w:ind w:left="0" w:leftChars="0" w:right="0" w:rightChars="0" w:firstLine="482" w:firstLineChars="200"/>
        <w:rPr>
          <w:color w:val="auto"/>
          <w:lang w:val="en-US"/>
        </w:rPr>
      </w:pPr>
      <w:r>
        <w:rPr>
          <w:rFonts w:hint="eastAsia"/>
          <w:color w:val="auto"/>
          <w:lang w:val="en-US"/>
        </w:rPr>
        <w:t>3</w:t>
      </w:r>
      <w:r>
        <w:rPr>
          <w:rFonts w:hint="eastAsia"/>
          <w:color w:val="auto"/>
          <w:lang w:val="en-US" w:eastAsia="zh-CN"/>
        </w:rPr>
        <w:t>.</w:t>
      </w:r>
      <w:r>
        <w:rPr>
          <w:rFonts w:hint="eastAsia"/>
          <w:color w:val="auto"/>
          <w:lang w:val="en-US"/>
        </w:rPr>
        <w:t>签订合同</w:t>
      </w:r>
    </w:p>
    <w:p w14:paraId="5DFEAC7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3.1中标人在收到中标通知书后，应按招标文件的要求与采购人签订合同。中标人因自身原因不按规定与采购人签订合同或者拒绝与采购人签订合同的，则采购人将</w:t>
      </w:r>
      <w:r>
        <w:rPr>
          <w:rFonts w:hint="eastAsia"/>
          <w:color w:val="auto"/>
          <w:sz w:val="24"/>
          <w:szCs w:val="24"/>
          <w:lang w:val="en-US" w:eastAsia="zh-CN"/>
        </w:rPr>
        <w:t>取消其中标资格</w:t>
      </w:r>
      <w:r>
        <w:rPr>
          <w:rFonts w:hint="eastAsia"/>
          <w:color w:val="auto"/>
          <w:sz w:val="24"/>
          <w:szCs w:val="24"/>
          <w:lang w:val="en-US"/>
        </w:rPr>
        <w:t>。给采购人造成损失的，还应当予以相应赔偿，并依法承担相应法律责任。</w:t>
      </w:r>
    </w:p>
    <w:p w14:paraId="623EC23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3.2中标人因不可抗力或者自身原因不能履行政府采购合同的，采购人在第二、第三中标候选人中实地考察后，择优选择，也可以重新开展招标活动。因自身原因拒绝签订采购合同的或者未按合同约定进行履约的，中标人不得参加对该项目重新开展的招标活动。</w:t>
      </w:r>
    </w:p>
    <w:p w14:paraId="057A9DA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3.3中标通知书将是合同的重要组成部分。招标文件、中标人的投标文件及评议过程中有关的澄清文件均作为合同附件。</w:t>
      </w:r>
    </w:p>
    <w:p w14:paraId="7A36B99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3.4中标后，中标人应按照合同约定履行义务，完成招标项目的供货。中标人不得向他人转让中标项目，也不得将中标项目肢解后分别向他人转让。</w:t>
      </w:r>
    </w:p>
    <w:p w14:paraId="0639095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3.5所签订的合同不得对招标文件确定的事项和中标人投标文件作实质性修改。</w:t>
      </w:r>
    </w:p>
    <w:p w14:paraId="18BA662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3.6采购人需追加与合同标的相同的货物、工程或服务的，在不改变合同其他条款的前提下，可以与中标人协商签订补充合同，但所有补充合同的采购金额不得超过原合同采购金额的</w:t>
      </w:r>
      <w:r>
        <w:rPr>
          <w:rFonts w:hint="eastAsia"/>
          <w:color w:val="auto"/>
          <w:sz w:val="24"/>
          <w:szCs w:val="24"/>
          <w:lang w:val="en-US" w:eastAsia="zh-CN"/>
        </w:rPr>
        <w:t>10%</w:t>
      </w:r>
      <w:r>
        <w:rPr>
          <w:rFonts w:hint="eastAsia"/>
          <w:color w:val="auto"/>
          <w:sz w:val="24"/>
          <w:szCs w:val="24"/>
          <w:lang w:val="en-US"/>
        </w:rPr>
        <w:t>。</w:t>
      </w:r>
    </w:p>
    <w:p w14:paraId="5CA36DD7">
      <w:pPr>
        <w:pageBreakBefore w:val="0"/>
        <w:topLinePunct w:val="0"/>
        <w:bidi w:val="0"/>
        <w:spacing w:line="500" w:lineRule="exact"/>
        <w:ind w:left="0" w:leftChars="0" w:right="0" w:rightChars="0" w:firstLine="440" w:firstLineChars="200"/>
        <w:rPr>
          <w:rFonts w:hint="eastAsia"/>
          <w:color w:val="auto"/>
        </w:rPr>
      </w:pPr>
      <w:bookmarkStart w:id="12" w:name="八、中标服务费"/>
      <w:bookmarkEnd w:id="12"/>
    </w:p>
    <w:p w14:paraId="71F685E9">
      <w:pPr>
        <w:pStyle w:val="5"/>
        <w:pageBreakBefore w:val="0"/>
        <w:topLinePunct w:val="0"/>
        <w:bidi w:val="0"/>
        <w:spacing w:line="500" w:lineRule="exact"/>
        <w:ind w:left="0" w:leftChars="0" w:right="0" w:rightChars="0" w:firstLine="562" w:firstLineChars="200"/>
        <w:rPr>
          <w:color w:val="auto"/>
        </w:rPr>
      </w:pPr>
      <w:r>
        <w:rPr>
          <w:rFonts w:hint="eastAsia"/>
          <w:color w:val="auto"/>
        </w:rPr>
        <w:t>八、</w:t>
      </w:r>
      <w:r>
        <w:rPr>
          <w:color w:val="auto"/>
        </w:rPr>
        <w:t>中标服务费</w:t>
      </w:r>
    </w:p>
    <w:p w14:paraId="34C23318">
      <w:pPr>
        <w:pageBreakBefore w:val="0"/>
        <w:topLinePunct w:val="0"/>
        <w:bidi w:val="0"/>
        <w:spacing w:line="500" w:lineRule="exact"/>
        <w:ind w:left="0" w:leftChars="0" w:right="0" w:rightChars="0" w:firstLine="440" w:firstLineChars="200"/>
        <w:rPr>
          <w:color w:val="auto"/>
        </w:rPr>
      </w:pPr>
    </w:p>
    <w:p w14:paraId="54BC113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1.中标单位在领取中标通知书前，须向采购代理机构支付中标服务费。</w:t>
      </w:r>
    </w:p>
    <w:p w14:paraId="648BD6E8">
      <w:pPr>
        <w:pageBreakBefore w:val="0"/>
        <w:topLinePunct w:val="0"/>
        <w:bidi w:val="0"/>
        <w:spacing w:line="500" w:lineRule="exact"/>
        <w:ind w:left="0" w:leftChars="0" w:right="0" w:rightChars="0" w:firstLine="480" w:firstLineChars="200"/>
        <w:rPr>
          <w:rFonts w:hint="eastAsia"/>
          <w:color w:val="auto"/>
          <w:sz w:val="24"/>
          <w:szCs w:val="24"/>
          <w:u w:val="single"/>
          <w:lang w:val="en-US"/>
        </w:rPr>
      </w:pPr>
      <w:r>
        <w:rPr>
          <w:rFonts w:hint="eastAsia"/>
          <w:color w:val="auto"/>
          <w:sz w:val="24"/>
          <w:szCs w:val="24"/>
          <w:lang w:val="en-US"/>
        </w:rPr>
        <w:t>2.</w:t>
      </w:r>
      <w:r>
        <w:rPr>
          <w:rFonts w:hint="eastAsia"/>
          <w:color w:val="auto"/>
          <w:sz w:val="24"/>
          <w:szCs w:val="24"/>
          <w:lang w:val="en-US" w:eastAsia="zh-CN"/>
        </w:rPr>
        <w:t>该招标代理服务费收费标准</w:t>
      </w:r>
      <w:r>
        <w:rPr>
          <w:rFonts w:hint="eastAsia"/>
          <w:color w:val="FF0000"/>
          <w:sz w:val="24"/>
          <w:szCs w:val="24"/>
          <w:lang w:val="en-US" w:eastAsia="zh-CN"/>
        </w:rPr>
        <w:t>：</w:t>
      </w:r>
      <w:r>
        <w:rPr>
          <w:rFonts w:hint="eastAsia"/>
          <w:color w:val="auto"/>
          <w:sz w:val="24"/>
          <w:szCs w:val="24"/>
          <w:u w:val="single"/>
          <w:lang w:val="en-US" w:eastAsia="zh-CN"/>
        </w:rPr>
        <w:t>参照国家计委关于印发《招标代理服务收费管理暂行办法》的通知 （计价格〔2002〕1980号），优惠后收取，将服务费按照各合同包的</w:t>
      </w:r>
      <w:r>
        <w:rPr>
          <w:rFonts w:hint="eastAsia"/>
          <w:color w:val="auto"/>
          <w:sz w:val="24"/>
          <w:szCs w:val="24"/>
          <w:highlight w:val="none"/>
          <w:u w:val="single"/>
          <w:lang w:val="en-US" w:eastAsia="zh-CN"/>
        </w:rPr>
        <w:t>中标</w:t>
      </w:r>
      <w:r>
        <w:rPr>
          <w:rFonts w:hint="eastAsia"/>
          <w:color w:val="auto"/>
          <w:sz w:val="24"/>
          <w:szCs w:val="24"/>
          <w:u w:val="single"/>
          <w:lang w:val="en-US" w:eastAsia="zh-CN"/>
        </w:rPr>
        <w:t>金额分摊至各采购包。</w:t>
      </w:r>
    </w:p>
    <w:p w14:paraId="1545976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注：招标代理服务费由中标单位支付。</w:t>
      </w:r>
    </w:p>
    <w:p w14:paraId="3112459F">
      <w:pPr>
        <w:pStyle w:val="5"/>
        <w:pageBreakBefore w:val="0"/>
        <w:topLinePunct w:val="0"/>
        <w:bidi w:val="0"/>
        <w:spacing w:line="500" w:lineRule="exact"/>
        <w:ind w:left="0" w:leftChars="0" w:right="0" w:rightChars="0" w:firstLine="562" w:firstLineChars="200"/>
        <w:rPr>
          <w:b/>
          <w:color w:val="auto"/>
          <w:sz w:val="40"/>
        </w:rPr>
      </w:pPr>
      <w:bookmarkStart w:id="13" w:name="九、废标及变更采购方式"/>
      <w:bookmarkEnd w:id="13"/>
      <w:r>
        <w:rPr>
          <w:color w:val="auto"/>
        </w:rPr>
        <w:t>九、废标及变更采购方式</w:t>
      </w:r>
    </w:p>
    <w:p w14:paraId="29E437AB">
      <w:pPr>
        <w:pStyle w:val="7"/>
        <w:pageBreakBefore w:val="0"/>
        <w:topLinePunct w:val="0"/>
        <w:bidi w:val="0"/>
        <w:spacing w:line="500" w:lineRule="exact"/>
        <w:ind w:left="0" w:leftChars="0" w:right="0" w:rightChars="0" w:firstLine="482" w:firstLineChars="200"/>
        <w:rPr>
          <w:color w:val="auto"/>
        </w:rPr>
      </w:pPr>
      <w:r>
        <w:rPr>
          <w:color w:val="auto"/>
        </w:rPr>
        <w:t>1</w:t>
      </w:r>
      <w:r>
        <w:rPr>
          <w:rFonts w:hint="eastAsia"/>
          <w:color w:val="auto"/>
          <w:lang w:eastAsia="zh-CN"/>
        </w:rPr>
        <w:t>.</w:t>
      </w:r>
      <w:r>
        <w:rPr>
          <w:color w:val="auto"/>
        </w:rPr>
        <w:t>废标</w:t>
      </w:r>
    </w:p>
    <w:p w14:paraId="30B10175">
      <w:pPr>
        <w:pageBreakBefore w:val="0"/>
        <w:topLinePunct w:val="0"/>
        <w:bidi w:val="0"/>
        <w:spacing w:line="500" w:lineRule="exact"/>
        <w:ind w:left="0" w:leftChars="0" w:right="0" w:rightChars="0" w:firstLine="480" w:firstLineChars="200"/>
        <w:rPr>
          <w:rFonts w:hint="eastAsia" w:eastAsia="宋体"/>
          <w:color w:val="auto"/>
          <w:sz w:val="24"/>
          <w:szCs w:val="24"/>
          <w:lang w:val="en-US" w:eastAsia="zh-CN"/>
        </w:rPr>
      </w:pPr>
      <w:r>
        <w:rPr>
          <w:rFonts w:hint="eastAsia"/>
          <w:color w:val="auto"/>
          <w:sz w:val="24"/>
          <w:szCs w:val="24"/>
          <w:lang w:val="en-US"/>
        </w:rPr>
        <w:t>如果发生下列情况之一，采购人和采购代理机构将按</w:t>
      </w:r>
      <w:r>
        <w:rPr>
          <w:rFonts w:hint="eastAsia"/>
          <w:color w:val="auto"/>
          <w:sz w:val="24"/>
          <w:szCs w:val="24"/>
          <w:lang w:val="en-US" w:eastAsia="zh-CN"/>
        </w:rPr>
        <w:t>《中华人民共和国政府采购法》及其实施条例、《政府采购货物和服务招标投标管理办法》（财政部令第87号）、《</w:t>
      </w:r>
      <w:r>
        <w:rPr>
          <w:rFonts w:hint="eastAsia"/>
          <w:color w:val="auto"/>
          <w:sz w:val="24"/>
          <w:szCs w:val="24"/>
          <w:lang w:val="en-US"/>
        </w:rPr>
        <w:t>陕西省财政厅关于政府采购有关问题的通知》（陕财办采资</w:t>
      </w:r>
      <w:r>
        <w:rPr>
          <w:rFonts w:hint="eastAsia"/>
          <w:color w:val="auto"/>
          <w:sz w:val="24"/>
          <w:szCs w:val="24"/>
          <w:lang w:val="en-US" w:eastAsia="zh-CN"/>
        </w:rPr>
        <w:t>〔2016〕53号</w:t>
      </w:r>
      <w:r>
        <w:rPr>
          <w:rFonts w:hint="eastAsia"/>
          <w:color w:val="auto"/>
          <w:sz w:val="24"/>
          <w:szCs w:val="24"/>
          <w:lang w:val="en-US"/>
        </w:rPr>
        <w:t>）等有关规定重新组织采购或报请监督管理机构批准变更采购</w:t>
      </w:r>
      <w:r>
        <w:rPr>
          <w:rFonts w:hint="eastAsia"/>
          <w:color w:val="auto"/>
          <w:sz w:val="24"/>
          <w:szCs w:val="24"/>
          <w:lang w:val="en-US" w:eastAsia="zh-CN"/>
        </w:rPr>
        <w:t>方式：</w:t>
      </w:r>
    </w:p>
    <w:p w14:paraId="11774D8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1.1因重大变故，采购任务取消的；</w:t>
      </w:r>
    </w:p>
    <w:p w14:paraId="7722986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1.2所有投标被评标委员会否决的；</w:t>
      </w:r>
    </w:p>
    <w:p w14:paraId="675568D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1.3所有</w:t>
      </w:r>
      <w:r>
        <w:rPr>
          <w:rFonts w:hint="eastAsia"/>
          <w:color w:val="auto"/>
          <w:sz w:val="24"/>
          <w:szCs w:val="24"/>
          <w:lang w:val="en-US" w:eastAsia="zh-CN"/>
        </w:rPr>
        <w:t>供应商</w:t>
      </w:r>
      <w:r>
        <w:rPr>
          <w:rFonts w:hint="eastAsia"/>
          <w:color w:val="auto"/>
          <w:sz w:val="24"/>
          <w:szCs w:val="24"/>
          <w:lang w:val="en-US"/>
        </w:rPr>
        <w:t>的报价均超出采购预算限额，采购人不能支付的；</w:t>
      </w:r>
    </w:p>
    <w:p w14:paraId="70B55A7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1.4符合专业条件的</w:t>
      </w:r>
      <w:r>
        <w:rPr>
          <w:rFonts w:hint="eastAsia"/>
          <w:color w:val="auto"/>
          <w:sz w:val="24"/>
          <w:szCs w:val="24"/>
          <w:lang w:val="en-US" w:eastAsia="zh-CN"/>
        </w:rPr>
        <w:t>供应商</w:t>
      </w:r>
      <w:r>
        <w:rPr>
          <w:rFonts w:hint="eastAsia"/>
          <w:color w:val="auto"/>
          <w:sz w:val="24"/>
          <w:szCs w:val="24"/>
          <w:lang w:val="en-US"/>
        </w:rPr>
        <w:t>或者对招标文件实质响应的</w:t>
      </w:r>
      <w:r>
        <w:rPr>
          <w:rFonts w:hint="eastAsia"/>
          <w:color w:val="auto"/>
          <w:sz w:val="24"/>
          <w:szCs w:val="24"/>
          <w:lang w:val="en-US" w:eastAsia="zh-CN"/>
        </w:rPr>
        <w:t>供应商</w:t>
      </w:r>
      <w:r>
        <w:rPr>
          <w:rFonts w:hint="eastAsia"/>
          <w:color w:val="auto"/>
          <w:sz w:val="24"/>
          <w:szCs w:val="24"/>
          <w:lang w:val="en-US"/>
        </w:rPr>
        <w:t>不足三家的。</w:t>
      </w:r>
    </w:p>
    <w:p w14:paraId="3C53FB47">
      <w:pPr>
        <w:pStyle w:val="7"/>
        <w:pageBreakBefore w:val="0"/>
        <w:topLinePunct w:val="0"/>
        <w:bidi w:val="0"/>
        <w:spacing w:line="500" w:lineRule="exact"/>
        <w:ind w:left="0" w:leftChars="0" w:right="0" w:rightChars="0" w:firstLine="482" w:firstLineChars="200"/>
        <w:rPr>
          <w:color w:val="auto"/>
          <w:lang w:val="en-US"/>
        </w:rPr>
      </w:pPr>
      <w:r>
        <w:rPr>
          <w:rFonts w:hint="eastAsia"/>
          <w:color w:val="auto"/>
          <w:lang w:val="en-US"/>
        </w:rPr>
        <w:t>2.变更采购形式</w:t>
      </w:r>
    </w:p>
    <w:p w14:paraId="4F516EA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根据《政府采购货物和服务招标投标管理办法》（财政部第 87 号令）及《陕西省财政厅关于政府采购有关问题的通知》（陕财办采资【2016】53 号）的规定，若出现提交投标文件或经评审实质性响应招标文件要求的</w:t>
      </w:r>
      <w:r>
        <w:rPr>
          <w:rFonts w:hint="eastAsia"/>
          <w:color w:val="auto"/>
          <w:sz w:val="24"/>
          <w:szCs w:val="24"/>
          <w:lang w:val="en-US" w:eastAsia="zh-CN"/>
        </w:rPr>
        <w:t>供应商</w:t>
      </w:r>
      <w:r>
        <w:rPr>
          <w:rFonts w:hint="eastAsia"/>
          <w:color w:val="auto"/>
          <w:sz w:val="24"/>
          <w:szCs w:val="24"/>
          <w:lang w:val="en-US"/>
        </w:rPr>
        <w:t>只有 2 家时，经采购人书面请示政府采购管理机构同意，可现场转变为竞争性谈判。</w:t>
      </w:r>
    </w:p>
    <w:p w14:paraId="6DD09AE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2.1评标委员会自行转为谈判小组，谈判文件以招标文件为基础，若有重大变动，以书面形式通知参加谈判的全体谈判响应单位；</w:t>
      </w:r>
    </w:p>
    <w:p w14:paraId="5575F2F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2.2在谈判过程中采取二次报价的形式，即各</w:t>
      </w:r>
      <w:r>
        <w:rPr>
          <w:rFonts w:hint="eastAsia"/>
          <w:color w:val="auto"/>
          <w:sz w:val="24"/>
          <w:szCs w:val="24"/>
          <w:lang w:val="en-US" w:eastAsia="zh-CN"/>
        </w:rPr>
        <w:t>供应商</w:t>
      </w:r>
      <w:r>
        <w:rPr>
          <w:rFonts w:hint="eastAsia"/>
          <w:color w:val="auto"/>
          <w:sz w:val="24"/>
          <w:szCs w:val="24"/>
          <w:lang w:val="en-US"/>
        </w:rPr>
        <w:t>投标文件中的报价即为第一次报价，根据质量和服务均能满足招标文件实质性响应要求且最后报价最低的原则确定中标</w:t>
      </w:r>
      <w:r>
        <w:rPr>
          <w:rFonts w:hint="eastAsia"/>
          <w:color w:val="auto"/>
          <w:sz w:val="24"/>
          <w:szCs w:val="24"/>
          <w:lang w:val="en-US" w:eastAsia="zh-CN"/>
        </w:rPr>
        <w:t>供应商</w:t>
      </w:r>
      <w:r>
        <w:rPr>
          <w:rFonts w:hint="eastAsia"/>
          <w:color w:val="auto"/>
          <w:sz w:val="24"/>
          <w:szCs w:val="24"/>
          <w:lang w:val="en-US"/>
        </w:rPr>
        <w:t>。如采购需求没有实质性变化，各</w:t>
      </w:r>
      <w:r>
        <w:rPr>
          <w:rFonts w:hint="eastAsia"/>
          <w:color w:val="auto"/>
          <w:sz w:val="24"/>
          <w:szCs w:val="24"/>
          <w:lang w:val="en-US" w:eastAsia="zh-CN"/>
        </w:rPr>
        <w:t>供应商</w:t>
      </w:r>
      <w:r>
        <w:rPr>
          <w:rFonts w:hint="eastAsia"/>
          <w:color w:val="auto"/>
          <w:sz w:val="24"/>
          <w:szCs w:val="24"/>
          <w:lang w:val="en-US"/>
        </w:rPr>
        <w:t>报价应逐次降低，本次报价超过上次报价为无效报价，出现相同报价的，可再次报价，直至产生唯一最低报价。</w:t>
      </w:r>
    </w:p>
    <w:p w14:paraId="72B6D78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2.3若出现提交投标文件或经评审实质性响应招标文件要求的</w:t>
      </w:r>
      <w:r>
        <w:rPr>
          <w:rFonts w:hint="eastAsia"/>
          <w:color w:val="auto"/>
          <w:sz w:val="24"/>
          <w:szCs w:val="24"/>
          <w:lang w:val="en-US" w:eastAsia="zh-CN"/>
        </w:rPr>
        <w:t>供应商</w:t>
      </w:r>
      <w:r>
        <w:rPr>
          <w:rFonts w:hint="eastAsia"/>
          <w:color w:val="auto"/>
          <w:sz w:val="24"/>
          <w:szCs w:val="24"/>
          <w:lang w:val="en-US"/>
        </w:rPr>
        <w:t>只有1家时</w:t>
      </w:r>
      <w:r>
        <w:rPr>
          <w:rFonts w:hint="eastAsia"/>
          <w:color w:val="auto"/>
          <w:sz w:val="24"/>
          <w:szCs w:val="24"/>
          <w:lang w:val="en-US" w:eastAsia="zh-CN"/>
        </w:rPr>
        <w:t>，</w:t>
      </w:r>
      <w:r>
        <w:rPr>
          <w:rFonts w:hint="eastAsia"/>
          <w:color w:val="auto"/>
          <w:sz w:val="24"/>
          <w:szCs w:val="24"/>
          <w:lang w:val="en-US"/>
        </w:rPr>
        <w:t>按废标处理，重新开展采购活动。</w:t>
      </w:r>
    </w:p>
    <w:p w14:paraId="6211DFD7">
      <w:pPr>
        <w:pStyle w:val="12"/>
        <w:pageBreakBefore w:val="0"/>
        <w:topLinePunct w:val="0"/>
        <w:bidi w:val="0"/>
        <w:spacing w:line="500" w:lineRule="exact"/>
        <w:ind w:left="0" w:leftChars="0" w:right="0" w:rightChars="0" w:firstLine="380" w:firstLineChars="200"/>
        <w:rPr>
          <w:color w:val="auto"/>
          <w:sz w:val="19"/>
        </w:rPr>
      </w:pPr>
    </w:p>
    <w:p w14:paraId="11136BCB">
      <w:pPr>
        <w:pStyle w:val="5"/>
        <w:pageBreakBefore w:val="0"/>
        <w:topLinePunct w:val="0"/>
        <w:bidi w:val="0"/>
        <w:spacing w:line="500" w:lineRule="exact"/>
        <w:ind w:left="0" w:leftChars="0" w:right="0" w:rightChars="0" w:firstLine="562" w:firstLineChars="200"/>
        <w:rPr>
          <w:color w:val="auto"/>
        </w:rPr>
      </w:pPr>
      <w:bookmarkStart w:id="14" w:name="十、质疑与投诉"/>
      <w:bookmarkEnd w:id="14"/>
      <w:r>
        <w:rPr>
          <w:color w:val="auto"/>
        </w:rPr>
        <w:t>十、质疑与投诉</w:t>
      </w:r>
    </w:p>
    <w:p w14:paraId="400FBC72">
      <w:pPr>
        <w:pStyle w:val="12"/>
        <w:pageBreakBefore w:val="0"/>
        <w:topLinePunct w:val="0"/>
        <w:bidi w:val="0"/>
        <w:spacing w:line="500" w:lineRule="exact"/>
        <w:ind w:left="0" w:leftChars="0" w:right="0" w:rightChars="0" w:firstLine="803" w:firstLineChars="200"/>
        <w:rPr>
          <w:b/>
          <w:color w:val="auto"/>
          <w:sz w:val="40"/>
        </w:rPr>
      </w:pPr>
    </w:p>
    <w:p w14:paraId="3A91F09B">
      <w:pPr>
        <w:spacing w:line="48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lang w:val="en-US" w:eastAsia="zh-CN"/>
        </w:rPr>
        <w:t>1</w:t>
      </w:r>
      <w:r>
        <w:rPr>
          <w:rFonts w:hint="eastAsia" w:cs="宋体"/>
          <w:b/>
          <w:color w:val="auto"/>
          <w:sz w:val="24"/>
          <w:lang w:val="en-US" w:eastAsia="zh-CN"/>
        </w:rPr>
        <w:t>.</w:t>
      </w:r>
      <w:r>
        <w:rPr>
          <w:rFonts w:hint="eastAsia" w:ascii="宋体" w:hAnsi="宋体" w:eastAsia="宋体" w:cs="宋体"/>
          <w:b/>
          <w:color w:val="auto"/>
          <w:sz w:val="24"/>
        </w:rPr>
        <w:t>质疑及投诉</w:t>
      </w:r>
    </w:p>
    <w:p w14:paraId="3E2A317E">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w:t>
      </w:r>
      <w:r>
        <w:rPr>
          <w:rFonts w:hint="eastAsia" w:ascii="宋体" w:hAnsi="宋体" w:eastAsia="宋体" w:cs="宋体"/>
          <w:color w:val="auto"/>
          <w:sz w:val="24"/>
        </w:rPr>
        <w:t>.1 质疑</w:t>
      </w:r>
    </w:p>
    <w:p w14:paraId="0FCF2024">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（1）供应商认为</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w:t>
      </w:r>
      <w:r>
        <w:rPr>
          <w:rFonts w:hint="eastAsia" w:ascii="宋体" w:hAnsi="宋体" w:eastAsia="宋体" w:cs="宋体"/>
          <w:color w:val="auto"/>
          <w:sz w:val="24"/>
          <w:lang w:val="en-US" w:eastAsia="zh-CN"/>
        </w:rPr>
        <w:t>招标</w:t>
      </w:r>
      <w:r>
        <w:rPr>
          <w:rFonts w:hint="eastAsia" w:ascii="宋体" w:hAnsi="宋体" w:eastAsia="宋体" w:cs="宋体"/>
          <w:color w:val="auto"/>
          <w:sz w:val="24"/>
        </w:rPr>
        <w:t>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05407A8F">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（2）提出质疑的供应商应当是参与本项目采购活动的供应商。</w:t>
      </w:r>
    </w:p>
    <w:p w14:paraId="18F252AF">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（3）潜在供应商已依法获取其可质疑的</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文件的，可以对该文件提出质疑。对</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文件提出质疑的，应当在获取</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文件（以</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填写报名登记表的时间为准）起7个工作日内一次性提出。</w:t>
      </w:r>
    </w:p>
    <w:p w14:paraId="048E1CAB">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（4）供应商提出质疑应当提交质疑函和必要的证明材料，质疑函应包括下列内容：</w:t>
      </w:r>
    </w:p>
    <w:p w14:paraId="0B6B9826">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① 供应商的姓名或者名称、地址、邮编、联系人及联系电话；</w:t>
      </w:r>
    </w:p>
    <w:p w14:paraId="31030858">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② 质疑项目的名称、编号；</w:t>
      </w:r>
    </w:p>
    <w:p w14:paraId="45C844A6">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③ 具体、明确的质疑事项和与质疑事项相关的请求；</w:t>
      </w:r>
    </w:p>
    <w:p w14:paraId="735AEC1E">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④ 事实依据；</w:t>
      </w:r>
    </w:p>
    <w:p w14:paraId="11187567">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⑤ 必要的法律依据；</w:t>
      </w:r>
    </w:p>
    <w:p w14:paraId="7E14B25C">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⑥ 提出质疑的日期。</w:t>
      </w:r>
    </w:p>
    <w:p w14:paraId="25BAFEA0">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（5）供应商为自然人的，应当由本人签字；供应商为法人或者其他组织的，应当由法定代表人、主要负责人，或者其授权代表签字或者盖章并加盖公章。</w:t>
      </w:r>
    </w:p>
    <w:p w14:paraId="1CD193BE">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74750D5">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（7）采购人负责供应商质疑答复。采购人委托采购代理机构采购的，采购代理机构在委托授权范围内作出答复。</w:t>
      </w:r>
    </w:p>
    <w:p w14:paraId="6A3A1219">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（8）接收质疑函的方式和联系方式：</w:t>
      </w:r>
    </w:p>
    <w:p w14:paraId="0FBA55FB">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① 接收质疑函的方式：书面递交质疑函纸质版（当面递交）或PDF格式扫描件（发至电子邮箱）</w:t>
      </w:r>
    </w:p>
    <w:p w14:paraId="52FA7FD4">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② 联系方式</w:t>
      </w:r>
    </w:p>
    <w:p w14:paraId="71BC2867">
      <w:pPr>
        <w:pStyle w:val="20"/>
        <w:spacing w:line="510" w:lineRule="atLeast"/>
        <w:ind w:firstLine="420"/>
        <w:rPr>
          <w:rFonts w:hint="default" w:ascii="宋体" w:hAnsi="宋体" w:eastAsia="宋体" w:cs="宋体"/>
          <w:color w:val="auto"/>
          <w:kern w:val="2"/>
          <w:lang w:val="en-US" w:eastAsia="zh-CN"/>
        </w:rPr>
      </w:pPr>
      <w:r>
        <w:rPr>
          <w:rFonts w:hint="eastAsia" w:ascii="宋体" w:hAnsi="宋体" w:eastAsia="宋体" w:cs="宋体"/>
          <w:color w:val="auto"/>
          <w:kern w:val="2"/>
          <w:lang w:eastAsia="zh-CN"/>
        </w:rPr>
        <w:t>名称：</w:t>
      </w:r>
      <w:r>
        <w:rPr>
          <w:rFonts w:hint="eastAsia"/>
          <w:color w:val="auto"/>
          <w:sz w:val="24"/>
          <w:szCs w:val="24"/>
          <w:lang w:val="en-US" w:eastAsia="zh-CN"/>
        </w:rPr>
        <w:t>汉滨区教育体育局</w:t>
      </w:r>
    </w:p>
    <w:p w14:paraId="0B3B0676">
      <w:pPr>
        <w:pStyle w:val="20"/>
        <w:spacing w:line="510" w:lineRule="atLeast"/>
        <w:ind w:firstLine="420"/>
        <w:rPr>
          <w:rFonts w:hint="eastAsia" w:ascii="宋体" w:hAnsi="宋体" w:eastAsia="宋体" w:cs="宋体"/>
          <w:color w:val="auto"/>
          <w:kern w:val="2"/>
          <w:lang w:eastAsia="zh-CN"/>
        </w:rPr>
      </w:pPr>
      <w:r>
        <w:rPr>
          <w:rFonts w:hint="eastAsia" w:ascii="宋体" w:hAnsi="宋体" w:eastAsia="宋体" w:cs="宋体"/>
          <w:color w:val="auto"/>
          <w:kern w:val="2"/>
          <w:lang w:eastAsia="zh-CN"/>
        </w:rPr>
        <w:t>地址：</w:t>
      </w:r>
      <w:r>
        <w:rPr>
          <w:rFonts w:hint="eastAsia" w:ascii="宋体" w:hAnsi="宋体" w:eastAsia="宋体" w:cs="宋体"/>
          <w:b w:val="0"/>
          <w:bCs w:val="0"/>
          <w:color w:val="auto"/>
          <w:sz w:val="24"/>
          <w:szCs w:val="24"/>
          <w:lang w:val="en-US" w:eastAsia="zh-CN" w:bidi="zh-CN"/>
        </w:rPr>
        <w:t>汉滨区五星街127号</w:t>
      </w:r>
    </w:p>
    <w:p w14:paraId="07F63DA4">
      <w:pPr>
        <w:pStyle w:val="20"/>
        <w:spacing w:line="510" w:lineRule="atLeast"/>
        <w:ind w:firstLine="420"/>
        <w:rPr>
          <w:rFonts w:hint="default" w:ascii="宋体" w:hAnsi="宋体" w:eastAsia="宋体" w:cs="宋体"/>
          <w:color w:val="auto"/>
          <w:kern w:val="2"/>
          <w:lang w:val="en-US" w:eastAsia="zh-CN"/>
        </w:rPr>
      </w:pPr>
      <w:r>
        <w:rPr>
          <w:rFonts w:hint="eastAsia" w:ascii="宋体" w:hAnsi="宋体" w:eastAsia="宋体" w:cs="宋体"/>
          <w:color w:val="auto"/>
          <w:kern w:val="2"/>
          <w:lang w:eastAsia="zh-CN"/>
        </w:rPr>
        <w:t>联系方式：</w:t>
      </w:r>
      <w:r>
        <w:rPr>
          <w:rFonts w:hint="eastAsia" w:ascii="宋体" w:hAnsi="宋体" w:eastAsia="宋体" w:cs="宋体"/>
          <w:b w:val="0"/>
          <w:bCs w:val="0"/>
          <w:color w:val="auto"/>
          <w:sz w:val="24"/>
          <w:szCs w:val="24"/>
          <w:lang w:val="en-US" w:eastAsia="zh-CN" w:bidi="zh-CN"/>
        </w:rPr>
        <w:t>0915-3219515</w:t>
      </w:r>
    </w:p>
    <w:p w14:paraId="2BC9939F">
      <w:pPr>
        <w:pStyle w:val="20"/>
        <w:spacing w:line="510" w:lineRule="atLeast"/>
        <w:ind w:firstLine="420"/>
        <w:rPr>
          <w:rFonts w:hint="eastAsia" w:ascii="宋体" w:hAnsi="宋体" w:eastAsia="宋体" w:cs="宋体"/>
          <w:color w:val="auto"/>
          <w:kern w:val="2"/>
          <w:lang w:eastAsia="zh-CN"/>
        </w:rPr>
      </w:pPr>
      <w:r>
        <w:rPr>
          <w:rFonts w:hint="eastAsia" w:ascii="宋体" w:hAnsi="宋体" w:eastAsia="宋体" w:cs="宋体"/>
          <w:color w:val="auto"/>
          <w:kern w:val="2"/>
        </w:rPr>
        <w:t>采购代理机构：</w:t>
      </w:r>
      <w:r>
        <w:rPr>
          <w:rFonts w:hint="eastAsia" w:cs="宋体"/>
          <w:b w:val="0"/>
          <w:bCs w:val="0"/>
          <w:color w:val="auto"/>
          <w:sz w:val="24"/>
          <w:szCs w:val="24"/>
          <w:lang w:val="en-US" w:eastAsia="zh-CN" w:bidi="zh-CN"/>
        </w:rPr>
        <w:t>中科经纬工程技术有限公司</w:t>
      </w:r>
    </w:p>
    <w:p w14:paraId="34EBE484">
      <w:pPr>
        <w:pStyle w:val="20"/>
        <w:spacing w:line="510" w:lineRule="atLeast"/>
        <w:ind w:firstLine="420"/>
        <w:rPr>
          <w:rFonts w:hint="eastAsia" w:ascii="宋体" w:hAnsi="宋体" w:eastAsia="宋体" w:cs="宋体"/>
          <w:color w:val="auto"/>
          <w:lang w:eastAsia="zh-CN"/>
        </w:rPr>
      </w:pPr>
      <w:r>
        <w:rPr>
          <w:rFonts w:hint="eastAsia" w:ascii="宋体" w:hAnsi="宋体" w:eastAsia="宋体" w:cs="宋体"/>
          <w:color w:val="auto"/>
        </w:rPr>
        <w:t>地  址：</w:t>
      </w:r>
      <w:r>
        <w:rPr>
          <w:rFonts w:hint="eastAsia" w:cs="宋体"/>
          <w:b w:val="0"/>
          <w:bCs w:val="0"/>
          <w:color w:val="auto"/>
          <w:sz w:val="24"/>
          <w:szCs w:val="24"/>
          <w:lang w:val="en-US" w:eastAsia="zh-CN" w:bidi="zh-CN"/>
        </w:rPr>
        <w:t>陕西省西安市浐灞生态区兴泰一街127号世园大观3幢10502室</w:t>
      </w:r>
    </w:p>
    <w:p w14:paraId="09925EAB">
      <w:pPr>
        <w:pStyle w:val="20"/>
        <w:spacing w:line="510" w:lineRule="atLeast"/>
        <w:ind w:firstLine="420"/>
        <w:rPr>
          <w:rFonts w:hint="default" w:ascii="宋体" w:hAnsi="宋体" w:eastAsia="宋体" w:cs="宋体"/>
          <w:color w:val="auto"/>
          <w:lang w:val="en-US" w:eastAsia="zh-CN"/>
        </w:rPr>
      </w:pPr>
      <w:r>
        <w:rPr>
          <w:rFonts w:hint="eastAsia" w:ascii="宋体" w:hAnsi="宋体" w:eastAsia="宋体" w:cs="宋体"/>
          <w:color w:val="auto"/>
          <w:lang w:eastAsia="zh-CN"/>
        </w:rPr>
        <w:t>联系方式：</w:t>
      </w:r>
      <w:r>
        <w:rPr>
          <w:rFonts w:hint="eastAsia" w:cs="宋体"/>
          <w:b w:val="0"/>
          <w:bCs w:val="0"/>
          <w:color w:val="auto"/>
          <w:sz w:val="24"/>
          <w:szCs w:val="24"/>
          <w:lang w:val="en-US" w:eastAsia="zh-CN" w:bidi="zh-CN"/>
        </w:rPr>
        <w:t>029-85261162</w:t>
      </w:r>
    </w:p>
    <w:p w14:paraId="556D7DFD">
      <w:pPr>
        <w:pStyle w:val="20"/>
        <w:spacing w:line="510" w:lineRule="atLeast"/>
        <w:ind w:firstLine="420"/>
        <w:rPr>
          <w:rFonts w:hint="eastAsia" w:ascii="宋体" w:hAnsi="宋体" w:eastAsia="宋体" w:cs="宋体"/>
          <w:color w:val="auto"/>
          <w:lang w:eastAsia="zh-CN"/>
        </w:rPr>
      </w:pPr>
      <w:r>
        <w:rPr>
          <w:rFonts w:hint="eastAsia" w:ascii="宋体" w:hAnsi="宋体" w:eastAsia="宋体" w:cs="宋体"/>
          <w:color w:val="auto"/>
          <w:lang w:eastAsia="zh-CN"/>
        </w:rPr>
        <w:t>邮 箱：</w:t>
      </w:r>
      <w:r>
        <w:rPr>
          <w:rFonts w:hint="eastAsia" w:cs="宋体"/>
          <w:color w:val="auto"/>
          <w:lang w:val="en-US" w:eastAsia="zh-CN"/>
        </w:rPr>
        <w:t>zksx2201@163.com</w:t>
      </w:r>
    </w:p>
    <w:p w14:paraId="672F8147">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.2 投诉</w:t>
      </w:r>
    </w:p>
    <w:p w14:paraId="70097900">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（1）质疑供应商对采购人、采购代理机构的答复不满意，或者采购人、采购代理机构未在规定时间内作出答复的，可以在答复期满后15个工作日内向同级财政部门提起投诉。</w:t>
      </w:r>
    </w:p>
    <w:p w14:paraId="698773F1">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（2）投诉人投诉时</w:t>
      </w:r>
      <w:r>
        <w:rPr>
          <w:rFonts w:hint="eastAsia" w:cs="宋体"/>
          <w:color w:val="auto"/>
          <w:sz w:val="24"/>
          <w:lang w:eastAsia="zh-CN"/>
        </w:rPr>
        <w:t>，</w:t>
      </w:r>
      <w:r>
        <w:rPr>
          <w:rFonts w:hint="eastAsia" w:ascii="宋体" w:hAnsi="宋体" w:eastAsia="宋体" w:cs="宋体"/>
          <w:color w:val="auto"/>
          <w:sz w:val="24"/>
        </w:rPr>
        <w:t>应当提交投诉书和必要的证明材料，并按照被投诉采购人、采购代理机构（以下简称被投诉人）和与投诉事项有关的供应商数量提供投诉书的副本。投诉书应当包括下列内容：</w:t>
      </w:r>
    </w:p>
    <w:p w14:paraId="13A5387C">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① 投诉人和被投诉人的姓名或者名称、通讯地址、邮编、联系人及联系电话；</w:t>
      </w:r>
    </w:p>
    <w:p w14:paraId="7B325CCF">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② 质疑和质疑答复情况说明及相关证明材料；</w:t>
      </w:r>
    </w:p>
    <w:p w14:paraId="2FF2E432">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③ 具体、明确的投诉事项和与投诉事项相关的投诉请求；</w:t>
      </w:r>
    </w:p>
    <w:p w14:paraId="060BCD89">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④ 事实依据；</w:t>
      </w:r>
    </w:p>
    <w:p w14:paraId="5D07BBE3">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⑤ 法律依据；</w:t>
      </w:r>
    </w:p>
    <w:p w14:paraId="5D2D5F51">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⑥ 提起投诉的日期。</w:t>
      </w:r>
    </w:p>
    <w:p w14:paraId="66C83500">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（3）投诉人为自然人的，应当由本人签字；投诉人为法人或者其他组织的，应当由法定代表人、主要负责人，或者其授权代表签字或者盖章，并加盖公章。</w:t>
      </w:r>
    </w:p>
    <w:p w14:paraId="445BF58A">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（4）投诉人提起投诉应当符合下列条件：</w:t>
      </w:r>
    </w:p>
    <w:p w14:paraId="2B327C9C">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① 提起投诉前已依法进行质疑；</w:t>
      </w:r>
    </w:p>
    <w:p w14:paraId="570692BD">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② 投诉书内容符合《政府采购质疑和投诉办法》（财政部令第94号令）的规定；</w:t>
      </w:r>
    </w:p>
    <w:p w14:paraId="794F4FD9">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③ 在投诉有效期限内提起投诉；</w:t>
      </w:r>
    </w:p>
    <w:p w14:paraId="0579E9E2">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④ 同一投诉事项未经财政部门投诉处理；</w:t>
      </w:r>
    </w:p>
    <w:p w14:paraId="32895A21">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⑤ 财政部规定的其他条件。</w:t>
      </w:r>
    </w:p>
    <w:p w14:paraId="027B81D5">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（5）供应商投诉的事项不得超出已质疑事项的范围，但基于质疑答复内容提出的投诉事项除外。</w:t>
      </w:r>
    </w:p>
    <w:p w14:paraId="7AA71C95">
      <w:pPr>
        <w:rPr>
          <w:rFonts w:hint="eastAsia"/>
          <w:color w:val="auto"/>
          <w:sz w:val="24"/>
          <w:szCs w:val="24"/>
          <w:lang w:val="en-US"/>
        </w:rPr>
      </w:pPr>
      <w:r>
        <w:rPr>
          <w:rFonts w:hint="eastAsia"/>
          <w:color w:val="auto"/>
          <w:sz w:val="24"/>
          <w:szCs w:val="24"/>
          <w:lang w:val="en-US"/>
        </w:rPr>
        <w:br w:type="page"/>
      </w:r>
    </w:p>
    <w:p w14:paraId="2881C3BD">
      <w:pPr>
        <w:pStyle w:val="5"/>
        <w:pageBreakBefore w:val="0"/>
        <w:topLinePunct w:val="0"/>
        <w:bidi w:val="0"/>
        <w:spacing w:line="500" w:lineRule="exact"/>
        <w:ind w:left="0" w:leftChars="0" w:right="0" w:rightChars="0" w:firstLine="562" w:firstLineChars="200"/>
        <w:rPr>
          <w:color w:val="auto"/>
        </w:rPr>
      </w:pPr>
      <w:bookmarkStart w:id="15" w:name="十一、拒绝商业贿赂"/>
      <w:bookmarkEnd w:id="15"/>
      <w:r>
        <w:rPr>
          <w:color w:val="auto"/>
        </w:rPr>
        <w:t>十一、拒绝商业贿赂</w:t>
      </w:r>
    </w:p>
    <w:p w14:paraId="1F0FD4FA">
      <w:pPr>
        <w:pStyle w:val="12"/>
        <w:pageBreakBefore w:val="0"/>
        <w:topLinePunct w:val="0"/>
        <w:bidi w:val="0"/>
        <w:spacing w:line="500" w:lineRule="exact"/>
        <w:ind w:left="0" w:leftChars="0" w:right="0" w:rightChars="0" w:firstLine="803" w:firstLineChars="200"/>
        <w:rPr>
          <w:b/>
          <w:color w:val="auto"/>
          <w:sz w:val="40"/>
        </w:rPr>
      </w:pPr>
    </w:p>
    <w:p w14:paraId="7CB1779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供应商</w:t>
      </w:r>
      <w:r>
        <w:rPr>
          <w:rFonts w:hint="eastAsia"/>
          <w:color w:val="auto"/>
          <w:sz w:val="24"/>
          <w:szCs w:val="24"/>
          <w:lang w:val="en-US"/>
        </w:rPr>
        <w:t>必须填写一份《拒绝政府采购领域商业贿赂承诺书》（格式见第五部分附件）编制在</w:t>
      </w:r>
      <w:r>
        <w:rPr>
          <w:rFonts w:hint="eastAsia"/>
          <w:color w:val="auto"/>
          <w:sz w:val="24"/>
          <w:szCs w:val="24"/>
          <w:lang w:val="en-US" w:eastAsia="zh-CN"/>
        </w:rPr>
        <w:t>投标文件</w:t>
      </w:r>
      <w:r>
        <w:rPr>
          <w:rFonts w:hint="eastAsia"/>
          <w:color w:val="auto"/>
          <w:sz w:val="24"/>
          <w:szCs w:val="24"/>
          <w:lang w:val="en-US"/>
        </w:rPr>
        <w:t>中。</w:t>
      </w:r>
    </w:p>
    <w:p w14:paraId="626DD560">
      <w:pPr>
        <w:rPr>
          <w:color w:val="auto"/>
          <w:lang w:val="en-US"/>
        </w:rPr>
      </w:pPr>
      <w:bookmarkStart w:id="16" w:name="第三章_招标采购内容及服务要求"/>
      <w:bookmarkEnd w:id="16"/>
      <w:bookmarkStart w:id="17" w:name="_Toc11399"/>
    </w:p>
    <w:p w14:paraId="4D71DB6E">
      <w:pPr>
        <w:pStyle w:val="2"/>
        <w:pageBreakBefore w:val="0"/>
        <w:topLinePunct w:val="0"/>
        <w:bidi w:val="0"/>
        <w:spacing w:before="0" w:line="500" w:lineRule="exact"/>
        <w:ind w:left="0" w:leftChars="0" w:right="0" w:rightChars="0" w:firstLine="723" w:firstLineChars="200"/>
        <w:jc w:val="center"/>
        <w:rPr>
          <w:color w:val="auto"/>
          <w:lang w:val="en-US"/>
        </w:rPr>
      </w:pPr>
    </w:p>
    <w:p w14:paraId="5456C484">
      <w:pPr>
        <w:pStyle w:val="2"/>
        <w:pageBreakBefore w:val="0"/>
        <w:topLinePunct w:val="0"/>
        <w:bidi w:val="0"/>
        <w:spacing w:before="0" w:line="500" w:lineRule="exact"/>
        <w:ind w:left="0" w:leftChars="0" w:right="0" w:rightChars="0" w:firstLine="723" w:firstLineChars="200"/>
        <w:jc w:val="center"/>
        <w:rPr>
          <w:color w:val="auto"/>
          <w:lang w:val="en-US"/>
        </w:rPr>
      </w:pPr>
    </w:p>
    <w:p w14:paraId="0CC2BF2B">
      <w:pPr>
        <w:pStyle w:val="2"/>
        <w:pageBreakBefore w:val="0"/>
        <w:topLinePunct w:val="0"/>
        <w:bidi w:val="0"/>
        <w:spacing w:before="0" w:line="500" w:lineRule="exact"/>
        <w:ind w:left="0" w:leftChars="0" w:right="0" w:rightChars="0" w:firstLine="723" w:firstLineChars="200"/>
        <w:jc w:val="center"/>
        <w:rPr>
          <w:color w:val="auto"/>
          <w:lang w:val="en-US"/>
        </w:rPr>
      </w:pPr>
    </w:p>
    <w:p w14:paraId="41ECD2F3">
      <w:pPr>
        <w:pStyle w:val="2"/>
        <w:pageBreakBefore w:val="0"/>
        <w:topLinePunct w:val="0"/>
        <w:bidi w:val="0"/>
        <w:spacing w:before="0" w:line="500" w:lineRule="exact"/>
        <w:ind w:left="0" w:leftChars="0" w:right="0" w:rightChars="0" w:firstLine="723" w:firstLineChars="200"/>
        <w:jc w:val="center"/>
        <w:rPr>
          <w:color w:val="auto"/>
          <w:lang w:val="en-US"/>
        </w:rPr>
      </w:pPr>
    </w:p>
    <w:p w14:paraId="328A06E8">
      <w:pPr>
        <w:pStyle w:val="2"/>
        <w:pageBreakBefore w:val="0"/>
        <w:topLinePunct w:val="0"/>
        <w:bidi w:val="0"/>
        <w:spacing w:before="0" w:line="500" w:lineRule="exact"/>
        <w:ind w:left="0" w:leftChars="0" w:right="0" w:rightChars="0" w:firstLine="723" w:firstLineChars="200"/>
        <w:jc w:val="center"/>
        <w:rPr>
          <w:color w:val="auto"/>
          <w:lang w:val="en-US"/>
        </w:rPr>
      </w:pPr>
    </w:p>
    <w:p w14:paraId="334F17C2">
      <w:pPr>
        <w:pStyle w:val="2"/>
        <w:pageBreakBefore w:val="0"/>
        <w:topLinePunct w:val="0"/>
        <w:bidi w:val="0"/>
        <w:spacing w:before="0" w:line="500" w:lineRule="exact"/>
        <w:ind w:left="0" w:leftChars="0" w:right="0" w:rightChars="0" w:firstLine="723" w:firstLineChars="200"/>
        <w:jc w:val="center"/>
        <w:rPr>
          <w:color w:val="auto"/>
          <w:lang w:val="en-US"/>
        </w:rPr>
      </w:pPr>
    </w:p>
    <w:p w14:paraId="73A4781E">
      <w:pPr>
        <w:pStyle w:val="2"/>
        <w:pageBreakBefore w:val="0"/>
        <w:topLinePunct w:val="0"/>
        <w:bidi w:val="0"/>
        <w:spacing w:before="0" w:line="500" w:lineRule="exact"/>
        <w:ind w:left="0" w:leftChars="0" w:right="0" w:rightChars="0" w:firstLine="723" w:firstLineChars="200"/>
        <w:jc w:val="center"/>
        <w:rPr>
          <w:color w:val="auto"/>
          <w:lang w:val="en-US"/>
        </w:rPr>
      </w:pPr>
    </w:p>
    <w:p w14:paraId="6C020FD5">
      <w:pPr>
        <w:pStyle w:val="2"/>
        <w:pageBreakBefore w:val="0"/>
        <w:topLinePunct w:val="0"/>
        <w:bidi w:val="0"/>
        <w:spacing w:before="0" w:line="500" w:lineRule="exact"/>
        <w:ind w:left="0" w:leftChars="0" w:right="0" w:rightChars="0" w:firstLine="723" w:firstLineChars="200"/>
        <w:jc w:val="center"/>
        <w:rPr>
          <w:color w:val="auto"/>
          <w:lang w:val="en-US"/>
        </w:rPr>
      </w:pPr>
    </w:p>
    <w:p w14:paraId="051EFF69">
      <w:pPr>
        <w:pStyle w:val="2"/>
        <w:pageBreakBefore w:val="0"/>
        <w:topLinePunct w:val="0"/>
        <w:bidi w:val="0"/>
        <w:spacing w:before="0" w:line="500" w:lineRule="exact"/>
        <w:ind w:left="0" w:leftChars="0" w:right="0" w:rightChars="0" w:firstLine="723" w:firstLineChars="200"/>
        <w:jc w:val="center"/>
        <w:rPr>
          <w:color w:val="auto"/>
          <w:lang w:val="en-US"/>
        </w:rPr>
      </w:pPr>
    </w:p>
    <w:p w14:paraId="18694C04">
      <w:pPr>
        <w:pStyle w:val="2"/>
        <w:pageBreakBefore w:val="0"/>
        <w:topLinePunct w:val="0"/>
        <w:bidi w:val="0"/>
        <w:spacing w:before="0" w:line="500" w:lineRule="exact"/>
        <w:ind w:left="0" w:leftChars="0" w:right="0" w:rightChars="0" w:firstLine="723" w:firstLineChars="200"/>
        <w:jc w:val="center"/>
        <w:rPr>
          <w:color w:val="auto"/>
          <w:lang w:val="en-US"/>
        </w:rPr>
      </w:pPr>
    </w:p>
    <w:p w14:paraId="289B0208">
      <w:pPr>
        <w:pStyle w:val="2"/>
        <w:pageBreakBefore w:val="0"/>
        <w:topLinePunct w:val="0"/>
        <w:bidi w:val="0"/>
        <w:spacing w:before="0" w:line="500" w:lineRule="exact"/>
        <w:ind w:left="0" w:leftChars="0" w:right="0" w:rightChars="0" w:firstLine="723" w:firstLineChars="200"/>
        <w:jc w:val="center"/>
        <w:rPr>
          <w:color w:val="auto"/>
          <w:lang w:val="en-US"/>
        </w:rPr>
      </w:pPr>
    </w:p>
    <w:p w14:paraId="5A2A14E7">
      <w:pPr>
        <w:pStyle w:val="2"/>
        <w:pageBreakBefore w:val="0"/>
        <w:topLinePunct w:val="0"/>
        <w:bidi w:val="0"/>
        <w:spacing w:before="0" w:line="500" w:lineRule="exact"/>
        <w:ind w:left="0" w:leftChars="0" w:right="0" w:rightChars="0" w:firstLine="723" w:firstLineChars="200"/>
        <w:jc w:val="center"/>
        <w:rPr>
          <w:color w:val="auto"/>
          <w:lang w:val="en-US"/>
        </w:rPr>
      </w:pPr>
    </w:p>
    <w:p w14:paraId="787498D5">
      <w:pPr>
        <w:pStyle w:val="2"/>
        <w:pageBreakBefore w:val="0"/>
        <w:topLinePunct w:val="0"/>
        <w:bidi w:val="0"/>
        <w:spacing w:before="0" w:line="500" w:lineRule="exact"/>
        <w:ind w:left="0" w:leftChars="0" w:right="0" w:rightChars="0" w:firstLine="723" w:firstLineChars="200"/>
        <w:jc w:val="center"/>
        <w:rPr>
          <w:color w:val="auto"/>
          <w:lang w:val="en-US"/>
        </w:rPr>
      </w:pPr>
    </w:p>
    <w:p w14:paraId="6ED3E7B9">
      <w:pPr>
        <w:pStyle w:val="2"/>
        <w:pageBreakBefore w:val="0"/>
        <w:topLinePunct w:val="0"/>
        <w:bidi w:val="0"/>
        <w:spacing w:before="0" w:line="500" w:lineRule="exact"/>
        <w:ind w:left="0" w:leftChars="0" w:right="0" w:rightChars="0" w:firstLine="723" w:firstLineChars="200"/>
        <w:jc w:val="center"/>
        <w:rPr>
          <w:color w:val="auto"/>
          <w:lang w:val="en-US"/>
        </w:rPr>
      </w:pPr>
    </w:p>
    <w:p w14:paraId="76C92005">
      <w:pPr>
        <w:pStyle w:val="2"/>
        <w:pageBreakBefore w:val="0"/>
        <w:topLinePunct w:val="0"/>
        <w:bidi w:val="0"/>
        <w:spacing w:before="0" w:line="500" w:lineRule="exact"/>
        <w:ind w:left="0" w:leftChars="0" w:right="0" w:rightChars="0" w:firstLine="723" w:firstLineChars="200"/>
        <w:jc w:val="center"/>
        <w:rPr>
          <w:color w:val="auto"/>
          <w:lang w:val="en-US"/>
        </w:rPr>
      </w:pPr>
    </w:p>
    <w:p w14:paraId="6EF6B6E8">
      <w:pPr>
        <w:pStyle w:val="2"/>
        <w:pageBreakBefore w:val="0"/>
        <w:topLinePunct w:val="0"/>
        <w:bidi w:val="0"/>
        <w:spacing w:before="0" w:line="500" w:lineRule="exact"/>
        <w:ind w:left="0" w:leftChars="0" w:right="0" w:rightChars="0" w:firstLine="723" w:firstLineChars="200"/>
        <w:jc w:val="center"/>
        <w:rPr>
          <w:color w:val="auto"/>
          <w:lang w:val="en-US"/>
        </w:rPr>
      </w:pPr>
    </w:p>
    <w:p w14:paraId="32583ACF">
      <w:pPr>
        <w:pStyle w:val="2"/>
        <w:pageBreakBefore w:val="0"/>
        <w:topLinePunct w:val="0"/>
        <w:bidi w:val="0"/>
        <w:spacing w:before="0" w:line="500" w:lineRule="exact"/>
        <w:ind w:left="0" w:leftChars="0" w:right="0" w:rightChars="0" w:firstLine="723" w:firstLineChars="200"/>
        <w:jc w:val="center"/>
        <w:rPr>
          <w:color w:val="auto"/>
          <w:lang w:val="en-US"/>
        </w:rPr>
      </w:pPr>
    </w:p>
    <w:p w14:paraId="0F141C19">
      <w:pPr>
        <w:pStyle w:val="2"/>
        <w:pageBreakBefore w:val="0"/>
        <w:topLinePunct w:val="0"/>
        <w:bidi w:val="0"/>
        <w:spacing w:before="0" w:line="500" w:lineRule="exact"/>
        <w:ind w:left="0" w:leftChars="0" w:right="0" w:rightChars="0" w:firstLine="723" w:firstLineChars="200"/>
        <w:jc w:val="center"/>
        <w:rPr>
          <w:color w:val="auto"/>
          <w:lang w:val="en-US"/>
        </w:rPr>
      </w:pPr>
    </w:p>
    <w:p w14:paraId="4B4FE00C">
      <w:pPr>
        <w:pStyle w:val="2"/>
        <w:pageBreakBefore w:val="0"/>
        <w:topLinePunct w:val="0"/>
        <w:bidi w:val="0"/>
        <w:spacing w:before="0" w:line="500" w:lineRule="exact"/>
        <w:ind w:left="0" w:leftChars="0" w:right="0" w:rightChars="0" w:firstLine="723" w:firstLineChars="200"/>
        <w:jc w:val="center"/>
        <w:rPr>
          <w:color w:val="auto"/>
          <w:lang w:val="en-US"/>
        </w:rPr>
      </w:pPr>
    </w:p>
    <w:p w14:paraId="494DFF06">
      <w:pPr>
        <w:pStyle w:val="2"/>
        <w:pageBreakBefore w:val="0"/>
        <w:topLinePunct w:val="0"/>
        <w:bidi w:val="0"/>
        <w:spacing w:before="0" w:line="500" w:lineRule="exact"/>
        <w:ind w:left="0" w:leftChars="0" w:right="0" w:rightChars="0" w:firstLine="723" w:firstLineChars="200"/>
        <w:jc w:val="center"/>
        <w:rPr>
          <w:color w:val="auto"/>
          <w:lang w:val="en-US"/>
        </w:rPr>
      </w:pPr>
    </w:p>
    <w:p w14:paraId="5F8D5707">
      <w:pPr>
        <w:pStyle w:val="2"/>
        <w:pageBreakBefore w:val="0"/>
        <w:topLinePunct w:val="0"/>
        <w:bidi w:val="0"/>
        <w:spacing w:before="0" w:line="500" w:lineRule="exact"/>
        <w:ind w:left="0" w:leftChars="0" w:right="0" w:rightChars="0" w:firstLine="723" w:firstLineChars="200"/>
        <w:jc w:val="center"/>
        <w:rPr>
          <w:color w:val="auto"/>
          <w:lang w:val="en-US"/>
        </w:rPr>
      </w:pPr>
    </w:p>
    <w:p w14:paraId="4AF7F93F">
      <w:pPr>
        <w:pStyle w:val="2"/>
        <w:pageBreakBefore w:val="0"/>
        <w:topLinePunct w:val="0"/>
        <w:bidi w:val="0"/>
        <w:spacing w:before="0" w:line="500" w:lineRule="exact"/>
        <w:ind w:left="0" w:leftChars="0" w:right="0" w:rightChars="0" w:firstLine="723" w:firstLineChars="200"/>
        <w:jc w:val="center"/>
        <w:rPr>
          <w:color w:val="auto"/>
          <w:lang w:val="en-US"/>
        </w:rPr>
      </w:pPr>
    </w:p>
    <w:p w14:paraId="2FDC5D48">
      <w:pPr>
        <w:pStyle w:val="2"/>
        <w:pageBreakBefore w:val="0"/>
        <w:topLinePunct w:val="0"/>
        <w:bidi w:val="0"/>
        <w:spacing w:before="0" w:line="500" w:lineRule="exact"/>
        <w:ind w:left="0" w:leftChars="0" w:right="0" w:rightChars="0" w:firstLine="723" w:firstLineChars="200"/>
        <w:jc w:val="center"/>
        <w:rPr>
          <w:color w:val="auto"/>
          <w:lang w:val="en-US"/>
        </w:rPr>
      </w:pPr>
    </w:p>
    <w:p w14:paraId="70110153">
      <w:pPr>
        <w:pStyle w:val="2"/>
        <w:pageBreakBefore w:val="0"/>
        <w:topLinePunct w:val="0"/>
        <w:bidi w:val="0"/>
        <w:spacing w:before="0" w:line="500" w:lineRule="exact"/>
        <w:ind w:left="0" w:leftChars="0" w:right="0" w:rightChars="0" w:firstLine="723" w:firstLineChars="200"/>
        <w:jc w:val="center"/>
        <w:rPr>
          <w:color w:val="auto"/>
          <w:lang w:val="en-US"/>
        </w:rPr>
      </w:pPr>
      <w:r>
        <w:rPr>
          <w:color w:val="auto"/>
          <w:lang w:val="en-US"/>
        </w:rPr>
        <w:t>第</w:t>
      </w:r>
      <w:r>
        <w:rPr>
          <w:rFonts w:hint="eastAsia"/>
          <w:color w:val="auto"/>
          <w:lang w:val="en-US"/>
        </w:rPr>
        <w:t>三</w:t>
      </w:r>
      <w:r>
        <w:rPr>
          <w:color w:val="auto"/>
          <w:lang w:val="en-US"/>
        </w:rPr>
        <w:t>章 招标采购内容及服务要求</w:t>
      </w:r>
      <w:bookmarkEnd w:id="17"/>
    </w:p>
    <w:p w14:paraId="1375E38F">
      <w:pPr>
        <w:pageBreakBefore w:val="0"/>
        <w:topLinePunct w:val="0"/>
        <w:bidi w:val="0"/>
        <w:spacing w:line="500" w:lineRule="exact"/>
        <w:ind w:left="0" w:leftChars="0" w:right="0" w:rightChars="0" w:firstLine="440" w:firstLineChars="200"/>
        <w:rPr>
          <w:color w:val="auto"/>
        </w:rPr>
      </w:pPr>
    </w:p>
    <w:p w14:paraId="0A36CA1B">
      <w:pPr>
        <w:pageBreakBefore w:val="0"/>
        <w:topLinePunct w:val="0"/>
        <w:bidi w:val="0"/>
        <w:spacing w:line="500" w:lineRule="exact"/>
        <w:ind w:left="0" w:leftChars="0" w:right="0" w:rightChars="0" w:firstLine="482" w:firstLineChars="200"/>
        <w:rPr>
          <w:rFonts w:hint="eastAsia"/>
          <w:color w:val="auto"/>
          <w:sz w:val="28"/>
          <w:szCs w:val="28"/>
          <w:lang w:val="en-US"/>
        </w:rPr>
      </w:pPr>
      <w:r>
        <w:rPr>
          <w:rFonts w:hint="eastAsia"/>
          <w:b/>
          <w:bCs/>
          <w:color w:val="auto"/>
          <w:sz w:val="24"/>
          <w:szCs w:val="24"/>
          <w:lang w:val="en-US" w:eastAsia="zh-CN"/>
        </w:rPr>
        <w:t>一、项目概况</w:t>
      </w:r>
      <w:r>
        <w:rPr>
          <w:rFonts w:hint="eastAsia"/>
          <w:b/>
          <w:bCs/>
          <w:color w:val="auto"/>
          <w:sz w:val="28"/>
          <w:szCs w:val="28"/>
          <w:lang w:val="en-US" w:eastAsia="zh-CN"/>
        </w:rPr>
        <w:t>：</w:t>
      </w:r>
      <w:r>
        <w:rPr>
          <w:rFonts w:hint="eastAsia"/>
          <w:color w:val="auto"/>
          <w:sz w:val="24"/>
          <w:szCs w:val="24"/>
          <w:lang w:val="en-US" w:eastAsia="zh-CN"/>
        </w:rPr>
        <w:t>涵盖汉滨区营养改善计划实施学校大宗食材和原辅材料、公办中小学及幼儿园（含市属第一幼儿园、第二幼儿园、阳光学校）大宗食材，具体包括大米、面粉、食用油、肉蛋禽、蔬菜、调味品、牛奶、干货、杂粮、水果等。</w:t>
      </w:r>
    </w:p>
    <w:p w14:paraId="671E1E34">
      <w:pPr>
        <w:pageBreakBefore w:val="0"/>
        <w:numPr>
          <w:ilvl w:val="0"/>
          <w:numId w:val="0"/>
        </w:numPr>
        <w:topLinePunct w:val="0"/>
        <w:bidi w:val="0"/>
        <w:spacing w:line="500" w:lineRule="exact"/>
        <w:ind w:right="0" w:rightChars="0" w:firstLine="482" w:firstLineChars="200"/>
        <w:rPr>
          <w:rFonts w:hint="eastAsia"/>
          <w:b/>
          <w:bCs/>
          <w:color w:val="auto"/>
          <w:sz w:val="28"/>
          <w:szCs w:val="28"/>
          <w:lang w:val="en-US" w:eastAsia="zh-CN"/>
        </w:rPr>
      </w:pPr>
      <w:r>
        <w:rPr>
          <w:rFonts w:hint="eastAsia"/>
          <w:b/>
          <w:bCs/>
          <w:color w:val="auto"/>
          <w:sz w:val="24"/>
          <w:szCs w:val="24"/>
          <w:lang w:val="en-US" w:eastAsia="zh-CN"/>
        </w:rPr>
        <w:t>二、采购预算金额：</w:t>
      </w:r>
    </w:p>
    <w:p w14:paraId="5A01C0ED">
      <w:pPr>
        <w:rPr>
          <w:rFonts w:hint="eastAsia"/>
          <w:color w:val="auto"/>
          <w:lang w:val="en-US" w:eastAsia="zh-CN"/>
        </w:rPr>
      </w:pPr>
    </w:p>
    <w:tbl>
      <w:tblPr>
        <w:tblStyle w:val="23"/>
        <w:tblW w:w="98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1"/>
        <w:gridCol w:w="1116"/>
        <w:gridCol w:w="1026"/>
        <w:gridCol w:w="666"/>
        <w:gridCol w:w="2206"/>
        <w:gridCol w:w="1116"/>
        <w:gridCol w:w="1296"/>
        <w:gridCol w:w="835"/>
        <w:gridCol w:w="763"/>
      </w:tblGrid>
      <w:tr w14:paraId="3CC7D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C481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标段</w:t>
            </w: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3E2F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食材名称</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B517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预计实施周期</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9332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预计人数</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6027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食材用量标准</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87B5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预计食材用量</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B30F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平均单价</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DB9D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预计金额(万元)</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4377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合计资金（万元）</w:t>
            </w:r>
          </w:p>
        </w:tc>
      </w:tr>
      <w:tr w14:paraId="26FC7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2" w:hRule="atLeast"/>
        </w:trPr>
        <w:tc>
          <w:tcPr>
            <w:tcW w:w="9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963C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一标段（A片区米面油、牛奶采购）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C4A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89D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A32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17100</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F24C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营养午餐9674人每餐约150克，每日1餐；中小学幼儿园非营养餐7426人每餐约100克，每日1餐。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6D8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421190千克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1C5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4.78元/千克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2F2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201.33 </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5BCE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432.59 </w:t>
            </w:r>
          </w:p>
        </w:tc>
      </w:tr>
      <w:tr w14:paraId="400C8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9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F123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BA2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面粉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B5E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6C7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7426</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C61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非营养餐早晚餐每生每天平均2餐，平均每餐约50克。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3C4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142579千克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C46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4.28元/千克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EEB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61.02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588F6">
            <w:pPr>
              <w:jc w:val="center"/>
              <w:rPr>
                <w:rFonts w:hint="eastAsia" w:ascii="宋体" w:hAnsi="宋体" w:eastAsia="宋体" w:cs="宋体"/>
                <w:b/>
                <w:bCs/>
                <w:i w:val="0"/>
                <w:iCs w:val="0"/>
                <w:color w:val="000000"/>
                <w:sz w:val="18"/>
                <w:szCs w:val="18"/>
                <w:u w:val="none"/>
              </w:rPr>
            </w:pPr>
          </w:p>
        </w:tc>
      </w:tr>
      <w:tr w14:paraId="7D652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trPr>
        <w:tc>
          <w:tcPr>
            <w:tcW w:w="9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9E59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E65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菜籽油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6AF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604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17100</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B0A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营养午餐9674人每餐约15毫升，每日1餐；非营养餐7426人每餐约17毫升，每日平均2餐。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168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76338升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C03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14.31元/升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AA4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109.24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E3855">
            <w:pPr>
              <w:jc w:val="center"/>
              <w:rPr>
                <w:rFonts w:hint="eastAsia" w:ascii="宋体" w:hAnsi="宋体" w:eastAsia="宋体" w:cs="宋体"/>
                <w:b/>
                <w:bCs/>
                <w:i w:val="0"/>
                <w:iCs w:val="0"/>
                <w:color w:val="000000"/>
                <w:sz w:val="18"/>
                <w:szCs w:val="18"/>
                <w:u w:val="none"/>
              </w:rPr>
            </w:pPr>
          </w:p>
        </w:tc>
      </w:tr>
      <w:tr w14:paraId="0BE48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9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00C8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BAC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面制品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9CB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DE9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7426</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241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非营养餐早晚餐用挂面、鲜面、麻什等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B15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358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市场采价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E85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15.00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F376B">
            <w:pPr>
              <w:jc w:val="center"/>
              <w:rPr>
                <w:rFonts w:hint="eastAsia" w:ascii="宋体" w:hAnsi="宋体" w:eastAsia="宋体" w:cs="宋体"/>
                <w:b/>
                <w:bCs/>
                <w:i w:val="0"/>
                <w:iCs w:val="0"/>
                <w:color w:val="000000"/>
                <w:sz w:val="18"/>
                <w:szCs w:val="18"/>
                <w:u w:val="none"/>
              </w:rPr>
            </w:pPr>
          </w:p>
        </w:tc>
      </w:tr>
      <w:tr w14:paraId="547BC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8" w:hRule="atLeast"/>
        </w:trPr>
        <w:tc>
          <w:tcPr>
            <w:tcW w:w="9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B91DE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45F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杂粮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C92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194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7426</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61D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营养午餐及非营养餐学校辅食搭配用各种杂粮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D02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9AB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市场采价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7BE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8.00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B689E">
            <w:pPr>
              <w:jc w:val="center"/>
              <w:rPr>
                <w:rFonts w:hint="eastAsia" w:ascii="宋体" w:hAnsi="宋体" w:eastAsia="宋体" w:cs="宋体"/>
                <w:b/>
                <w:bCs/>
                <w:i w:val="0"/>
                <w:iCs w:val="0"/>
                <w:color w:val="000000"/>
                <w:sz w:val="18"/>
                <w:szCs w:val="18"/>
                <w:u w:val="none"/>
              </w:rPr>
            </w:pPr>
          </w:p>
        </w:tc>
      </w:tr>
      <w:tr w14:paraId="3FE53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8" w:hRule="atLeast"/>
        </w:trPr>
        <w:tc>
          <w:tcPr>
            <w:tcW w:w="9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56F87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110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纯牛奶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E06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64餐次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384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3054</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663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幼儿园及部分中小学每生每餐1盒牛奶，平均每3天约1次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756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62C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市场采价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691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38.00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3FD00">
            <w:pPr>
              <w:jc w:val="center"/>
              <w:rPr>
                <w:rFonts w:hint="eastAsia" w:ascii="宋体" w:hAnsi="宋体" w:eastAsia="宋体" w:cs="宋体"/>
                <w:b/>
                <w:bCs/>
                <w:i w:val="0"/>
                <w:iCs w:val="0"/>
                <w:color w:val="000000"/>
                <w:sz w:val="18"/>
                <w:szCs w:val="18"/>
                <w:u w:val="none"/>
              </w:rPr>
            </w:pPr>
          </w:p>
        </w:tc>
      </w:tr>
      <w:tr w14:paraId="21242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trPr>
        <w:tc>
          <w:tcPr>
            <w:tcW w:w="9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8D08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二标段（A片区肉蛋禽采购)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9A4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大肉类食材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BEA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172/192天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3C9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17100</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369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营养午餐9674人172天每餐约50克，每日1餐；非营养餐7426人192天每餐约50克，每日平均1餐。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3FF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154486千克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6C8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CAB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339.87 </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8176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557.34 </w:t>
            </w:r>
          </w:p>
        </w:tc>
      </w:tr>
      <w:tr w14:paraId="269EC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9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23EF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F79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精排骨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ED2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20餐次</w:t>
            </w:r>
          </w:p>
        </w:tc>
        <w:tc>
          <w:tcPr>
            <w:tcW w:w="0" w:type="auto"/>
            <w:tcBorders>
              <w:top w:val="nil"/>
              <w:left w:val="nil"/>
              <w:bottom w:val="nil"/>
              <w:right w:val="nil"/>
            </w:tcBorders>
            <w:shd w:val="clear" w:color="auto" w:fill="auto"/>
            <w:noWrap/>
            <w:vAlign w:val="center"/>
          </w:tcPr>
          <w:p w14:paraId="40E580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9674</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7F69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营养午餐每生每餐约60克，约平均每2周1次。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A73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11609千克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3C0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09C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41.79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D1C39">
            <w:pPr>
              <w:jc w:val="center"/>
              <w:rPr>
                <w:rFonts w:hint="eastAsia" w:ascii="宋体" w:hAnsi="宋体" w:eastAsia="宋体" w:cs="宋体"/>
                <w:b/>
                <w:bCs/>
                <w:i w:val="0"/>
                <w:iCs w:val="0"/>
                <w:color w:val="000000"/>
                <w:sz w:val="18"/>
                <w:szCs w:val="18"/>
                <w:u w:val="none"/>
              </w:rPr>
            </w:pPr>
          </w:p>
        </w:tc>
      </w:tr>
      <w:tr w14:paraId="776E3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9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FBFA7">
            <w:pPr>
              <w:jc w:val="center"/>
              <w:rPr>
                <w:rFonts w:hint="eastAsia" w:ascii="宋体" w:hAnsi="宋体" w:eastAsia="宋体" w:cs="宋体"/>
                <w:i w:val="0"/>
                <w:iCs w:val="0"/>
                <w:color w:val="000000"/>
                <w:sz w:val="18"/>
                <w:szCs w:val="18"/>
                <w:u w:val="none"/>
              </w:rPr>
            </w:pP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4B8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牛肉、羊肉、鸡肉等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F2D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40餐次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778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7426</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3A67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非营养餐每生每餐平均约50克，平均每周约1次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87E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14852千克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C97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685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109.91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79D50">
            <w:pPr>
              <w:jc w:val="center"/>
              <w:rPr>
                <w:rFonts w:hint="eastAsia" w:ascii="宋体" w:hAnsi="宋体" w:eastAsia="宋体" w:cs="宋体"/>
                <w:b/>
                <w:bCs/>
                <w:i w:val="0"/>
                <w:iCs w:val="0"/>
                <w:color w:val="000000"/>
                <w:sz w:val="18"/>
                <w:szCs w:val="18"/>
                <w:u w:val="none"/>
              </w:rPr>
            </w:pPr>
          </w:p>
        </w:tc>
      </w:tr>
      <w:tr w14:paraId="1D0C6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0" w:hRule="atLeast"/>
        </w:trPr>
        <w:tc>
          <w:tcPr>
            <w:tcW w:w="9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91A8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48B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鸡蛋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54D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40/96餐次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878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17100</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B85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营养午餐9674人每餐约50克，平均每周约1次；非营养餐7426人每餐约50克，平均每2天1次。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0CF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54993千克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D41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11.96元/千克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5C0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65.77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78621">
            <w:pPr>
              <w:jc w:val="center"/>
              <w:rPr>
                <w:rFonts w:hint="eastAsia" w:ascii="宋体" w:hAnsi="宋体" w:eastAsia="宋体" w:cs="宋体"/>
                <w:b/>
                <w:bCs/>
                <w:i w:val="0"/>
                <w:iCs w:val="0"/>
                <w:color w:val="000000"/>
                <w:sz w:val="18"/>
                <w:szCs w:val="18"/>
                <w:u w:val="none"/>
              </w:rPr>
            </w:pPr>
          </w:p>
        </w:tc>
      </w:tr>
      <w:tr w14:paraId="63E04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4"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048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三标段（A片区营养午餐蔬菜调味品等采购）</w:t>
            </w: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FE3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蔬菜、水果、干货及调味品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805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BEB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9674</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824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营养午餐蔬菜、干货、水果等每生每餐约2.50元，调味品每生每餐约0.2元，每生每餐共计约2.70元。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36F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AAC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2.7元/天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F31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501.50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08C3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501.50 </w:t>
            </w:r>
          </w:p>
        </w:tc>
      </w:tr>
      <w:tr w14:paraId="1F209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 w:hRule="atLeast"/>
        </w:trPr>
        <w:tc>
          <w:tcPr>
            <w:tcW w:w="9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E121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四标段（B片区米面油、牛奶采购）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F97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56C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554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17107</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5785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营养午餐9917人每餐约150克，每日1餐；中小学幼儿园非营养餐7190人每餐约100克，每日1餐。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690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423658千克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98D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4.78元/千克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12A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202.51 </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4DD2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437.63 </w:t>
            </w:r>
          </w:p>
        </w:tc>
      </w:tr>
      <w:tr w14:paraId="316C7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9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3014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303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面粉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57E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192天</w:t>
            </w:r>
          </w:p>
        </w:tc>
        <w:tc>
          <w:tcPr>
            <w:tcW w:w="0" w:type="auto"/>
            <w:tcBorders>
              <w:top w:val="nil"/>
              <w:left w:val="nil"/>
              <w:bottom w:val="nil"/>
              <w:right w:val="nil"/>
            </w:tcBorders>
            <w:shd w:val="clear" w:color="auto" w:fill="auto"/>
            <w:noWrap/>
            <w:vAlign w:val="center"/>
          </w:tcPr>
          <w:p w14:paraId="4D6478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7190</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5B2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非营养餐早晚餐每生每天平均2餐，平均每餐约50克。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9E5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138048千克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C56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4.28元/千克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5E3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59.08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3EED9">
            <w:pPr>
              <w:jc w:val="center"/>
              <w:rPr>
                <w:rFonts w:hint="eastAsia" w:ascii="宋体" w:hAnsi="宋体" w:eastAsia="宋体" w:cs="宋体"/>
                <w:b/>
                <w:bCs/>
                <w:i w:val="0"/>
                <w:iCs w:val="0"/>
                <w:color w:val="000000"/>
                <w:sz w:val="18"/>
                <w:szCs w:val="18"/>
                <w:u w:val="none"/>
              </w:rPr>
            </w:pPr>
          </w:p>
        </w:tc>
      </w:tr>
      <w:tr w14:paraId="427A9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9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949B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F13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菜籽油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F12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0BB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17107</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358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营养午餐9917人每餐约15毫升，每日1餐；非营养餐7190人每餐约17毫升，每日平均2餐。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C8A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75497升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D0B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14.31元/升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CD8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108.04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B0CF2">
            <w:pPr>
              <w:jc w:val="center"/>
              <w:rPr>
                <w:rFonts w:hint="eastAsia" w:ascii="宋体" w:hAnsi="宋体" w:eastAsia="宋体" w:cs="宋体"/>
                <w:b/>
                <w:bCs/>
                <w:i w:val="0"/>
                <w:iCs w:val="0"/>
                <w:color w:val="000000"/>
                <w:sz w:val="18"/>
                <w:szCs w:val="18"/>
                <w:u w:val="none"/>
              </w:rPr>
            </w:pPr>
          </w:p>
        </w:tc>
      </w:tr>
      <w:tr w14:paraId="5FA30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9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30B3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1CC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面制品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5F1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3EF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7190</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9C5B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非营养餐早晚餐用挂面、鲜面、麻什等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5D6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EF6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市场采价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11B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15.00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B892E">
            <w:pPr>
              <w:jc w:val="center"/>
              <w:rPr>
                <w:rFonts w:hint="eastAsia" w:ascii="宋体" w:hAnsi="宋体" w:eastAsia="宋体" w:cs="宋体"/>
                <w:b/>
                <w:bCs/>
                <w:i w:val="0"/>
                <w:iCs w:val="0"/>
                <w:color w:val="000000"/>
                <w:sz w:val="18"/>
                <w:szCs w:val="18"/>
                <w:u w:val="none"/>
              </w:rPr>
            </w:pPr>
          </w:p>
        </w:tc>
      </w:tr>
      <w:tr w14:paraId="65BD4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9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5629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551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杂粮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801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E9D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7190</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796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营养午餐及非营养餐学校辅食搭配用各种杂粮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B54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BCE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市场采价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F29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8.00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83D9A">
            <w:pPr>
              <w:jc w:val="center"/>
              <w:rPr>
                <w:rFonts w:hint="eastAsia" w:ascii="宋体" w:hAnsi="宋体" w:eastAsia="宋体" w:cs="宋体"/>
                <w:b/>
                <w:bCs/>
                <w:i w:val="0"/>
                <w:iCs w:val="0"/>
                <w:color w:val="000000"/>
                <w:sz w:val="18"/>
                <w:szCs w:val="18"/>
                <w:u w:val="none"/>
              </w:rPr>
            </w:pPr>
          </w:p>
        </w:tc>
      </w:tr>
      <w:tr w14:paraId="50ED8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9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78AD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B9F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纯牛奶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5CC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64餐次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32D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3642</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B281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幼儿园及部分中小学每生每餐1盒牛奶，平均每3天约1次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FF3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3EB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市场采价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104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45.00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C6A2B">
            <w:pPr>
              <w:jc w:val="center"/>
              <w:rPr>
                <w:rFonts w:hint="eastAsia" w:ascii="宋体" w:hAnsi="宋体" w:eastAsia="宋体" w:cs="宋体"/>
                <w:b/>
                <w:bCs/>
                <w:i w:val="0"/>
                <w:iCs w:val="0"/>
                <w:color w:val="000000"/>
                <w:sz w:val="18"/>
                <w:szCs w:val="18"/>
                <w:u w:val="none"/>
              </w:rPr>
            </w:pPr>
          </w:p>
        </w:tc>
      </w:tr>
      <w:tr w14:paraId="7E28A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trPr>
        <w:tc>
          <w:tcPr>
            <w:tcW w:w="9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1A66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五标段（B片区肉蛋禽采购)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079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大肉类食材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D1F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172/192天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BAD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17107</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EA4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营养午餐9917人172天每餐约50克，每日1餐；非营养餐7190人192天每餐约50克，每日平均1餐。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0EE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154310千克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D11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24D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339.48 </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76E5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553.73 </w:t>
            </w:r>
          </w:p>
        </w:tc>
      </w:tr>
      <w:tr w14:paraId="42254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9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A617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D87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精排骨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32A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20餐次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AEB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9917</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5AAE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营养午餐每生每餐约60克，约平均每2周1次。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43F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11900千克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0B3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54D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42.84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B6CD8">
            <w:pPr>
              <w:jc w:val="center"/>
              <w:rPr>
                <w:rFonts w:hint="eastAsia" w:ascii="宋体" w:hAnsi="宋体" w:eastAsia="宋体" w:cs="宋体"/>
                <w:b/>
                <w:bCs/>
                <w:i w:val="0"/>
                <w:iCs w:val="0"/>
                <w:color w:val="000000"/>
                <w:sz w:val="18"/>
                <w:szCs w:val="18"/>
                <w:u w:val="none"/>
              </w:rPr>
            </w:pPr>
          </w:p>
        </w:tc>
      </w:tr>
      <w:tr w14:paraId="388F1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2" w:hRule="atLeast"/>
        </w:trPr>
        <w:tc>
          <w:tcPr>
            <w:tcW w:w="9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44A17">
            <w:pPr>
              <w:jc w:val="center"/>
              <w:rPr>
                <w:rFonts w:hint="eastAsia" w:ascii="宋体" w:hAnsi="宋体" w:eastAsia="宋体" w:cs="宋体"/>
                <w:i w:val="0"/>
                <w:iCs w:val="0"/>
                <w:color w:val="000000"/>
                <w:sz w:val="18"/>
                <w:szCs w:val="18"/>
                <w:u w:val="none"/>
              </w:rPr>
            </w:pP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747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牛肉、羊肉、鸡肉等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4A1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40餐次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265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7190</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EB7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非营养餐每生每餐平均约50克，平均每周约1次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CA6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14380千克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F9E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4F9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106.41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9AA20">
            <w:pPr>
              <w:jc w:val="center"/>
              <w:rPr>
                <w:rFonts w:hint="eastAsia" w:ascii="宋体" w:hAnsi="宋体" w:eastAsia="宋体" w:cs="宋体"/>
                <w:b/>
                <w:bCs/>
                <w:i w:val="0"/>
                <w:iCs w:val="0"/>
                <w:color w:val="000000"/>
                <w:sz w:val="18"/>
                <w:szCs w:val="18"/>
                <w:u w:val="none"/>
              </w:rPr>
            </w:pPr>
          </w:p>
        </w:tc>
      </w:tr>
      <w:tr w14:paraId="2842F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 w:hRule="atLeast"/>
        </w:trPr>
        <w:tc>
          <w:tcPr>
            <w:tcW w:w="9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0363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BAB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鸡蛋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A70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40/96餐次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3C8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17107</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0F25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营养午餐9917人每餐约50克，平均每周约1次；非营养餐7190人每餐约50克，平均每2天1次。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0D6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54346千克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3DC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11.96元/千克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96F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65.00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025E2">
            <w:pPr>
              <w:jc w:val="center"/>
              <w:rPr>
                <w:rFonts w:hint="eastAsia" w:ascii="宋体" w:hAnsi="宋体" w:eastAsia="宋体" w:cs="宋体"/>
                <w:b/>
                <w:bCs/>
                <w:i w:val="0"/>
                <w:iCs w:val="0"/>
                <w:color w:val="000000"/>
                <w:sz w:val="18"/>
                <w:szCs w:val="18"/>
                <w:u w:val="none"/>
              </w:rPr>
            </w:pPr>
          </w:p>
        </w:tc>
      </w:tr>
      <w:tr w14:paraId="04090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4"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C20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六标段（B片区营养午餐蔬菜调味品等采购）</w:t>
            </w: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2E1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蔬菜、水果、干货及调味品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2D1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84D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9917</w:t>
            </w:r>
          </w:p>
        </w:tc>
        <w:tc>
          <w:tcPr>
            <w:tcW w:w="3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4A93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营养午餐蔬菜、干货、水果等每生每餐约2.50元，调味品每生每餐约0.2元，每生每餐共计约2.70元。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215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148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2.7元/天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A1D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514.10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328D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514.10 </w:t>
            </w:r>
          </w:p>
        </w:tc>
      </w:tr>
      <w:tr w14:paraId="0F246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0" w:type="auto"/>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E2CD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合计资金：2996.89万</w:t>
            </w:r>
          </w:p>
        </w:tc>
      </w:tr>
      <w:tr w14:paraId="79020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3" w:hRule="atLeast"/>
        </w:trPr>
        <w:tc>
          <w:tcPr>
            <w:tcW w:w="9815" w:type="dxa"/>
            <w:gridSpan w:val="9"/>
            <w:tcBorders>
              <w:top w:val="nil"/>
              <w:left w:val="nil"/>
              <w:bottom w:val="nil"/>
              <w:right w:val="nil"/>
            </w:tcBorders>
            <w:shd w:val="clear" w:color="auto" w:fill="auto"/>
            <w:vAlign w:val="center"/>
          </w:tcPr>
          <w:p w14:paraId="0AE2CA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1.一、二、三标段人数分别为9674名营养午餐学生人数和7426名中小学幼儿园非营养餐学生人数；四、五、六标段人数分别为9917名营养划午餐学生人数和7190名中小学幼儿园非营养餐学生人数；2.学生人数以2026年春季学期学校就餐人数统计，实际就餐人数因政策调整及学校招生、调出等会有增减变动；3.食材用量和单价根据2026年食材价格测算，各包总价为概算，因中小学及幼儿园学生伙食费由学校按规定时间收取，收费尚未完成，目前暂未形成具体资金预算，最终以学校实际支付金额结算为准。</w:t>
            </w:r>
          </w:p>
        </w:tc>
      </w:tr>
    </w:tbl>
    <w:p w14:paraId="2EE4793E">
      <w:pPr>
        <w:pStyle w:val="11"/>
        <w:rPr>
          <w:rFonts w:hint="eastAsia"/>
          <w:lang w:val="en-US" w:eastAsia="zh-CN"/>
        </w:rPr>
        <w:sectPr>
          <w:pgSz w:w="11910" w:h="16840"/>
          <w:pgMar w:top="1440" w:right="1080" w:bottom="1440" w:left="1080" w:header="872" w:footer="1005" w:gutter="0"/>
          <w:pgNumType w:fmt="decimal"/>
          <w:cols w:space="720" w:num="1"/>
        </w:sectPr>
      </w:pPr>
    </w:p>
    <w:p w14:paraId="53C0D205">
      <w:pPr>
        <w:numPr>
          <w:ilvl w:val="0"/>
          <w:numId w:val="20"/>
        </w:numPr>
        <w:rPr>
          <w:rFonts w:hint="eastAsia"/>
          <w:color w:val="auto"/>
          <w:sz w:val="24"/>
          <w:szCs w:val="24"/>
          <w:lang w:eastAsia="zh-CN"/>
        </w:rPr>
      </w:pPr>
      <w:r>
        <w:rPr>
          <w:rFonts w:hint="eastAsia"/>
          <w:b/>
          <w:bCs/>
          <w:color w:val="auto"/>
          <w:sz w:val="24"/>
          <w:szCs w:val="24"/>
        </w:rPr>
        <w:t>采购内容及要求</w:t>
      </w:r>
      <w:r>
        <w:rPr>
          <w:rFonts w:hint="eastAsia"/>
          <w:b/>
          <w:bCs/>
          <w:color w:val="auto"/>
          <w:sz w:val="24"/>
          <w:szCs w:val="24"/>
          <w:lang w:eastAsia="zh-CN"/>
        </w:rPr>
        <w:t>：</w:t>
      </w:r>
    </w:p>
    <w:tbl>
      <w:tblPr>
        <w:tblStyle w:val="23"/>
        <w:tblW w:w="139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67"/>
        <w:gridCol w:w="1167"/>
        <w:gridCol w:w="1097"/>
        <w:gridCol w:w="1416"/>
        <w:gridCol w:w="3583"/>
        <w:gridCol w:w="2666"/>
        <w:gridCol w:w="1655"/>
        <w:gridCol w:w="1167"/>
      </w:tblGrid>
      <w:tr w14:paraId="6F848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0" w:hRule="atLeast"/>
        </w:trPr>
        <w:tc>
          <w:tcPr>
            <w:tcW w:w="1167" w:type="dxa"/>
            <w:tcBorders>
              <w:top w:val="single" w:color="000000" w:sz="4" w:space="0"/>
              <w:left w:val="single" w:color="000000" w:sz="4" w:space="0"/>
              <w:bottom w:val="single" w:color="000000" w:sz="4" w:space="0"/>
              <w:right w:val="single" w:color="000000" w:sz="4" w:space="0"/>
            </w:tcBorders>
            <w:noWrap/>
            <w:vAlign w:val="center"/>
          </w:tcPr>
          <w:p w14:paraId="698E92B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标段</w:t>
            </w:r>
          </w:p>
        </w:tc>
        <w:tc>
          <w:tcPr>
            <w:tcW w:w="1167" w:type="dxa"/>
            <w:tcBorders>
              <w:top w:val="single" w:color="000000" w:sz="4" w:space="0"/>
              <w:left w:val="single" w:color="000000" w:sz="4" w:space="0"/>
              <w:bottom w:val="single" w:color="000000" w:sz="4" w:space="0"/>
              <w:right w:val="single" w:color="000000" w:sz="4" w:space="0"/>
            </w:tcBorders>
            <w:noWrap/>
            <w:vAlign w:val="center"/>
          </w:tcPr>
          <w:p w14:paraId="60AE2D6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类别</w:t>
            </w: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2B79956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食材名称</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618C1C1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规格</w:t>
            </w:r>
          </w:p>
        </w:tc>
        <w:tc>
          <w:tcPr>
            <w:tcW w:w="3583" w:type="dxa"/>
            <w:tcBorders>
              <w:top w:val="single" w:color="000000" w:sz="4" w:space="0"/>
              <w:left w:val="single" w:color="000000" w:sz="4" w:space="0"/>
              <w:bottom w:val="single" w:color="000000" w:sz="4" w:space="0"/>
              <w:right w:val="single" w:color="000000" w:sz="4" w:space="0"/>
            </w:tcBorders>
            <w:noWrap/>
            <w:vAlign w:val="center"/>
          </w:tcPr>
          <w:p w14:paraId="76AC7C1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质量与技术标准</w:t>
            </w:r>
          </w:p>
        </w:tc>
        <w:tc>
          <w:tcPr>
            <w:tcW w:w="2666" w:type="dxa"/>
            <w:tcBorders>
              <w:top w:val="single" w:color="000000" w:sz="4" w:space="0"/>
              <w:left w:val="single" w:color="000000" w:sz="4" w:space="0"/>
              <w:bottom w:val="single" w:color="000000" w:sz="4" w:space="0"/>
              <w:right w:val="single" w:color="000000" w:sz="4" w:space="0"/>
            </w:tcBorders>
            <w:noWrap w:val="0"/>
            <w:vAlign w:val="center"/>
          </w:tcPr>
          <w:p w14:paraId="6618BEB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定价方式</w:t>
            </w:r>
          </w:p>
        </w:tc>
        <w:tc>
          <w:tcPr>
            <w:tcW w:w="1655" w:type="dxa"/>
            <w:tcBorders>
              <w:top w:val="single" w:color="000000" w:sz="4" w:space="0"/>
              <w:left w:val="single" w:color="000000" w:sz="4" w:space="0"/>
              <w:bottom w:val="single" w:color="000000" w:sz="4" w:space="0"/>
              <w:right w:val="single" w:color="000000" w:sz="4" w:space="0"/>
            </w:tcBorders>
            <w:noWrap/>
            <w:vAlign w:val="center"/>
          </w:tcPr>
          <w:p w14:paraId="2D741CB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配送要求</w:t>
            </w:r>
          </w:p>
        </w:tc>
        <w:tc>
          <w:tcPr>
            <w:tcW w:w="1167" w:type="dxa"/>
            <w:tcBorders>
              <w:top w:val="single" w:color="000000" w:sz="4" w:space="0"/>
              <w:left w:val="single" w:color="000000" w:sz="4" w:space="0"/>
              <w:bottom w:val="single" w:color="000000" w:sz="4" w:space="0"/>
              <w:right w:val="single" w:color="000000" w:sz="4" w:space="0"/>
            </w:tcBorders>
            <w:noWrap/>
            <w:vAlign w:val="center"/>
          </w:tcPr>
          <w:p w14:paraId="6B88BF6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01234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2" w:hRule="atLeast"/>
        </w:trPr>
        <w:tc>
          <w:tcPr>
            <w:tcW w:w="1167" w:type="dxa"/>
            <w:vMerge w:val="restart"/>
            <w:tcBorders>
              <w:top w:val="single" w:color="000000" w:sz="4" w:space="0"/>
              <w:left w:val="single" w:color="000000" w:sz="4" w:space="0"/>
              <w:bottom w:val="single" w:color="000000" w:sz="4" w:space="0"/>
              <w:right w:val="single" w:color="000000" w:sz="4" w:space="0"/>
            </w:tcBorders>
            <w:noWrap w:val="0"/>
            <w:vAlign w:val="center"/>
          </w:tcPr>
          <w:p w14:paraId="26810A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一标段（A片区）、四标段（B片区）米面油和牛奶采购）</w:t>
            </w:r>
          </w:p>
        </w:tc>
        <w:tc>
          <w:tcPr>
            <w:tcW w:w="1167" w:type="dxa"/>
            <w:vMerge w:val="restart"/>
            <w:tcBorders>
              <w:top w:val="single" w:color="000000" w:sz="4" w:space="0"/>
              <w:left w:val="single" w:color="000000" w:sz="4" w:space="0"/>
              <w:bottom w:val="single" w:color="000000" w:sz="4" w:space="0"/>
              <w:right w:val="single" w:color="000000" w:sz="4" w:space="0"/>
            </w:tcBorders>
            <w:noWrap/>
            <w:vAlign w:val="center"/>
          </w:tcPr>
          <w:p w14:paraId="3AC2E3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成品粮</w:t>
            </w: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0C1F2B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大米</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DB516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25千克/袋（小规模学校用10千克/袋）</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70C30F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一级大米、符合GB/T1354-2018，具备SC食品生产许可证，</w:t>
            </w:r>
            <w:r>
              <w:rPr>
                <w:rFonts w:hint="eastAsia" w:cs="宋体"/>
                <w:i w:val="0"/>
                <w:iCs w:val="0"/>
                <w:color w:val="000000"/>
                <w:kern w:val="0"/>
                <w:sz w:val="20"/>
                <w:szCs w:val="20"/>
                <w:u w:val="none"/>
                <w:lang w:val="en-US" w:eastAsia="zh-CN" w:bidi="ar"/>
              </w:rPr>
              <w:t>且提供半年内合法检验报告</w:t>
            </w:r>
            <w:r>
              <w:rPr>
                <w:rFonts w:hint="eastAsia" w:ascii="宋体" w:hAnsi="宋体" w:eastAsia="宋体" w:cs="宋体"/>
                <w:i w:val="0"/>
                <w:iCs w:val="0"/>
                <w:color w:val="000000"/>
                <w:kern w:val="0"/>
                <w:sz w:val="20"/>
                <w:szCs w:val="20"/>
                <w:u w:val="none"/>
                <w:lang w:val="en-US" w:eastAsia="zh-CN" w:bidi="ar"/>
              </w:rPr>
              <w:t>。本地市场有稳定销售，市场口碑好的产品。</w:t>
            </w:r>
          </w:p>
        </w:tc>
        <w:tc>
          <w:tcPr>
            <w:tcW w:w="2666" w:type="dxa"/>
            <w:tcBorders>
              <w:top w:val="single" w:color="000000" w:sz="4" w:space="0"/>
              <w:left w:val="single" w:color="000000" w:sz="4" w:space="0"/>
              <w:bottom w:val="single" w:color="000000" w:sz="4" w:space="0"/>
              <w:right w:val="single" w:color="000000" w:sz="4" w:space="0"/>
            </w:tcBorders>
            <w:noWrap w:val="0"/>
            <w:vAlign w:val="center"/>
          </w:tcPr>
          <w:p w14:paraId="480ED5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以省级指导价为基础，参考市区发改监测价，结合市场询价核定限价，供应商报价不得超出限价。</w:t>
            </w:r>
          </w:p>
        </w:tc>
        <w:tc>
          <w:tcPr>
            <w:tcW w:w="1655" w:type="dxa"/>
            <w:vMerge w:val="restart"/>
            <w:tcBorders>
              <w:top w:val="single" w:color="000000" w:sz="4" w:space="0"/>
              <w:left w:val="single" w:color="000000" w:sz="4" w:space="0"/>
              <w:bottom w:val="single" w:color="000000" w:sz="4" w:space="0"/>
              <w:right w:val="single" w:color="000000" w:sz="4" w:space="0"/>
            </w:tcBorders>
            <w:noWrap w:val="0"/>
            <w:vAlign w:val="center"/>
          </w:tcPr>
          <w:p w14:paraId="59C1169D">
            <w:pPr>
              <w:keepNext w:val="0"/>
              <w:keepLines w:val="0"/>
              <w:widowControl/>
              <w:numPr>
                <w:ilvl w:val="0"/>
                <w:numId w:val="21"/>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厢式保温货车运输，和冷链车（鲜面运输）专车专用；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2.农村偏远学校每两周配送一次，城区及周边部分学校、幼儿园库房条件无法满足存储的，每日配送一次。</w:t>
            </w:r>
          </w:p>
          <w:p w14:paraId="01985789">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3.鲜面须0–4℃冷藏保存，采用专车专用冷链运输，执行当日生产当日配送。</w:t>
            </w:r>
          </w:p>
        </w:tc>
        <w:tc>
          <w:tcPr>
            <w:tcW w:w="1167" w:type="dxa"/>
            <w:vMerge w:val="restart"/>
            <w:tcBorders>
              <w:top w:val="single" w:color="000000" w:sz="4" w:space="0"/>
              <w:left w:val="single" w:color="000000" w:sz="4" w:space="0"/>
              <w:bottom w:val="single" w:color="000000" w:sz="4" w:space="0"/>
              <w:right w:val="single" w:color="000000" w:sz="4" w:space="0"/>
            </w:tcBorders>
            <w:noWrap w:val="0"/>
            <w:vAlign w:val="center"/>
          </w:tcPr>
          <w:p w14:paraId="10F947A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所有食品须符合国家食品安全要求</w:t>
            </w:r>
          </w:p>
        </w:tc>
      </w:tr>
      <w:tr w14:paraId="72521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18"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ABD799">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1A860409">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084DC8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面粉</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3052F5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25千克/袋（小规模学校用10千克/袋）</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6389A5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精制粉、符合 GB/T1355-2021，具备SC食品生产许可证，</w:t>
            </w:r>
            <w:r>
              <w:rPr>
                <w:rFonts w:hint="eastAsia" w:cs="宋体"/>
                <w:i w:val="0"/>
                <w:iCs w:val="0"/>
                <w:color w:val="000000"/>
                <w:kern w:val="0"/>
                <w:sz w:val="20"/>
                <w:szCs w:val="20"/>
                <w:u w:val="none"/>
                <w:lang w:val="en-US" w:eastAsia="zh-CN" w:bidi="ar"/>
              </w:rPr>
              <w:t>且提供半年内合法检验报告</w:t>
            </w:r>
            <w:r>
              <w:rPr>
                <w:rFonts w:hint="eastAsia" w:ascii="宋体" w:hAnsi="宋体" w:eastAsia="宋体" w:cs="宋体"/>
                <w:i w:val="0"/>
                <w:iCs w:val="0"/>
                <w:color w:val="000000"/>
                <w:kern w:val="0"/>
                <w:sz w:val="20"/>
                <w:szCs w:val="20"/>
                <w:u w:val="none"/>
                <w:lang w:val="en-US" w:eastAsia="zh-CN" w:bidi="ar"/>
              </w:rPr>
              <w:t>。本地市场有稳定销售，市场口碑好的产品。</w:t>
            </w:r>
          </w:p>
        </w:tc>
        <w:tc>
          <w:tcPr>
            <w:tcW w:w="2666" w:type="dxa"/>
            <w:tcBorders>
              <w:top w:val="single" w:color="000000" w:sz="4" w:space="0"/>
              <w:left w:val="single" w:color="000000" w:sz="4" w:space="0"/>
              <w:bottom w:val="single" w:color="000000" w:sz="4" w:space="0"/>
              <w:right w:val="single" w:color="000000" w:sz="4" w:space="0"/>
            </w:tcBorders>
            <w:noWrap w:val="0"/>
            <w:vAlign w:val="center"/>
          </w:tcPr>
          <w:p w14:paraId="5279E0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以省级指导价为基础，参考市区发改监测价，结合市场询价核定限价，供应商报价不得超出限价。</w:t>
            </w: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F27E20">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3D93AD">
            <w:pPr>
              <w:jc w:val="center"/>
              <w:rPr>
                <w:rFonts w:hint="eastAsia" w:ascii="宋体" w:hAnsi="宋体" w:eastAsia="宋体" w:cs="宋体"/>
                <w:i w:val="0"/>
                <w:iCs w:val="0"/>
                <w:color w:val="000000"/>
                <w:sz w:val="20"/>
                <w:szCs w:val="20"/>
                <w:u w:val="none"/>
              </w:rPr>
            </w:pPr>
          </w:p>
        </w:tc>
      </w:tr>
      <w:tr w14:paraId="0D636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736292">
            <w:pPr>
              <w:jc w:val="center"/>
              <w:rPr>
                <w:rFonts w:hint="eastAsia" w:ascii="宋体" w:hAnsi="宋体" w:eastAsia="宋体" w:cs="宋体"/>
                <w:i w:val="0"/>
                <w:iCs w:val="0"/>
                <w:color w:val="000000"/>
                <w:sz w:val="20"/>
                <w:szCs w:val="20"/>
                <w:u w:val="none"/>
              </w:rPr>
            </w:pPr>
          </w:p>
        </w:tc>
        <w:tc>
          <w:tcPr>
            <w:tcW w:w="1167" w:type="dxa"/>
            <w:tcBorders>
              <w:top w:val="single" w:color="000000" w:sz="4" w:space="0"/>
              <w:left w:val="single" w:color="000000" w:sz="4" w:space="0"/>
              <w:bottom w:val="single" w:color="000000" w:sz="4" w:space="0"/>
              <w:right w:val="single" w:color="000000" w:sz="4" w:space="0"/>
            </w:tcBorders>
            <w:noWrap/>
            <w:vAlign w:val="center"/>
          </w:tcPr>
          <w:p w14:paraId="6C8956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成品油</w:t>
            </w: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5F00E0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菜籽油</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2D534B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5升/桶</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2ED257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非转基因</w:t>
            </w:r>
            <w:r>
              <w:rPr>
                <w:rFonts w:hint="eastAsia"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一级压榨纯菜籽油、桶装、符合GB/T1536-2021，具备SC食品生产许可证，</w:t>
            </w:r>
            <w:r>
              <w:rPr>
                <w:rFonts w:hint="eastAsia" w:cs="宋体"/>
                <w:i w:val="0"/>
                <w:iCs w:val="0"/>
                <w:color w:val="000000"/>
                <w:kern w:val="0"/>
                <w:sz w:val="20"/>
                <w:szCs w:val="20"/>
                <w:u w:val="none"/>
                <w:lang w:val="en-US" w:eastAsia="zh-CN" w:bidi="ar"/>
              </w:rPr>
              <w:t>且提供半年内合法检验报告</w:t>
            </w:r>
            <w:r>
              <w:rPr>
                <w:rFonts w:hint="eastAsia" w:ascii="宋体" w:hAnsi="宋体" w:eastAsia="宋体" w:cs="宋体"/>
                <w:i w:val="0"/>
                <w:iCs w:val="0"/>
                <w:color w:val="000000"/>
                <w:kern w:val="0"/>
                <w:sz w:val="20"/>
                <w:szCs w:val="20"/>
                <w:u w:val="none"/>
                <w:lang w:val="en-US" w:eastAsia="zh-CN" w:bidi="ar"/>
              </w:rPr>
              <w:t>。本地主流商超、粮油市场常年销售，市场口碑好的产品。</w:t>
            </w:r>
          </w:p>
        </w:tc>
        <w:tc>
          <w:tcPr>
            <w:tcW w:w="2666" w:type="dxa"/>
            <w:tcBorders>
              <w:top w:val="single" w:color="000000" w:sz="4" w:space="0"/>
              <w:left w:val="single" w:color="000000" w:sz="4" w:space="0"/>
              <w:bottom w:val="single" w:color="000000" w:sz="4" w:space="0"/>
              <w:right w:val="single" w:color="000000" w:sz="4" w:space="0"/>
            </w:tcBorders>
            <w:noWrap w:val="0"/>
            <w:vAlign w:val="center"/>
          </w:tcPr>
          <w:p w14:paraId="479271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以省级指导价为基础，参考市区发改监测价，结合市场询价核定限价，供应商报价不得超出限价。</w:t>
            </w: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C69DFA">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028DF6">
            <w:pPr>
              <w:jc w:val="center"/>
              <w:rPr>
                <w:rFonts w:hint="eastAsia" w:ascii="宋体" w:hAnsi="宋体" w:eastAsia="宋体" w:cs="宋体"/>
                <w:i w:val="0"/>
                <w:iCs w:val="0"/>
                <w:color w:val="000000"/>
                <w:sz w:val="20"/>
                <w:szCs w:val="20"/>
                <w:u w:val="none"/>
              </w:rPr>
            </w:pPr>
          </w:p>
        </w:tc>
      </w:tr>
      <w:tr w14:paraId="421B6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1"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DB37B1">
            <w:pPr>
              <w:jc w:val="center"/>
              <w:rPr>
                <w:rFonts w:hint="eastAsia" w:ascii="宋体" w:hAnsi="宋体" w:eastAsia="宋体" w:cs="宋体"/>
                <w:i w:val="0"/>
                <w:iCs w:val="0"/>
                <w:color w:val="000000"/>
                <w:sz w:val="20"/>
                <w:szCs w:val="20"/>
                <w:u w:val="none"/>
              </w:rPr>
            </w:pPr>
          </w:p>
        </w:tc>
        <w:tc>
          <w:tcPr>
            <w:tcW w:w="1167" w:type="dxa"/>
            <w:tcBorders>
              <w:top w:val="single" w:color="000000" w:sz="4" w:space="0"/>
              <w:left w:val="single" w:color="000000" w:sz="4" w:space="0"/>
              <w:bottom w:val="single" w:color="000000" w:sz="4" w:space="0"/>
              <w:right w:val="single" w:color="000000" w:sz="4" w:space="0"/>
            </w:tcBorders>
            <w:noWrap/>
            <w:vAlign w:val="center"/>
          </w:tcPr>
          <w:p w14:paraId="2BC79F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面制品</w:t>
            </w:r>
          </w:p>
        </w:tc>
        <w:tc>
          <w:tcPr>
            <w:tcW w:w="1097" w:type="dxa"/>
            <w:tcBorders>
              <w:top w:val="single" w:color="000000" w:sz="4" w:space="0"/>
              <w:left w:val="single" w:color="000000" w:sz="4" w:space="0"/>
              <w:bottom w:val="single" w:color="000000" w:sz="4" w:space="0"/>
              <w:right w:val="single" w:color="000000" w:sz="4" w:space="0"/>
            </w:tcBorders>
            <w:noWrap w:val="0"/>
            <w:vAlign w:val="center"/>
          </w:tcPr>
          <w:p w14:paraId="4D2818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面条、面片及麻什等</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0E976C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2.5kg/5kg等常见规格</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6AD0ED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具体种类为干挂面/鲜面条、干面片/鲜面片、干麻什等形态均匀，具备SC食品生产许可证，挂面符合GB/T40636-2021；鲜面（生湿面制品）符合 GB19295-2021；全部品类符合基础安全执行GB2760、GB2762、GB2763、GB29921；无碎条、无受潮、无异味、无霉变，理化指标符合标准，污染物、微生物、添加剂符合食品安全国标。提供批次检验合格报告。</w:t>
            </w:r>
          </w:p>
        </w:tc>
        <w:tc>
          <w:tcPr>
            <w:tcW w:w="2666" w:type="dxa"/>
            <w:tcBorders>
              <w:top w:val="single" w:color="000000" w:sz="4" w:space="0"/>
              <w:left w:val="single" w:color="000000" w:sz="4" w:space="0"/>
              <w:bottom w:val="single" w:color="000000" w:sz="4" w:space="0"/>
              <w:right w:val="single" w:color="000000" w:sz="4" w:space="0"/>
            </w:tcBorders>
            <w:noWrap w:val="0"/>
            <w:vAlign w:val="center"/>
          </w:tcPr>
          <w:p w14:paraId="56F421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供应商报优惠率，询价小组定期开展市场采价，结合优惠率扣减定价。</w:t>
            </w: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BC9E5E">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A07555">
            <w:pPr>
              <w:jc w:val="center"/>
              <w:rPr>
                <w:rFonts w:hint="eastAsia" w:ascii="宋体" w:hAnsi="宋体" w:eastAsia="宋体" w:cs="宋体"/>
                <w:i w:val="0"/>
                <w:iCs w:val="0"/>
                <w:color w:val="000000"/>
                <w:sz w:val="20"/>
                <w:szCs w:val="20"/>
                <w:u w:val="none"/>
              </w:rPr>
            </w:pPr>
          </w:p>
        </w:tc>
      </w:tr>
      <w:tr w14:paraId="1C7FE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74"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B1C6E5">
            <w:pPr>
              <w:jc w:val="center"/>
              <w:rPr>
                <w:rFonts w:hint="eastAsia" w:ascii="宋体" w:hAnsi="宋体" w:eastAsia="宋体" w:cs="宋体"/>
                <w:i w:val="0"/>
                <w:iCs w:val="0"/>
                <w:color w:val="000000"/>
                <w:sz w:val="20"/>
                <w:szCs w:val="20"/>
                <w:u w:val="none"/>
              </w:rPr>
            </w:pPr>
          </w:p>
        </w:tc>
        <w:tc>
          <w:tcPr>
            <w:tcW w:w="1167" w:type="dxa"/>
            <w:tcBorders>
              <w:top w:val="single" w:color="000000" w:sz="4" w:space="0"/>
              <w:left w:val="single" w:color="000000" w:sz="4" w:space="0"/>
              <w:bottom w:val="single" w:color="000000" w:sz="4" w:space="0"/>
              <w:right w:val="single" w:color="000000" w:sz="4" w:space="0"/>
            </w:tcBorders>
            <w:noWrap/>
            <w:vAlign w:val="center"/>
          </w:tcPr>
          <w:p w14:paraId="70A392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杂粮</w:t>
            </w:r>
          </w:p>
        </w:tc>
        <w:tc>
          <w:tcPr>
            <w:tcW w:w="1097" w:type="dxa"/>
            <w:tcBorders>
              <w:top w:val="single" w:color="000000" w:sz="4" w:space="0"/>
              <w:left w:val="single" w:color="000000" w:sz="4" w:space="0"/>
              <w:bottom w:val="single" w:color="000000" w:sz="4" w:space="0"/>
              <w:right w:val="single" w:color="000000" w:sz="4" w:space="0"/>
            </w:tcBorders>
            <w:noWrap w:val="0"/>
            <w:vAlign w:val="center"/>
          </w:tcPr>
          <w:p w14:paraId="7A503D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谷物及杂豆类</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29735D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预包装、散装</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7B9758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具体种类为小米、绿豆、红豆、黑米、花生、芝麻、黄豆等，具备SC食品生产许可证，每种杂粮符合其对应的国家标准（如小米 GB/T11766-2024、绿豆 GB/T10462-2008），无国家标准的需符合现行行业标准，需为当地市场有销售的正规品牌产品（无品牌但有标准、有资质、可追溯），采用密封包装，颗粒完整饱满，无虫蛀、无变色，杂质含量≤1.0%，不完善粒占比≤5%，水分含量≤13%，提供半年内含合法检验报告及出厂检验报告。</w:t>
            </w:r>
          </w:p>
        </w:tc>
        <w:tc>
          <w:tcPr>
            <w:tcW w:w="2666" w:type="dxa"/>
            <w:tcBorders>
              <w:top w:val="single" w:color="000000" w:sz="4" w:space="0"/>
              <w:left w:val="single" w:color="000000" w:sz="4" w:space="0"/>
              <w:bottom w:val="single" w:color="000000" w:sz="4" w:space="0"/>
              <w:right w:val="single" w:color="000000" w:sz="4" w:space="0"/>
            </w:tcBorders>
            <w:noWrap w:val="0"/>
            <w:vAlign w:val="center"/>
          </w:tcPr>
          <w:p w14:paraId="6E706B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供应商报优惠率，询价小组定期开展市场采价，结合优惠率扣减定价。</w:t>
            </w: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DC765D">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ADA7B0">
            <w:pPr>
              <w:jc w:val="center"/>
              <w:rPr>
                <w:rFonts w:hint="eastAsia" w:ascii="宋体" w:hAnsi="宋体" w:eastAsia="宋体" w:cs="宋体"/>
                <w:i w:val="0"/>
                <w:iCs w:val="0"/>
                <w:color w:val="000000"/>
                <w:sz w:val="20"/>
                <w:szCs w:val="20"/>
                <w:u w:val="none"/>
              </w:rPr>
            </w:pPr>
          </w:p>
        </w:tc>
      </w:tr>
      <w:tr w14:paraId="2EE17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0"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99C150">
            <w:pPr>
              <w:jc w:val="center"/>
              <w:rPr>
                <w:rFonts w:hint="eastAsia" w:ascii="宋体" w:hAnsi="宋体" w:eastAsia="宋体" w:cs="宋体"/>
                <w:i w:val="0"/>
                <w:iCs w:val="0"/>
                <w:color w:val="000000"/>
                <w:sz w:val="20"/>
                <w:szCs w:val="20"/>
                <w:u w:val="none"/>
              </w:rPr>
            </w:pPr>
          </w:p>
        </w:tc>
        <w:tc>
          <w:tcPr>
            <w:tcW w:w="1167" w:type="dxa"/>
            <w:vMerge w:val="restart"/>
            <w:tcBorders>
              <w:top w:val="single" w:color="000000" w:sz="4" w:space="0"/>
              <w:left w:val="single" w:color="000000" w:sz="4" w:space="0"/>
              <w:bottom w:val="single" w:color="000000" w:sz="4" w:space="0"/>
              <w:right w:val="single" w:color="000000" w:sz="4" w:space="0"/>
            </w:tcBorders>
            <w:noWrap/>
            <w:vAlign w:val="center"/>
          </w:tcPr>
          <w:p w14:paraId="6C8412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牛奶</w:t>
            </w:r>
          </w:p>
        </w:tc>
        <w:tc>
          <w:tcPr>
            <w:tcW w:w="1097" w:type="dxa"/>
            <w:vMerge w:val="restart"/>
            <w:tcBorders>
              <w:top w:val="single" w:color="000000" w:sz="4" w:space="0"/>
              <w:left w:val="single" w:color="000000" w:sz="4" w:space="0"/>
              <w:bottom w:val="single" w:color="000000" w:sz="4" w:space="0"/>
              <w:right w:val="single" w:color="000000" w:sz="4" w:space="0"/>
            </w:tcBorders>
            <w:noWrap/>
            <w:vAlign w:val="center"/>
          </w:tcPr>
          <w:p w14:paraId="266081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盒装纯牛奶</w:t>
            </w:r>
          </w:p>
        </w:tc>
        <w:tc>
          <w:tcPr>
            <w:tcW w:w="1416" w:type="dxa"/>
            <w:vMerge w:val="restart"/>
            <w:tcBorders>
              <w:top w:val="single" w:color="000000" w:sz="4" w:space="0"/>
              <w:left w:val="single" w:color="000000" w:sz="4" w:space="0"/>
              <w:bottom w:val="single" w:color="000000" w:sz="4" w:space="0"/>
              <w:right w:val="single" w:color="000000" w:sz="4" w:space="0"/>
            </w:tcBorders>
            <w:noWrap w:val="0"/>
            <w:vAlign w:val="center"/>
          </w:tcPr>
          <w:p w14:paraId="2FCCD3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125ml/盒、200ml/盒、250ml/盒等常见规格</w:t>
            </w:r>
          </w:p>
        </w:tc>
        <w:tc>
          <w:tcPr>
            <w:tcW w:w="3583" w:type="dxa"/>
            <w:vMerge w:val="restart"/>
            <w:tcBorders>
              <w:top w:val="single" w:color="000000" w:sz="4" w:space="0"/>
              <w:left w:val="single" w:color="000000" w:sz="4" w:space="0"/>
              <w:bottom w:val="single" w:color="000000" w:sz="4" w:space="0"/>
              <w:right w:val="single" w:color="000000" w:sz="4" w:space="0"/>
            </w:tcBorders>
            <w:noWrap w:val="0"/>
            <w:vAlign w:val="center"/>
          </w:tcPr>
          <w:p w14:paraId="348716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无菌砖纯牛奶（带吸管），符合国家标准GB25190-2010； 具备SC食品生产许可证，提供生产厂家许可证及每批次出厂检验报告；无发霉、变质、变味，外包装标注完整。</w:t>
            </w:r>
          </w:p>
        </w:tc>
        <w:tc>
          <w:tcPr>
            <w:tcW w:w="2666" w:type="dxa"/>
            <w:vMerge w:val="restart"/>
            <w:tcBorders>
              <w:top w:val="single" w:color="000000" w:sz="4" w:space="0"/>
              <w:left w:val="single" w:color="000000" w:sz="4" w:space="0"/>
              <w:bottom w:val="single" w:color="000000" w:sz="4" w:space="0"/>
              <w:right w:val="single" w:color="000000" w:sz="4" w:space="0"/>
            </w:tcBorders>
            <w:noWrap w:val="0"/>
            <w:vAlign w:val="center"/>
          </w:tcPr>
          <w:p w14:paraId="2F6800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供应商报优惠率，询价小组定期开展市场采价，结合优惠率扣减定价。</w:t>
            </w:r>
          </w:p>
        </w:tc>
        <w:tc>
          <w:tcPr>
            <w:tcW w:w="1655" w:type="dxa"/>
            <w:vMerge w:val="restart"/>
            <w:tcBorders>
              <w:top w:val="single" w:color="000000" w:sz="4" w:space="0"/>
              <w:left w:val="single" w:color="000000" w:sz="4" w:space="0"/>
              <w:bottom w:val="single" w:color="000000" w:sz="4" w:space="0"/>
              <w:right w:val="single" w:color="000000" w:sz="4" w:space="0"/>
            </w:tcBorders>
            <w:noWrap w:val="0"/>
            <w:vAlign w:val="center"/>
          </w:tcPr>
          <w:p w14:paraId="677A09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1.每周配送一次；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2.学生食用时距保质期至少三个月以上。</w:t>
            </w:r>
          </w:p>
        </w:tc>
        <w:tc>
          <w:tcPr>
            <w:tcW w:w="1167" w:type="dxa"/>
            <w:vMerge w:val="restart"/>
            <w:tcBorders>
              <w:top w:val="single" w:color="000000" w:sz="4" w:space="0"/>
              <w:left w:val="single" w:color="000000" w:sz="4" w:space="0"/>
              <w:bottom w:val="single" w:color="000000" w:sz="4" w:space="0"/>
              <w:right w:val="single" w:color="000000" w:sz="4" w:space="0"/>
            </w:tcBorders>
            <w:noWrap w:val="0"/>
            <w:vAlign w:val="center"/>
          </w:tcPr>
          <w:p w14:paraId="39733D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60735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50A0A0">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67C2277F">
            <w:pPr>
              <w:jc w:val="center"/>
              <w:rPr>
                <w:rFonts w:hint="eastAsia" w:ascii="宋体" w:hAnsi="宋体" w:eastAsia="宋体" w:cs="宋体"/>
                <w:i w:val="0"/>
                <w:iCs w:val="0"/>
                <w:color w:val="000000"/>
                <w:sz w:val="20"/>
                <w:szCs w:val="20"/>
                <w:u w:val="none"/>
              </w:rPr>
            </w:pPr>
          </w:p>
        </w:tc>
        <w:tc>
          <w:tcPr>
            <w:tcW w:w="1097" w:type="dxa"/>
            <w:vMerge w:val="continue"/>
            <w:tcBorders>
              <w:top w:val="single" w:color="000000" w:sz="4" w:space="0"/>
              <w:left w:val="single" w:color="000000" w:sz="4" w:space="0"/>
              <w:bottom w:val="single" w:color="000000" w:sz="4" w:space="0"/>
              <w:right w:val="single" w:color="000000" w:sz="4" w:space="0"/>
            </w:tcBorders>
            <w:noWrap/>
            <w:vAlign w:val="center"/>
          </w:tcPr>
          <w:p w14:paraId="52B0460E">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74D681">
            <w:pPr>
              <w:jc w:val="center"/>
              <w:rPr>
                <w:rFonts w:hint="eastAsia" w:ascii="宋体" w:hAnsi="宋体" w:eastAsia="宋体" w:cs="宋体"/>
                <w:i w:val="0"/>
                <w:iCs w:val="0"/>
                <w:color w:val="000000"/>
                <w:sz w:val="20"/>
                <w:szCs w:val="20"/>
                <w:u w:val="none"/>
              </w:rPr>
            </w:pPr>
          </w:p>
        </w:tc>
        <w:tc>
          <w:tcPr>
            <w:tcW w:w="3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E4ED12">
            <w:pPr>
              <w:jc w:val="left"/>
              <w:rPr>
                <w:rFonts w:hint="eastAsia" w:ascii="宋体" w:hAnsi="宋体" w:eastAsia="宋体" w:cs="宋体"/>
                <w:i w:val="0"/>
                <w:iCs w:val="0"/>
                <w:color w:val="000000"/>
                <w:sz w:val="20"/>
                <w:szCs w:val="20"/>
                <w:u w:val="none"/>
              </w:rPr>
            </w:pP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C77B1F">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A694A1">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F93A82">
            <w:pPr>
              <w:jc w:val="center"/>
              <w:rPr>
                <w:rFonts w:hint="eastAsia" w:ascii="宋体" w:hAnsi="宋体" w:eastAsia="宋体" w:cs="宋体"/>
                <w:i w:val="0"/>
                <w:iCs w:val="0"/>
                <w:color w:val="000000"/>
                <w:sz w:val="20"/>
                <w:szCs w:val="20"/>
                <w:u w:val="none"/>
              </w:rPr>
            </w:pPr>
          </w:p>
        </w:tc>
      </w:tr>
      <w:tr w14:paraId="0B698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67" w:type="dxa"/>
            <w:vMerge w:val="restart"/>
            <w:tcBorders>
              <w:top w:val="single" w:color="000000" w:sz="4" w:space="0"/>
              <w:left w:val="single" w:color="000000" w:sz="4" w:space="0"/>
              <w:bottom w:val="single" w:color="000000" w:sz="4" w:space="0"/>
              <w:right w:val="single" w:color="000000" w:sz="4" w:space="0"/>
            </w:tcBorders>
            <w:noWrap w:val="0"/>
            <w:vAlign w:val="center"/>
          </w:tcPr>
          <w:p w14:paraId="0B4774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二标段（A片区）、五标段（B片区）肉蛋禽采购</w:t>
            </w:r>
          </w:p>
        </w:tc>
        <w:tc>
          <w:tcPr>
            <w:tcW w:w="1167" w:type="dxa"/>
            <w:vMerge w:val="restart"/>
            <w:tcBorders>
              <w:top w:val="single" w:color="000000" w:sz="4" w:space="0"/>
              <w:left w:val="single" w:color="000000" w:sz="4" w:space="0"/>
              <w:bottom w:val="single" w:color="000000" w:sz="4" w:space="0"/>
              <w:right w:val="single" w:color="000000" w:sz="4" w:space="0"/>
            </w:tcBorders>
            <w:noWrap w:val="0"/>
            <w:vAlign w:val="center"/>
          </w:tcPr>
          <w:p w14:paraId="7E4266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肉蛋禽及其制品</w:t>
            </w: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083E01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猪肉</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1A3B76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按量分割</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211FE0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品牌冷鲜猪肉（屠宰后经冷却处理中心温度0-4℃的非冷冻鲜肉），安全指标符合GB2707-2016及满足相关食品安全要求。具体品类为剔骨腿肉、精排骨、精瘦肉、五花肉等；需提供与采购批次对应的动物检验检疫合格证明、肉品品质检验合格证明；品牌所属企业须具备《生猪定点屠宰证》。全程冷链运输，提供温控记录，到货时中心温度0-4℃。肉质鲜红有弹性，无异味、淤血、淋巴结；剔骨类去净残毛碎骨，精瘦肉脂肪含量≤5%。</w:t>
            </w:r>
          </w:p>
        </w:tc>
        <w:tc>
          <w:tcPr>
            <w:tcW w:w="2666" w:type="dxa"/>
            <w:vMerge w:val="restart"/>
            <w:tcBorders>
              <w:top w:val="single" w:color="000000" w:sz="4" w:space="0"/>
              <w:left w:val="single" w:color="000000" w:sz="4" w:space="0"/>
              <w:bottom w:val="single" w:color="000000" w:sz="4" w:space="0"/>
              <w:right w:val="single" w:color="000000" w:sz="4" w:space="0"/>
            </w:tcBorders>
            <w:noWrap w:val="0"/>
            <w:vAlign w:val="center"/>
          </w:tcPr>
          <w:p w14:paraId="238372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供应商报优惠率，询价小组定期开展市场采价，结合优惠率扣减定价。</w:t>
            </w:r>
          </w:p>
        </w:tc>
        <w:tc>
          <w:tcPr>
            <w:tcW w:w="1655" w:type="dxa"/>
            <w:vMerge w:val="restart"/>
            <w:tcBorders>
              <w:top w:val="single" w:color="000000" w:sz="4" w:space="0"/>
              <w:left w:val="single" w:color="000000" w:sz="4" w:space="0"/>
              <w:bottom w:val="single" w:color="000000" w:sz="4" w:space="0"/>
              <w:right w:val="single" w:color="000000" w:sz="4" w:space="0"/>
            </w:tcBorders>
            <w:noWrap w:val="0"/>
            <w:vAlign w:val="center"/>
          </w:tcPr>
          <w:p w14:paraId="6B50F5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1.农村偏远学校每周配送两次，城区及周边部分学校、幼儿园库房条件无法满足存储的，每日配送一次。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2.猪肉、牛羊肉、鸡肉等肉类从分割到加工全过程冷鲜保存运输，冷冻肉食用时距保质期一半以上；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3.专用冷链车运输在保证食材不变质、不污染条件下的其他无交叉污染冷鲜运输方式。</w:t>
            </w:r>
          </w:p>
        </w:tc>
        <w:tc>
          <w:tcPr>
            <w:tcW w:w="1167" w:type="dxa"/>
            <w:vMerge w:val="restart"/>
            <w:tcBorders>
              <w:top w:val="single" w:color="000000" w:sz="4" w:space="0"/>
              <w:left w:val="single" w:color="000000" w:sz="4" w:space="0"/>
              <w:bottom w:val="single" w:color="000000" w:sz="4" w:space="0"/>
              <w:right w:val="single" w:color="000000" w:sz="4" w:space="0"/>
            </w:tcBorders>
            <w:noWrap w:val="0"/>
            <w:vAlign w:val="center"/>
          </w:tcPr>
          <w:p w14:paraId="0075C4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4ED16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5"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1277AA">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C18CDE">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5C0D09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羊肉</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49E4DD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按量分割</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29530B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冷鲜羊肉（屠宰后经冷却处理中心温度0-4℃的非冷冻鲜肉）、符合食品安全国家标准GB 2707-2016及满足相关食品安全要求，提供屠宰企业《畜禽定点屠宰许可证》）；每批次需提供对应的《动物检疫合格证明（产品）》（在有效期内且证物相符）、肉品品质检验合格证；按需提供布鲁氏菌病阴性检测报告。全程冷链运输（温度 0-4℃），到货时提供温控记录。肌肉色泽浅红、鲜红或深红有光泽，脂肪呈乳白色、浅黄色或黄色，按压后凹陷快速恢复；具新鲜羊肉固有气味，无异味、去净残毛、淋巴结和碎骨。</w:t>
            </w: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448C9B">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9E5B4A">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F75D56">
            <w:pPr>
              <w:jc w:val="center"/>
              <w:rPr>
                <w:rFonts w:hint="eastAsia" w:ascii="宋体" w:hAnsi="宋体" w:eastAsia="宋体" w:cs="宋体"/>
                <w:i w:val="0"/>
                <w:iCs w:val="0"/>
                <w:color w:val="000000"/>
                <w:sz w:val="20"/>
                <w:szCs w:val="20"/>
                <w:u w:val="none"/>
              </w:rPr>
            </w:pPr>
          </w:p>
        </w:tc>
      </w:tr>
      <w:tr w14:paraId="53769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1"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A9F92C">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615727">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7DB7F5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牛肉</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1214F1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按量分割</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2DDC93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鲜牛肉（屠宰后经冷却处理中心温度0-4℃的非冷冻鲜肉）、符合食品安全国家标准GB2707-2016及满足相关食品安全要求；提供屠宰企业《畜禽定点屠宰许可证》；每批次需提供对应的《动物检疫合格证明（产品）》（在有效期内且证物相符）、肉品品质检验合格证；按需提供牛布鲁氏菌病、牛结核病阴性检测报告。全程冷链运输（0-4℃），到货提供温控记录。肌肉红色均匀有光泽，脂肪洁白或淡黄色，按压后凹陷迅速恢复，无异味、去净残毛、淋巴结、碎骨，无淤血或肉眼可见杂质。</w:t>
            </w: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67C565">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DF483B">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8D89C8">
            <w:pPr>
              <w:jc w:val="center"/>
              <w:rPr>
                <w:rFonts w:hint="eastAsia" w:ascii="宋体" w:hAnsi="宋体" w:eastAsia="宋体" w:cs="宋体"/>
                <w:i w:val="0"/>
                <w:iCs w:val="0"/>
                <w:color w:val="000000"/>
                <w:sz w:val="20"/>
                <w:szCs w:val="20"/>
                <w:u w:val="none"/>
              </w:rPr>
            </w:pPr>
          </w:p>
        </w:tc>
      </w:tr>
      <w:tr w14:paraId="0E6E5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4"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4E2D27">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9EFC9D">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69FE3F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鸡肉</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0E1A11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按量分割</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1BF098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冷鲜鸡肉，具体品类为白条鸡、鸡脯肉、鸡大腿肉、鸡小腿肉；符合食品安全国家标准GB 2707-2016及满足相关食品安全要求；提供屠宰企业《畜禽定点屠宰许可证》；每批次需提供对应的《动物检疫合格证明（产品）》（在有效期内且证物相符）、肉品品质检验合格证。全程冷链运输（0-4℃），到货提供温控记录。肉质有弹性（按压后凹陷快速恢复），无异味、无淤血、表皮无破损，去净残毛和淋巴结。若需采购冷冻鸡肉的，需冷冻温度≤-18℃，全程冷冻运输且提供温控记录，无解冻复冻痕迹；标注生产日期和保质期，剩余保质期≥总保质期的 2/3；解冻后肉质紧实，无异味、无淤血、无淋巴结，无肉眼可见杂质。</w:t>
            </w: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078360">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EB3F34">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2F73B3">
            <w:pPr>
              <w:jc w:val="center"/>
              <w:rPr>
                <w:rFonts w:hint="eastAsia" w:ascii="宋体" w:hAnsi="宋体" w:eastAsia="宋体" w:cs="宋体"/>
                <w:i w:val="0"/>
                <w:iCs w:val="0"/>
                <w:color w:val="000000"/>
                <w:sz w:val="20"/>
                <w:szCs w:val="20"/>
                <w:u w:val="none"/>
              </w:rPr>
            </w:pPr>
          </w:p>
        </w:tc>
      </w:tr>
      <w:tr w14:paraId="7F6D0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2"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42AA58">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92B626">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2E71CC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其他肉类</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01473C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按量分割</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2B7177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符合《食品安全国家标准鲜（冻）畜、禽产品》（GB 2707-2016）等通用标准及满足相关食品安全要求，感官上应色泽正常、无异味、无变质；水产品及其制品还需符合GB2733标准，且屠宰加工环节需经检疫检验合格。</w:t>
            </w: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A194FB">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B671DF">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AB5925">
            <w:pPr>
              <w:jc w:val="center"/>
              <w:rPr>
                <w:rFonts w:hint="eastAsia" w:ascii="宋体" w:hAnsi="宋体" w:eastAsia="宋体" w:cs="宋体"/>
                <w:i w:val="0"/>
                <w:iCs w:val="0"/>
                <w:color w:val="000000"/>
                <w:sz w:val="20"/>
                <w:szCs w:val="20"/>
                <w:u w:val="none"/>
              </w:rPr>
            </w:pPr>
          </w:p>
        </w:tc>
      </w:tr>
      <w:tr w14:paraId="00590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3"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781C99">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094E67">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4B4919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鸡蛋</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F6F38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称重</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1BA7AC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符合食品安全国家标准GB2749-2015及满足相关食品安全要求；大小均匀的，新鲜鸡蛋，鸡蛋上标注有品牌和生产日期；具有动物产品检疫合格证书和产品质量合格证明。</w:t>
            </w: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A2BA11">
            <w:pPr>
              <w:jc w:val="left"/>
              <w:rPr>
                <w:rFonts w:hint="eastAsia" w:ascii="宋体" w:hAnsi="宋体" w:eastAsia="宋体" w:cs="宋体"/>
                <w:i w:val="0"/>
                <w:iCs w:val="0"/>
                <w:color w:val="000000"/>
                <w:sz w:val="20"/>
                <w:szCs w:val="20"/>
                <w:u w:val="none"/>
              </w:rPr>
            </w:pPr>
          </w:p>
        </w:tc>
        <w:tc>
          <w:tcPr>
            <w:tcW w:w="1655" w:type="dxa"/>
            <w:tcBorders>
              <w:top w:val="single" w:color="000000" w:sz="4" w:space="0"/>
              <w:left w:val="single" w:color="000000" w:sz="4" w:space="0"/>
              <w:bottom w:val="single" w:color="000000" w:sz="4" w:space="0"/>
              <w:right w:val="single" w:color="000000" w:sz="4" w:space="0"/>
            </w:tcBorders>
            <w:noWrap w:val="0"/>
            <w:vAlign w:val="center"/>
          </w:tcPr>
          <w:p w14:paraId="7DBD3E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1.每周配送一次，城区及周边部分学校、幼儿园库房条件无法满足存储的，每日配送一次。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2.配送到校时距生产时间在7天以内。</w:t>
            </w: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374198">
            <w:pPr>
              <w:jc w:val="center"/>
              <w:rPr>
                <w:rFonts w:hint="eastAsia" w:ascii="宋体" w:hAnsi="宋体" w:eastAsia="宋体" w:cs="宋体"/>
                <w:i w:val="0"/>
                <w:iCs w:val="0"/>
                <w:color w:val="000000"/>
                <w:sz w:val="20"/>
                <w:szCs w:val="20"/>
                <w:u w:val="none"/>
              </w:rPr>
            </w:pPr>
          </w:p>
        </w:tc>
      </w:tr>
      <w:tr w14:paraId="35F50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4" w:hRule="atLeast"/>
        </w:trPr>
        <w:tc>
          <w:tcPr>
            <w:tcW w:w="1167" w:type="dxa"/>
            <w:vMerge w:val="restart"/>
            <w:tcBorders>
              <w:top w:val="single" w:color="000000" w:sz="4" w:space="0"/>
              <w:left w:val="single" w:color="000000" w:sz="4" w:space="0"/>
              <w:bottom w:val="single" w:color="000000" w:sz="4" w:space="0"/>
              <w:right w:val="single" w:color="000000" w:sz="4" w:space="0"/>
            </w:tcBorders>
            <w:noWrap w:val="0"/>
            <w:vAlign w:val="center"/>
          </w:tcPr>
          <w:p w14:paraId="6DF83C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三标段（A片区）、六标段（B片区）营养午餐蔬菜、水果、干货和调味品采购）</w:t>
            </w:r>
          </w:p>
        </w:tc>
        <w:tc>
          <w:tcPr>
            <w:tcW w:w="1167" w:type="dxa"/>
            <w:vMerge w:val="restart"/>
            <w:tcBorders>
              <w:top w:val="single" w:color="000000" w:sz="4" w:space="0"/>
              <w:left w:val="single" w:color="000000" w:sz="4" w:space="0"/>
              <w:bottom w:val="single" w:color="000000" w:sz="4" w:space="0"/>
              <w:right w:val="single" w:color="000000" w:sz="4" w:space="0"/>
            </w:tcBorders>
            <w:noWrap/>
            <w:vAlign w:val="center"/>
          </w:tcPr>
          <w:p w14:paraId="2D5851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蔬菜</w:t>
            </w:r>
          </w:p>
        </w:tc>
        <w:tc>
          <w:tcPr>
            <w:tcW w:w="1097" w:type="dxa"/>
            <w:vMerge w:val="restart"/>
            <w:tcBorders>
              <w:top w:val="single" w:color="000000" w:sz="4" w:space="0"/>
              <w:left w:val="single" w:color="000000" w:sz="4" w:space="0"/>
              <w:bottom w:val="single" w:color="000000" w:sz="4" w:space="0"/>
              <w:right w:val="single" w:color="000000" w:sz="4" w:space="0"/>
            </w:tcBorders>
            <w:noWrap/>
            <w:vAlign w:val="center"/>
          </w:tcPr>
          <w:p w14:paraId="37B279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蔬菜</w:t>
            </w:r>
          </w:p>
        </w:tc>
        <w:tc>
          <w:tcPr>
            <w:tcW w:w="1416" w:type="dxa"/>
            <w:vMerge w:val="restart"/>
            <w:tcBorders>
              <w:top w:val="single" w:color="000000" w:sz="4" w:space="0"/>
              <w:left w:val="single" w:color="000000" w:sz="4" w:space="0"/>
              <w:bottom w:val="single" w:color="000000" w:sz="4" w:space="0"/>
              <w:right w:val="single" w:color="000000" w:sz="4" w:space="0"/>
            </w:tcBorders>
            <w:noWrap w:val="0"/>
            <w:vAlign w:val="center"/>
          </w:tcPr>
          <w:p w14:paraId="270B30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称重</w:t>
            </w:r>
          </w:p>
        </w:tc>
        <w:tc>
          <w:tcPr>
            <w:tcW w:w="3583" w:type="dxa"/>
            <w:vMerge w:val="restart"/>
            <w:tcBorders>
              <w:top w:val="single" w:color="000000" w:sz="4" w:space="0"/>
              <w:left w:val="single" w:color="000000" w:sz="4" w:space="0"/>
              <w:bottom w:val="single" w:color="000000" w:sz="4" w:space="0"/>
              <w:right w:val="single" w:color="000000" w:sz="4" w:space="0"/>
            </w:tcBorders>
            <w:noWrap w:val="0"/>
            <w:vAlign w:val="center"/>
          </w:tcPr>
          <w:p w14:paraId="458A6A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1.新鲜整理净菜，摘除黄叶、烂叶、根茎须等不可食用部分，无泥沙、无杂物；称重去除外包装，禁止配送高风险食材、深加工食品、预制菜。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2.企业提供农药残留检验，合格证明；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3.简单包装，符合食品安全要求。</w:t>
            </w:r>
          </w:p>
        </w:tc>
        <w:tc>
          <w:tcPr>
            <w:tcW w:w="2666" w:type="dxa"/>
            <w:vMerge w:val="restart"/>
            <w:tcBorders>
              <w:top w:val="single" w:color="000000" w:sz="4" w:space="0"/>
              <w:left w:val="single" w:color="000000" w:sz="4" w:space="0"/>
              <w:bottom w:val="single" w:color="000000" w:sz="4" w:space="0"/>
              <w:right w:val="single" w:color="000000" w:sz="4" w:space="0"/>
            </w:tcBorders>
            <w:noWrap w:val="0"/>
            <w:vAlign w:val="center"/>
          </w:tcPr>
          <w:p w14:paraId="15AA3E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供应商报优惠率，询价小组定期开展市场采价，结合优惠率扣减定价</w:t>
            </w:r>
          </w:p>
        </w:tc>
        <w:tc>
          <w:tcPr>
            <w:tcW w:w="1655" w:type="dxa"/>
            <w:vMerge w:val="restart"/>
            <w:tcBorders>
              <w:top w:val="single" w:color="000000" w:sz="4" w:space="0"/>
              <w:left w:val="single" w:color="000000" w:sz="4" w:space="0"/>
              <w:bottom w:val="single" w:color="000000" w:sz="4" w:space="0"/>
              <w:right w:val="single" w:color="000000" w:sz="4" w:space="0"/>
            </w:tcBorders>
            <w:noWrap w:val="0"/>
            <w:vAlign w:val="center"/>
          </w:tcPr>
          <w:p w14:paraId="45624C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1.农村偏远学校每周配送两次；城区及周边部分学校、幼儿园库房条件无法满足存储的，每日配送一次。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2.厢式货车运输；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3.规模较小学校配送小包装，单价不变。</w:t>
            </w:r>
          </w:p>
        </w:tc>
        <w:tc>
          <w:tcPr>
            <w:tcW w:w="1167" w:type="dxa"/>
            <w:vMerge w:val="restart"/>
            <w:tcBorders>
              <w:top w:val="single" w:color="000000" w:sz="4" w:space="0"/>
              <w:left w:val="single" w:color="000000" w:sz="4" w:space="0"/>
              <w:bottom w:val="single" w:color="000000" w:sz="4" w:space="0"/>
              <w:right w:val="single" w:color="000000" w:sz="4" w:space="0"/>
            </w:tcBorders>
            <w:noWrap/>
            <w:vAlign w:val="center"/>
          </w:tcPr>
          <w:p w14:paraId="3275BF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15FDA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6"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9B2DE2">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538B08BC">
            <w:pPr>
              <w:jc w:val="center"/>
              <w:rPr>
                <w:rFonts w:hint="eastAsia" w:ascii="宋体" w:hAnsi="宋体" w:eastAsia="宋体" w:cs="宋体"/>
                <w:i w:val="0"/>
                <w:iCs w:val="0"/>
                <w:color w:val="000000"/>
                <w:sz w:val="20"/>
                <w:szCs w:val="20"/>
                <w:u w:val="none"/>
              </w:rPr>
            </w:pPr>
          </w:p>
        </w:tc>
        <w:tc>
          <w:tcPr>
            <w:tcW w:w="1097" w:type="dxa"/>
            <w:vMerge w:val="continue"/>
            <w:tcBorders>
              <w:top w:val="single" w:color="000000" w:sz="4" w:space="0"/>
              <w:left w:val="single" w:color="000000" w:sz="4" w:space="0"/>
              <w:bottom w:val="single" w:color="000000" w:sz="4" w:space="0"/>
              <w:right w:val="single" w:color="000000" w:sz="4" w:space="0"/>
            </w:tcBorders>
            <w:noWrap/>
            <w:vAlign w:val="center"/>
          </w:tcPr>
          <w:p w14:paraId="0D70F3F3">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05BFD4">
            <w:pPr>
              <w:jc w:val="center"/>
              <w:rPr>
                <w:rFonts w:hint="eastAsia" w:ascii="宋体" w:hAnsi="宋体" w:eastAsia="宋体" w:cs="宋体"/>
                <w:i w:val="0"/>
                <w:iCs w:val="0"/>
                <w:color w:val="000000"/>
                <w:sz w:val="20"/>
                <w:szCs w:val="20"/>
                <w:u w:val="none"/>
              </w:rPr>
            </w:pPr>
          </w:p>
        </w:tc>
        <w:tc>
          <w:tcPr>
            <w:tcW w:w="3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07926B">
            <w:pPr>
              <w:jc w:val="left"/>
              <w:rPr>
                <w:rFonts w:hint="eastAsia" w:ascii="宋体" w:hAnsi="宋体" w:eastAsia="宋体" w:cs="宋体"/>
                <w:i w:val="0"/>
                <w:iCs w:val="0"/>
                <w:color w:val="000000"/>
                <w:sz w:val="20"/>
                <w:szCs w:val="20"/>
                <w:u w:val="none"/>
              </w:rPr>
            </w:pP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DECB17">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4CE0FE">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18BEC8E9">
            <w:pPr>
              <w:jc w:val="center"/>
              <w:rPr>
                <w:rFonts w:hint="eastAsia" w:ascii="宋体" w:hAnsi="宋体" w:eastAsia="宋体" w:cs="宋体"/>
                <w:i w:val="0"/>
                <w:iCs w:val="0"/>
                <w:color w:val="000000"/>
                <w:sz w:val="20"/>
                <w:szCs w:val="20"/>
                <w:u w:val="none"/>
              </w:rPr>
            </w:pPr>
          </w:p>
        </w:tc>
      </w:tr>
      <w:tr w14:paraId="7CECB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969D7E">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0CE7BCF6">
            <w:pPr>
              <w:jc w:val="center"/>
              <w:rPr>
                <w:rFonts w:hint="eastAsia" w:ascii="宋体" w:hAnsi="宋体" w:eastAsia="宋体" w:cs="宋体"/>
                <w:i w:val="0"/>
                <w:iCs w:val="0"/>
                <w:color w:val="000000"/>
                <w:sz w:val="20"/>
                <w:szCs w:val="20"/>
                <w:u w:val="none"/>
              </w:rPr>
            </w:pPr>
          </w:p>
        </w:tc>
        <w:tc>
          <w:tcPr>
            <w:tcW w:w="1097" w:type="dxa"/>
            <w:vMerge w:val="continue"/>
            <w:tcBorders>
              <w:top w:val="single" w:color="000000" w:sz="4" w:space="0"/>
              <w:left w:val="single" w:color="000000" w:sz="4" w:space="0"/>
              <w:bottom w:val="single" w:color="000000" w:sz="4" w:space="0"/>
              <w:right w:val="single" w:color="000000" w:sz="4" w:space="0"/>
            </w:tcBorders>
            <w:noWrap/>
            <w:vAlign w:val="center"/>
          </w:tcPr>
          <w:p w14:paraId="18AC721B">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81BA0B">
            <w:pPr>
              <w:jc w:val="center"/>
              <w:rPr>
                <w:rFonts w:hint="eastAsia" w:ascii="宋体" w:hAnsi="宋体" w:eastAsia="宋体" w:cs="宋体"/>
                <w:i w:val="0"/>
                <w:iCs w:val="0"/>
                <w:color w:val="000000"/>
                <w:sz w:val="20"/>
                <w:szCs w:val="20"/>
                <w:u w:val="none"/>
              </w:rPr>
            </w:pPr>
          </w:p>
        </w:tc>
        <w:tc>
          <w:tcPr>
            <w:tcW w:w="3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125148">
            <w:pPr>
              <w:jc w:val="left"/>
              <w:rPr>
                <w:rFonts w:hint="eastAsia" w:ascii="宋体" w:hAnsi="宋体" w:eastAsia="宋体" w:cs="宋体"/>
                <w:i w:val="0"/>
                <w:iCs w:val="0"/>
                <w:color w:val="000000"/>
                <w:sz w:val="20"/>
                <w:szCs w:val="20"/>
                <w:u w:val="none"/>
              </w:rPr>
            </w:pP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5AEB30">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17AE7F">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4A383F6D">
            <w:pPr>
              <w:jc w:val="center"/>
              <w:rPr>
                <w:rFonts w:hint="eastAsia" w:ascii="宋体" w:hAnsi="宋体" w:eastAsia="宋体" w:cs="宋体"/>
                <w:i w:val="0"/>
                <w:iCs w:val="0"/>
                <w:color w:val="000000"/>
                <w:sz w:val="20"/>
                <w:szCs w:val="20"/>
                <w:u w:val="none"/>
              </w:rPr>
            </w:pPr>
          </w:p>
        </w:tc>
      </w:tr>
      <w:tr w14:paraId="533C1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6"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B14E0B">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6E773418">
            <w:pPr>
              <w:jc w:val="center"/>
              <w:rPr>
                <w:rFonts w:hint="eastAsia" w:ascii="宋体" w:hAnsi="宋体" w:eastAsia="宋体" w:cs="宋体"/>
                <w:i w:val="0"/>
                <w:iCs w:val="0"/>
                <w:color w:val="000000"/>
                <w:sz w:val="20"/>
                <w:szCs w:val="20"/>
                <w:u w:val="none"/>
              </w:rPr>
            </w:pPr>
          </w:p>
        </w:tc>
        <w:tc>
          <w:tcPr>
            <w:tcW w:w="1097" w:type="dxa"/>
            <w:vMerge w:val="restart"/>
            <w:tcBorders>
              <w:top w:val="single" w:color="000000" w:sz="4" w:space="0"/>
              <w:left w:val="single" w:color="000000" w:sz="4" w:space="0"/>
              <w:bottom w:val="single" w:color="000000" w:sz="4" w:space="0"/>
              <w:right w:val="single" w:color="000000" w:sz="4" w:space="0"/>
            </w:tcBorders>
            <w:noWrap/>
            <w:vAlign w:val="center"/>
          </w:tcPr>
          <w:p w14:paraId="755E00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干货</w:t>
            </w:r>
          </w:p>
        </w:tc>
        <w:tc>
          <w:tcPr>
            <w:tcW w:w="1416" w:type="dxa"/>
            <w:vMerge w:val="restart"/>
            <w:tcBorders>
              <w:top w:val="single" w:color="000000" w:sz="4" w:space="0"/>
              <w:left w:val="single" w:color="000000" w:sz="4" w:space="0"/>
              <w:bottom w:val="single" w:color="000000" w:sz="4" w:space="0"/>
              <w:right w:val="single" w:color="000000" w:sz="4" w:space="0"/>
            </w:tcBorders>
            <w:noWrap/>
            <w:vAlign w:val="center"/>
          </w:tcPr>
          <w:p w14:paraId="24E004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预包装、散装</w:t>
            </w:r>
          </w:p>
        </w:tc>
        <w:tc>
          <w:tcPr>
            <w:tcW w:w="3583" w:type="dxa"/>
            <w:vMerge w:val="restart"/>
            <w:tcBorders>
              <w:top w:val="single" w:color="000000" w:sz="4" w:space="0"/>
              <w:left w:val="single" w:color="000000" w:sz="4" w:space="0"/>
              <w:bottom w:val="single" w:color="000000" w:sz="4" w:space="0"/>
              <w:right w:val="single" w:color="000000" w:sz="4" w:space="0"/>
            </w:tcBorders>
            <w:noWrap w:val="0"/>
            <w:vAlign w:val="center"/>
          </w:tcPr>
          <w:p w14:paraId="0CE898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1.包括木耳、粉条、紫菜等常用干货食材，具备SC食品生产许可证；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2.预包装，提供产品质量合格证明；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3.预包装符合食品安全要求。</w:t>
            </w: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2725FA">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A03782">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5ACA2375">
            <w:pPr>
              <w:jc w:val="center"/>
              <w:rPr>
                <w:rFonts w:hint="eastAsia" w:ascii="宋体" w:hAnsi="宋体" w:eastAsia="宋体" w:cs="宋体"/>
                <w:i w:val="0"/>
                <w:iCs w:val="0"/>
                <w:color w:val="000000"/>
                <w:sz w:val="20"/>
                <w:szCs w:val="20"/>
                <w:u w:val="none"/>
              </w:rPr>
            </w:pPr>
          </w:p>
        </w:tc>
      </w:tr>
      <w:tr w14:paraId="4B32D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6"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99F443">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3DFA3FD5">
            <w:pPr>
              <w:jc w:val="center"/>
              <w:rPr>
                <w:rFonts w:hint="eastAsia" w:ascii="宋体" w:hAnsi="宋体" w:eastAsia="宋体" w:cs="宋体"/>
                <w:i w:val="0"/>
                <w:iCs w:val="0"/>
                <w:color w:val="000000"/>
                <w:sz w:val="20"/>
                <w:szCs w:val="20"/>
                <w:u w:val="none"/>
              </w:rPr>
            </w:pPr>
          </w:p>
        </w:tc>
        <w:tc>
          <w:tcPr>
            <w:tcW w:w="1097" w:type="dxa"/>
            <w:vMerge w:val="continue"/>
            <w:tcBorders>
              <w:top w:val="single" w:color="000000" w:sz="4" w:space="0"/>
              <w:left w:val="single" w:color="000000" w:sz="4" w:space="0"/>
              <w:bottom w:val="single" w:color="000000" w:sz="4" w:space="0"/>
              <w:right w:val="single" w:color="000000" w:sz="4" w:space="0"/>
            </w:tcBorders>
            <w:noWrap/>
            <w:vAlign w:val="center"/>
          </w:tcPr>
          <w:p w14:paraId="39375014">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4" w:space="0"/>
              <w:left w:val="single" w:color="000000" w:sz="4" w:space="0"/>
              <w:bottom w:val="single" w:color="000000" w:sz="4" w:space="0"/>
              <w:right w:val="single" w:color="000000" w:sz="4" w:space="0"/>
            </w:tcBorders>
            <w:noWrap/>
            <w:vAlign w:val="center"/>
          </w:tcPr>
          <w:p w14:paraId="0E0DB7A0">
            <w:pPr>
              <w:jc w:val="center"/>
              <w:rPr>
                <w:rFonts w:hint="eastAsia" w:ascii="宋体" w:hAnsi="宋体" w:eastAsia="宋体" w:cs="宋体"/>
                <w:i w:val="0"/>
                <w:iCs w:val="0"/>
                <w:color w:val="000000"/>
                <w:sz w:val="20"/>
                <w:szCs w:val="20"/>
                <w:u w:val="none"/>
              </w:rPr>
            </w:pPr>
          </w:p>
        </w:tc>
        <w:tc>
          <w:tcPr>
            <w:tcW w:w="3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1D65C5">
            <w:pPr>
              <w:jc w:val="left"/>
              <w:rPr>
                <w:rFonts w:hint="eastAsia" w:ascii="宋体" w:hAnsi="宋体" w:eastAsia="宋体" w:cs="宋体"/>
                <w:i w:val="0"/>
                <w:iCs w:val="0"/>
                <w:color w:val="000000"/>
                <w:sz w:val="20"/>
                <w:szCs w:val="20"/>
                <w:u w:val="none"/>
              </w:rPr>
            </w:pP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A08A26">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7FC9CA">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16193D1B">
            <w:pPr>
              <w:jc w:val="center"/>
              <w:rPr>
                <w:rFonts w:hint="eastAsia" w:ascii="宋体" w:hAnsi="宋体" w:eastAsia="宋体" w:cs="宋体"/>
                <w:i w:val="0"/>
                <w:iCs w:val="0"/>
                <w:color w:val="000000"/>
                <w:sz w:val="20"/>
                <w:szCs w:val="20"/>
                <w:u w:val="none"/>
              </w:rPr>
            </w:pPr>
          </w:p>
        </w:tc>
      </w:tr>
      <w:tr w14:paraId="0A085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6920FF">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6EF1AB19">
            <w:pPr>
              <w:jc w:val="center"/>
              <w:rPr>
                <w:rFonts w:hint="eastAsia" w:ascii="宋体" w:hAnsi="宋体" w:eastAsia="宋体" w:cs="宋体"/>
                <w:i w:val="0"/>
                <w:iCs w:val="0"/>
                <w:color w:val="000000"/>
                <w:sz w:val="20"/>
                <w:szCs w:val="20"/>
                <w:u w:val="none"/>
              </w:rPr>
            </w:pPr>
          </w:p>
        </w:tc>
        <w:tc>
          <w:tcPr>
            <w:tcW w:w="1097" w:type="dxa"/>
            <w:vMerge w:val="continue"/>
            <w:tcBorders>
              <w:top w:val="single" w:color="000000" w:sz="4" w:space="0"/>
              <w:left w:val="single" w:color="000000" w:sz="4" w:space="0"/>
              <w:bottom w:val="single" w:color="000000" w:sz="4" w:space="0"/>
              <w:right w:val="single" w:color="000000" w:sz="4" w:space="0"/>
            </w:tcBorders>
            <w:noWrap/>
            <w:vAlign w:val="center"/>
          </w:tcPr>
          <w:p w14:paraId="1129E3AB">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4" w:space="0"/>
              <w:left w:val="single" w:color="000000" w:sz="4" w:space="0"/>
              <w:bottom w:val="single" w:color="000000" w:sz="4" w:space="0"/>
              <w:right w:val="single" w:color="000000" w:sz="4" w:space="0"/>
            </w:tcBorders>
            <w:noWrap/>
            <w:vAlign w:val="center"/>
          </w:tcPr>
          <w:p w14:paraId="44C4C410">
            <w:pPr>
              <w:jc w:val="center"/>
              <w:rPr>
                <w:rFonts w:hint="eastAsia" w:ascii="宋体" w:hAnsi="宋体" w:eastAsia="宋体" w:cs="宋体"/>
                <w:i w:val="0"/>
                <w:iCs w:val="0"/>
                <w:color w:val="000000"/>
                <w:sz w:val="20"/>
                <w:szCs w:val="20"/>
                <w:u w:val="none"/>
              </w:rPr>
            </w:pPr>
          </w:p>
        </w:tc>
        <w:tc>
          <w:tcPr>
            <w:tcW w:w="3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19B8C5">
            <w:pPr>
              <w:jc w:val="left"/>
              <w:rPr>
                <w:rFonts w:hint="eastAsia" w:ascii="宋体" w:hAnsi="宋体" w:eastAsia="宋体" w:cs="宋体"/>
                <w:i w:val="0"/>
                <w:iCs w:val="0"/>
                <w:color w:val="000000"/>
                <w:sz w:val="20"/>
                <w:szCs w:val="20"/>
                <w:u w:val="none"/>
              </w:rPr>
            </w:pP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EBBA94">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79CF83">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131F4DCB">
            <w:pPr>
              <w:jc w:val="center"/>
              <w:rPr>
                <w:rFonts w:hint="eastAsia" w:ascii="宋体" w:hAnsi="宋体" w:eastAsia="宋体" w:cs="宋体"/>
                <w:i w:val="0"/>
                <w:iCs w:val="0"/>
                <w:color w:val="000000"/>
                <w:sz w:val="20"/>
                <w:szCs w:val="20"/>
                <w:u w:val="none"/>
              </w:rPr>
            </w:pPr>
          </w:p>
        </w:tc>
      </w:tr>
      <w:tr w14:paraId="56998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1"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E2F35F">
            <w:pPr>
              <w:jc w:val="center"/>
              <w:rPr>
                <w:rFonts w:hint="eastAsia" w:ascii="宋体" w:hAnsi="宋体" w:eastAsia="宋体" w:cs="宋体"/>
                <w:i w:val="0"/>
                <w:iCs w:val="0"/>
                <w:color w:val="000000"/>
                <w:sz w:val="20"/>
                <w:szCs w:val="20"/>
                <w:u w:val="none"/>
              </w:rPr>
            </w:pPr>
          </w:p>
        </w:tc>
        <w:tc>
          <w:tcPr>
            <w:tcW w:w="1167" w:type="dxa"/>
            <w:tcBorders>
              <w:top w:val="single" w:color="000000" w:sz="4" w:space="0"/>
              <w:left w:val="single" w:color="000000" w:sz="4" w:space="0"/>
              <w:bottom w:val="single" w:color="000000" w:sz="4" w:space="0"/>
              <w:right w:val="single" w:color="000000" w:sz="4" w:space="0"/>
            </w:tcBorders>
            <w:noWrap/>
            <w:vAlign w:val="center"/>
          </w:tcPr>
          <w:p w14:paraId="290865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水果</w:t>
            </w:r>
          </w:p>
        </w:tc>
        <w:tc>
          <w:tcPr>
            <w:tcW w:w="1097" w:type="dxa"/>
            <w:tcBorders>
              <w:top w:val="single" w:color="000000" w:sz="4" w:space="0"/>
              <w:left w:val="single" w:color="000000" w:sz="4" w:space="0"/>
              <w:bottom w:val="single" w:color="000000" w:sz="4" w:space="0"/>
              <w:right w:val="single" w:color="000000" w:sz="4" w:space="0"/>
            </w:tcBorders>
            <w:noWrap w:val="0"/>
            <w:vAlign w:val="center"/>
          </w:tcPr>
          <w:p w14:paraId="4A2E2F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苹果、香蕉、橙子、梨等常见大众水果</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1D52F9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称重</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2568AA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新鲜，大小适中，耐储存，应季水果，符合食品安全标准，提供产品质量合格证明。</w:t>
            </w: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3F5724">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E31C5B">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1F0DF95D">
            <w:pPr>
              <w:jc w:val="center"/>
              <w:rPr>
                <w:rFonts w:hint="eastAsia" w:ascii="宋体" w:hAnsi="宋体" w:eastAsia="宋体" w:cs="宋体"/>
                <w:i w:val="0"/>
                <w:iCs w:val="0"/>
                <w:color w:val="000000"/>
                <w:sz w:val="20"/>
                <w:szCs w:val="20"/>
                <w:u w:val="none"/>
              </w:rPr>
            </w:pPr>
          </w:p>
        </w:tc>
      </w:tr>
      <w:tr w14:paraId="01310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8"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45C6A7">
            <w:pPr>
              <w:jc w:val="center"/>
              <w:rPr>
                <w:rFonts w:hint="eastAsia" w:ascii="宋体" w:hAnsi="宋体" w:eastAsia="宋体" w:cs="宋体"/>
                <w:i w:val="0"/>
                <w:iCs w:val="0"/>
                <w:color w:val="000000"/>
                <w:sz w:val="20"/>
                <w:szCs w:val="20"/>
                <w:u w:val="none"/>
              </w:rPr>
            </w:pPr>
          </w:p>
        </w:tc>
        <w:tc>
          <w:tcPr>
            <w:tcW w:w="1167" w:type="dxa"/>
            <w:vMerge w:val="restart"/>
            <w:tcBorders>
              <w:top w:val="single" w:color="000000" w:sz="4" w:space="0"/>
              <w:left w:val="single" w:color="000000" w:sz="4" w:space="0"/>
              <w:bottom w:val="single" w:color="000000" w:sz="4" w:space="0"/>
              <w:right w:val="single" w:color="000000" w:sz="4" w:space="0"/>
            </w:tcBorders>
            <w:noWrap/>
            <w:vAlign w:val="center"/>
          </w:tcPr>
          <w:p w14:paraId="0968F5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调味品</w:t>
            </w:r>
          </w:p>
        </w:tc>
        <w:tc>
          <w:tcPr>
            <w:tcW w:w="1097" w:type="dxa"/>
            <w:tcBorders>
              <w:top w:val="single" w:color="000000" w:sz="4" w:space="0"/>
              <w:left w:val="single" w:color="000000" w:sz="4" w:space="0"/>
              <w:bottom w:val="single" w:color="000000" w:sz="4" w:space="0"/>
              <w:right w:val="single" w:color="000000" w:sz="4" w:space="0"/>
            </w:tcBorders>
            <w:noWrap w:val="0"/>
            <w:vAlign w:val="center"/>
          </w:tcPr>
          <w:p w14:paraId="1D271A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酱油（生抽、老抽）</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2A992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1.75L/桶、500mL/瓶等常见规格</w:t>
            </w:r>
          </w:p>
        </w:tc>
        <w:tc>
          <w:tcPr>
            <w:tcW w:w="3583" w:type="dxa"/>
            <w:vMerge w:val="restart"/>
            <w:tcBorders>
              <w:top w:val="single" w:color="000000" w:sz="4" w:space="0"/>
              <w:left w:val="single" w:color="000000" w:sz="4" w:space="0"/>
              <w:bottom w:val="single" w:color="000000" w:sz="4" w:space="0"/>
              <w:right w:val="single" w:color="000000" w:sz="4" w:space="0"/>
            </w:tcBorders>
            <w:noWrap w:val="0"/>
            <w:vAlign w:val="center"/>
          </w:tcPr>
          <w:p w14:paraId="700EAE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1.当地市场有稳定销售的产品；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2.提供SC食品生产许可证及产品质量合格证明；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3.规格型号可按需、按品牌调整。</w:t>
            </w: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6DEEEE">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A0D0D0">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0259A8E2">
            <w:pPr>
              <w:jc w:val="center"/>
              <w:rPr>
                <w:rFonts w:hint="eastAsia" w:ascii="宋体" w:hAnsi="宋体" w:eastAsia="宋体" w:cs="宋体"/>
                <w:i w:val="0"/>
                <w:iCs w:val="0"/>
                <w:color w:val="000000"/>
                <w:sz w:val="20"/>
                <w:szCs w:val="20"/>
                <w:u w:val="none"/>
              </w:rPr>
            </w:pPr>
          </w:p>
        </w:tc>
      </w:tr>
      <w:tr w14:paraId="3601D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8"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FF1CD3">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2FEFCE6F">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5E17EB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醋</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84A54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1.9L/桶、450mL/瓶等常见规格</w:t>
            </w:r>
          </w:p>
        </w:tc>
        <w:tc>
          <w:tcPr>
            <w:tcW w:w="3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C0D166">
            <w:pPr>
              <w:jc w:val="left"/>
              <w:rPr>
                <w:rFonts w:hint="eastAsia" w:ascii="宋体" w:hAnsi="宋体" w:eastAsia="宋体" w:cs="宋体"/>
                <w:i w:val="0"/>
                <w:iCs w:val="0"/>
                <w:color w:val="000000"/>
                <w:sz w:val="20"/>
                <w:szCs w:val="20"/>
                <w:u w:val="none"/>
              </w:rPr>
            </w:pP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E299CB">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F6BC26">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55C750A4">
            <w:pPr>
              <w:jc w:val="center"/>
              <w:rPr>
                <w:rFonts w:hint="eastAsia" w:ascii="宋体" w:hAnsi="宋体" w:eastAsia="宋体" w:cs="宋体"/>
                <w:i w:val="0"/>
                <w:iCs w:val="0"/>
                <w:color w:val="000000"/>
                <w:sz w:val="20"/>
                <w:szCs w:val="20"/>
                <w:u w:val="none"/>
              </w:rPr>
            </w:pPr>
          </w:p>
        </w:tc>
      </w:tr>
      <w:tr w14:paraId="285C7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9"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99CB55">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3F07FE7C">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385088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蚝油</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0F9BB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650g/瓶/690Gg/瓶常见规格</w:t>
            </w:r>
          </w:p>
        </w:tc>
        <w:tc>
          <w:tcPr>
            <w:tcW w:w="3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27FD11">
            <w:pPr>
              <w:jc w:val="left"/>
              <w:rPr>
                <w:rFonts w:hint="eastAsia" w:ascii="宋体" w:hAnsi="宋体" w:eastAsia="宋体" w:cs="宋体"/>
                <w:i w:val="0"/>
                <w:iCs w:val="0"/>
                <w:color w:val="000000"/>
                <w:sz w:val="20"/>
                <w:szCs w:val="20"/>
                <w:u w:val="none"/>
              </w:rPr>
            </w:pP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085082">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3A0072">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3247F698">
            <w:pPr>
              <w:jc w:val="center"/>
              <w:rPr>
                <w:rFonts w:hint="eastAsia" w:ascii="宋体" w:hAnsi="宋体" w:eastAsia="宋体" w:cs="宋体"/>
                <w:i w:val="0"/>
                <w:iCs w:val="0"/>
                <w:color w:val="000000"/>
                <w:sz w:val="20"/>
                <w:szCs w:val="20"/>
                <w:u w:val="none"/>
              </w:rPr>
            </w:pPr>
          </w:p>
        </w:tc>
      </w:tr>
      <w:tr w14:paraId="6E417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8"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CAE406">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6550972C">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50138D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料酒</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84650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1.75L/桶、450mL/瓶等常见规格</w:t>
            </w:r>
          </w:p>
        </w:tc>
        <w:tc>
          <w:tcPr>
            <w:tcW w:w="3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4B8DF7">
            <w:pPr>
              <w:jc w:val="left"/>
              <w:rPr>
                <w:rFonts w:hint="eastAsia" w:ascii="宋体" w:hAnsi="宋体" w:eastAsia="宋体" w:cs="宋体"/>
                <w:i w:val="0"/>
                <w:iCs w:val="0"/>
                <w:color w:val="000000"/>
                <w:sz w:val="20"/>
                <w:szCs w:val="20"/>
                <w:u w:val="none"/>
              </w:rPr>
            </w:pP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BAEC9C">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DB0BEE">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773B4328">
            <w:pPr>
              <w:jc w:val="center"/>
              <w:rPr>
                <w:rFonts w:hint="eastAsia" w:ascii="宋体" w:hAnsi="宋体" w:eastAsia="宋体" w:cs="宋体"/>
                <w:i w:val="0"/>
                <w:iCs w:val="0"/>
                <w:color w:val="000000"/>
                <w:sz w:val="20"/>
                <w:szCs w:val="20"/>
                <w:u w:val="none"/>
              </w:rPr>
            </w:pPr>
          </w:p>
        </w:tc>
      </w:tr>
      <w:tr w14:paraId="458F9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8"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49228D">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1C128339">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0D981F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豆瓣酱</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3D0787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6kg/桶、500g/瓶等常见规格</w:t>
            </w:r>
          </w:p>
        </w:tc>
        <w:tc>
          <w:tcPr>
            <w:tcW w:w="3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2DF3DC">
            <w:pPr>
              <w:jc w:val="left"/>
              <w:rPr>
                <w:rFonts w:hint="eastAsia" w:ascii="宋体" w:hAnsi="宋体" w:eastAsia="宋体" w:cs="宋体"/>
                <w:i w:val="0"/>
                <w:iCs w:val="0"/>
                <w:color w:val="000000"/>
                <w:sz w:val="20"/>
                <w:szCs w:val="20"/>
                <w:u w:val="none"/>
              </w:rPr>
            </w:pP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804114">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E41FED">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5F890091">
            <w:pPr>
              <w:jc w:val="center"/>
              <w:rPr>
                <w:rFonts w:hint="eastAsia" w:ascii="宋体" w:hAnsi="宋体" w:eastAsia="宋体" w:cs="宋体"/>
                <w:i w:val="0"/>
                <w:iCs w:val="0"/>
                <w:color w:val="000000"/>
                <w:sz w:val="20"/>
                <w:szCs w:val="20"/>
                <w:u w:val="none"/>
              </w:rPr>
            </w:pPr>
          </w:p>
        </w:tc>
      </w:tr>
      <w:tr w14:paraId="44086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8"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209C2E">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03E90864">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7F5D90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鸡精</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31E24B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100g/袋、500g/袋等常见规格</w:t>
            </w:r>
          </w:p>
        </w:tc>
        <w:tc>
          <w:tcPr>
            <w:tcW w:w="3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73451E">
            <w:pPr>
              <w:jc w:val="left"/>
              <w:rPr>
                <w:rFonts w:hint="eastAsia" w:ascii="宋体" w:hAnsi="宋体" w:eastAsia="宋体" w:cs="宋体"/>
                <w:i w:val="0"/>
                <w:iCs w:val="0"/>
                <w:color w:val="000000"/>
                <w:sz w:val="20"/>
                <w:szCs w:val="20"/>
                <w:u w:val="none"/>
              </w:rPr>
            </w:pP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3C27F6">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BC29D0">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33F05F39">
            <w:pPr>
              <w:jc w:val="center"/>
              <w:rPr>
                <w:rFonts w:hint="eastAsia" w:ascii="宋体" w:hAnsi="宋体" w:eastAsia="宋体" w:cs="宋体"/>
                <w:i w:val="0"/>
                <w:iCs w:val="0"/>
                <w:color w:val="000000"/>
                <w:sz w:val="20"/>
                <w:szCs w:val="20"/>
                <w:u w:val="none"/>
              </w:rPr>
            </w:pPr>
          </w:p>
        </w:tc>
      </w:tr>
      <w:tr w14:paraId="41835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9"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B9254F">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2A586381">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0"/>
            <w:vAlign w:val="center"/>
          </w:tcPr>
          <w:p w14:paraId="6816AF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火锅底料</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0AA350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200g、400g/袋等常见规格</w:t>
            </w:r>
          </w:p>
        </w:tc>
        <w:tc>
          <w:tcPr>
            <w:tcW w:w="3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51C1FB">
            <w:pPr>
              <w:jc w:val="left"/>
              <w:rPr>
                <w:rFonts w:hint="eastAsia" w:ascii="宋体" w:hAnsi="宋体" w:eastAsia="宋体" w:cs="宋体"/>
                <w:i w:val="0"/>
                <w:iCs w:val="0"/>
                <w:color w:val="000000"/>
                <w:sz w:val="20"/>
                <w:szCs w:val="20"/>
                <w:u w:val="none"/>
              </w:rPr>
            </w:pP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F6F016">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C58F92">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50B0B24A">
            <w:pPr>
              <w:jc w:val="center"/>
              <w:rPr>
                <w:rFonts w:hint="eastAsia" w:ascii="宋体" w:hAnsi="宋体" w:eastAsia="宋体" w:cs="宋体"/>
                <w:i w:val="0"/>
                <w:iCs w:val="0"/>
                <w:color w:val="000000"/>
                <w:sz w:val="20"/>
                <w:szCs w:val="20"/>
                <w:u w:val="none"/>
              </w:rPr>
            </w:pPr>
          </w:p>
        </w:tc>
      </w:tr>
      <w:tr w14:paraId="51B75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8"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ECF141">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123D41A5">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5F7BF9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发酵母</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1E336C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13g/袋、15g/袋等常见规格</w:t>
            </w:r>
          </w:p>
        </w:tc>
        <w:tc>
          <w:tcPr>
            <w:tcW w:w="3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B0BD45">
            <w:pPr>
              <w:jc w:val="left"/>
              <w:rPr>
                <w:rFonts w:hint="eastAsia" w:ascii="宋体" w:hAnsi="宋体" w:eastAsia="宋体" w:cs="宋体"/>
                <w:i w:val="0"/>
                <w:iCs w:val="0"/>
                <w:color w:val="000000"/>
                <w:sz w:val="20"/>
                <w:szCs w:val="20"/>
                <w:u w:val="none"/>
              </w:rPr>
            </w:pP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D849C6">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7F31C5">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14F425D1">
            <w:pPr>
              <w:jc w:val="center"/>
              <w:rPr>
                <w:rFonts w:hint="eastAsia" w:ascii="宋体" w:hAnsi="宋体" w:eastAsia="宋体" w:cs="宋体"/>
                <w:i w:val="0"/>
                <w:iCs w:val="0"/>
                <w:color w:val="000000"/>
                <w:sz w:val="20"/>
                <w:szCs w:val="20"/>
                <w:u w:val="none"/>
              </w:rPr>
            </w:pPr>
          </w:p>
        </w:tc>
      </w:tr>
      <w:tr w14:paraId="50481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8"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467AAE">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2B66E44B">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6FB0B6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白糖</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3BBE0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150g/袋、450g/袋等常见规格</w:t>
            </w:r>
          </w:p>
        </w:tc>
        <w:tc>
          <w:tcPr>
            <w:tcW w:w="3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0062C5">
            <w:pPr>
              <w:jc w:val="left"/>
              <w:rPr>
                <w:rFonts w:hint="eastAsia" w:ascii="宋体" w:hAnsi="宋体" w:eastAsia="宋体" w:cs="宋体"/>
                <w:i w:val="0"/>
                <w:iCs w:val="0"/>
                <w:color w:val="000000"/>
                <w:sz w:val="20"/>
                <w:szCs w:val="20"/>
                <w:u w:val="none"/>
              </w:rPr>
            </w:pP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5C2F7A">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637B68">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2D544A2A">
            <w:pPr>
              <w:jc w:val="center"/>
              <w:rPr>
                <w:rFonts w:hint="eastAsia" w:ascii="宋体" w:hAnsi="宋体" w:eastAsia="宋体" w:cs="宋体"/>
                <w:i w:val="0"/>
                <w:iCs w:val="0"/>
                <w:color w:val="000000"/>
                <w:sz w:val="20"/>
                <w:szCs w:val="20"/>
                <w:u w:val="none"/>
              </w:rPr>
            </w:pPr>
          </w:p>
        </w:tc>
      </w:tr>
      <w:tr w14:paraId="70E10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8"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67C354">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7099E66D">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7CEE06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9DE70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350g/袋、400g/袋等常见规格</w:t>
            </w:r>
          </w:p>
        </w:tc>
        <w:tc>
          <w:tcPr>
            <w:tcW w:w="3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1BA234">
            <w:pPr>
              <w:jc w:val="left"/>
              <w:rPr>
                <w:rFonts w:hint="eastAsia" w:ascii="宋体" w:hAnsi="宋体" w:eastAsia="宋体" w:cs="宋体"/>
                <w:i w:val="0"/>
                <w:iCs w:val="0"/>
                <w:color w:val="000000"/>
                <w:sz w:val="20"/>
                <w:szCs w:val="20"/>
                <w:u w:val="none"/>
              </w:rPr>
            </w:pP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EC1B28">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753077">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7A6DA9E2">
            <w:pPr>
              <w:jc w:val="center"/>
              <w:rPr>
                <w:rFonts w:hint="eastAsia" w:ascii="宋体" w:hAnsi="宋体" w:eastAsia="宋体" w:cs="宋体"/>
                <w:i w:val="0"/>
                <w:iCs w:val="0"/>
                <w:color w:val="000000"/>
                <w:sz w:val="20"/>
                <w:szCs w:val="20"/>
                <w:u w:val="none"/>
              </w:rPr>
            </w:pPr>
          </w:p>
        </w:tc>
      </w:tr>
      <w:tr w14:paraId="06EBB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70"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184350">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00B12752">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0"/>
            <w:vAlign w:val="center"/>
          </w:tcPr>
          <w:p w14:paraId="0246ED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葱、生姜、大蒜、花椒、干辣椒</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3D796D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散装、称重</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49EC60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新鲜完好货品，外形完整、品相优良，无腐烂、霉变、发芽、干瘪、虫蛀及变质情况。</w:t>
            </w: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F45CF7">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E24BBD">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28C43AFD">
            <w:pPr>
              <w:jc w:val="center"/>
              <w:rPr>
                <w:rFonts w:hint="eastAsia" w:ascii="宋体" w:hAnsi="宋体" w:eastAsia="宋体" w:cs="宋体"/>
                <w:i w:val="0"/>
                <w:iCs w:val="0"/>
                <w:color w:val="000000"/>
                <w:sz w:val="20"/>
                <w:szCs w:val="20"/>
                <w:u w:val="none"/>
              </w:rPr>
            </w:pPr>
          </w:p>
        </w:tc>
      </w:tr>
    </w:tbl>
    <w:p w14:paraId="7057EF71">
      <w:pPr>
        <w:keepNext w:val="0"/>
        <w:keepLines w:val="0"/>
        <w:widowControl/>
        <w:suppressLineNumbers w:val="0"/>
        <w:jc w:val="left"/>
        <w:rPr>
          <w:rFonts w:hint="eastAsia" w:ascii="宋体" w:hAnsi="宋体" w:eastAsia="宋体" w:cs="宋体"/>
          <w:b/>
          <w:bCs/>
          <w:color w:val="auto"/>
          <w:kern w:val="0"/>
          <w:sz w:val="28"/>
          <w:szCs w:val="28"/>
          <w:lang w:val="en-US" w:eastAsia="zh-CN" w:bidi="ar"/>
        </w:rPr>
      </w:pPr>
    </w:p>
    <w:p w14:paraId="068480DA">
      <w:pPr>
        <w:keepNext w:val="0"/>
        <w:keepLines w:val="0"/>
        <w:widowControl/>
        <w:suppressLineNumbers w:val="0"/>
        <w:shd w:val="clear"/>
        <w:jc w:val="left"/>
        <w:rPr>
          <w:rFonts w:hint="default" w:ascii="宋体" w:hAnsi="宋体" w:eastAsia="宋体" w:cs="宋体"/>
          <w:b/>
          <w:bCs/>
          <w:color w:val="auto"/>
          <w:kern w:val="0"/>
          <w:sz w:val="28"/>
          <w:szCs w:val="28"/>
          <w:highlight w:val="none"/>
          <w:shd w:val="clear"/>
          <w:lang w:val="en-US" w:eastAsia="zh-CN" w:bidi="ar"/>
        </w:rPr>
      </w:pPr>
      <w:r>
        <w:rPr>
          <w:rFonts w:hint="eastAsia" w:ascii="宋体" w:hAnsi="宋体" w:eastAsia="宋体" w:cs="宋体"/>
          <w:b/>
          <w:bCs/>
          <w:color w:val="auto"/>
          <w:kern w:val="0"/>
          <w:sz w:val="28"/>
          <w:szCs w:val="28"/>
          <w:lang w:val="en-US" w:eastAsia="zh-CN" w:bidi="ar"/>
        </w:rPr>
        <w:t>注</w:t>
      </w:r>
      <w:r>
        <w:rPr>
          <w:rFonts w:hint="eastAsia" w:cs="宋体"/>
          <w:b/>
          <w:bCs/>
          <w:color w:val="auto"/>
          <w:kern w:val="0"/>
          <w:sz w:val="28"/>
          <w:szCs w:val="28"/>
          <w:lang w:val="en-US" w:eastAsia="zh-CN" w:bidi="ar"/>
        </w:rPr>
        <w:t>：</w:t>
      </w:r>
      <w:r>
        <w:rPr>
          <w:rFonts w:hint="eastAsia" w:cs="宋体"/>
          <w:b/>
          <w:bCs/>
          <w:color w:val="auto"/>
          <w:kern w:val="0"/>
          <w:sz w:val="28"/>
          <w:szCs w:val="28"/>
          <w:highlight w:val="none"/>
          <w:shd w:val="clear"/>
          <w:lang w:val="en-US" w:eastAsia="zh-CN" w:bidi="ar"/>
        </w:rPr>
        <w:t>如所有食材均是小微企业提供的，需逐一在中小企业声明函中体现。</w:t>
      </w:r>
    </w:p>
    <w:p w14:paraId="383FABCF">
      <w:pPr>
        <w:keepNext w:val="0"/>
        <w:keepLines w:val="0"/>
        <w:widowControl/>
        <w:suppressLineNumbers w:val="0"/>
        <w:shd w:val="clear"/>
        <w:jc w:val="left"/>
        <w:rPr>
          <w:rFonts w:hint="eastAsia" w:ascii="宋体" w:hAnsi="宋体" w:eastAsia="宋体" w:cs="宋体"/>
          <w:b/>
          <w:bCs/>
          <w:color w:val="auto"/>
          <w:kern w:val="0"/>
          <w:sz w:val="28"/>
          <w:szCs w:val="28"/>
          <w:highlight w:val="none"/>
          <w:lang w:val="en-US" w:eastAsia="zh-CN" w:bidi="ar"/>
        </w:rPr>
        <w:sectPr>
          <w:pgSz w:w="16840" w:h="11910" w:orient="landscape"/>
          <w:pgMar w:top="1080" w:right="1440" w:bottom="1080" w:left="1440" w:header="872" w:footer="1005" w:gutter="0"/>
          <w:pgNumType w:fmt="decimal"/>
          <w:cols w:space="720" w:num="1"/>
        </w:sectPr>
      </w:pPr>
    </w:p>
    <w:p w14:paraId="2168F148">
      <w:pPr>
        <w:pStyle w:val="5"/>
        <w:pageBreakBefore w:val="0"/>
        <w:numPr>
          <w:ilvl w:val="0"/>
          <w:numId w:val="0"/>
        </w:numPr>
        <w:topLinePunct w:val="0"/>
        <w:bidi w:val="0"/>
        <w:spacing w:line="500" w:lineRule="exact"/>
        <w:ind w:right="0" w:rightChars="0"/>
        <w:jc w:val="left"/>
        <w:rPr>
          <w:rFonts w:hint="eastAsia"/>
          <w:color w:val="auto"/>
        </w:rPr>
      </w:pPr>
      <w:r>
        <w:rPr>
          <w:rFonts w:hint="eastAsia"/>
          <w:color w:val="auto"/>
          <w:lang w:val="en-US" w:eastAsia="zh-CN"/>
        </w:rPr>
        <w:t>四、</w:t>
      </w:r>
      <w:r>
        <w:rPr>
          <w:rFonts w:hint="eastAsia"/>
          <w:color w:val="auto"/>
        </w:rPr>
        <w:t>区域配送表：</w:t>
      </w:r>
    </w:p>
    <w:p w14:paraId="09200880">
      <w:pPr>
        <w:pageBreakBefore w:val="0"/>
        <w:topLinePunct w:val="0"/>
        <w:bidi w:val="0"/>
        <w:spacing w:line="500" w:lineRule="exact"/>
        <w:ind w:left="0" w:leftChars="0" w:right="0" w:rightChars="0" w:firstLine="440" w:firstLineChars="200"/>
        <w:rPr>
          <w:rFonts w:hint="eastAsia"/>
          <w:color w:val="auto"/>
          <w:lang w:val="en-US" w:eastAsia="zh-CN"/>
        </w:rPr>
      </w:pPr>
    </w:p>
    <w:tbl>
      <w:tblPr>
        <w:tblStyle w:val="23"/>
        <w:tblW w:w="102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8"/>
        <w:gridCol w:w="1049"/>
        <w:gridCol w:w="3992"/>
        <w:gridCol w:w="1226"/>
        <w:gridCol w:w="1101"/>
        <w:gridCol w:w="1101"/>
        <w:gridCol w:w="1133"/>
      </w:tblGrid>
      <w:tr w14:paraId="11FC1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1" w:hRule="atLeast"/>
        </w:trPr>
        <w:tc>
          <w:tcPr>
            <w:tcW w:w="10260" w:type="dxa"/>
            <w:gridSpan w:val="7"/>
            <w:tcBorders>
              <w:top w:val="nil"/>
              <w:left w:val="nil"/>
              <w:bottom w:val="nil"/>
              <w:right w:val="nil"/>
            </w:tcBorders>
            <w:shd w:val="clear" w:color="auto" w:fill="auto"/>
            <w:vAlign w:val="center"/>
          </w:tcPr>
          <w:p w14:paraId="2B741D9D">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40"/>
                <w:szCs w:val="40"/>
                <w:u w:val="none"/>
              </w:rPr>
            </w:pPr>
            <w:r>
              <w:rPr>
                <w:rFonts w:hint="default" w:ascii="方正小标宋简体" w:hAnsi="方正小标宋简体" w:eastAsia="方正小标宋简体" w:cs="方正小标宋简体"/>
                <w:i w:val="0"/>
                <w:iCs w:val="0"/>
                <w:color w:val="000000"/>
                <w:kern w:val="0"/>
                <w:sz w:val="40"/>
                <w:szCs w:val="40"/>
                <w:u w:val="none"/>
                <w:lang w:val="en-US" w:eastAsia="zh-CN" w:bidi="ar"/>
              </w:rPr>
              <w:t>汉滨区2026－2027学年度中小学幼儿园大宗食材</w:t>
            </w:r>
            <w:r>
              <w:rPr>
                <w:rFonts w:hint="default" w:ascii="方正小标宋简体" w:hAnsi="方正小标宋简体" w:eastAsia="方正小标宋简体" w:cs="方正小标宋简体"/>
                <w:i w:val="0"/>
                <w:iCs w:val="0"/>
                <w:color w:val="000000"/>
                <w:kern w:val="0"/>
                <w:sz w:val="40"/>
                <w:szCs w:val="40"/>
                <w:u w:val="none"/>
                <w:lang w:val="en-US" w:eastAsia="zh-CN" w:bidi="ar"/>
              </w:rPr>
              <w:br w:type="textWrapping"/>
            </w:r>
            <w:r>
              <w:rPr>
                <w:rFonts w:hint="default" w:ascii="方正小标宋简体" w:hAnsi="方正小标宋简体" w:eastAsia="方正小标宋简体" w:cs="方正小标宋简体"/>
                <w:i w:val="0"/>
                <w:iCs w:val="0"/>
                <w:color w:val="000000"/>
                <w:kern w:val="0"/>
                <w:sz w:val="40"/>
                <w:szCs w:val="40"/>
                <w:u w:val="none"/>
                <w:lang w:val="en-US" w:eastAsia="zh-CN" w:bidi="ar"/>
              </w:rPr>
              <w:t>及原辅材料配送项目A片区配送学校名单</w:t>
            </w:r>
          </w:p>
        </w:tc>
      </w:tr>
      <w:tr w14:paraId="784E0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C871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41C1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镇办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29CE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学校幼儿园名称</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ED77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学校类别</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0E74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义务段营养餐实施人数</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F73D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非营养餐实施人数</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8EC3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合计人数</w:t>
            </w:r>
          </w:p>
        </w:tc>
      </w:tr>
      <w:tr w14:paraId="682E3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88B3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35A1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65880">
            <w:pPr>
              <w:jc w:val="center"/>
              <w:rPr>
                <w:rFonts w:hint="eastAsia" w:ascii="宋体" w:hAnsi="宋体" w:eastAsia="宋体" w:cs="宋体"/>
                <w:i w:val="0"/>
                <w:iCs w:val="0"/>
                <w:color w:val="000000"/>
                <w:sz w:val="22"/>
                <w:szCs w:val="22"/>
                <w:u w:val="none"/>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6803D">
            <w:pPr>
              <w:jc w:val="center"/>
              <w:rPr>
                <w:rFonts w:hint="eastAsia" w:ascii="宋体" w:hAnsi="宋体" w:eastAsia="宋体" w:cs="宋体"/>
                <w:i w:val="0"/>
                <w:iCs w:val="0"/>
                <w:color w:val="000000"/>
                <w:sz w:val="22"/>
                <w:szCs w:val="22"/>
                <w:u w:val="none"/>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37B8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9674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BCC7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7426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2ACC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17100</w:t>
            </w:r>
          </w:p>
        </w:tc>
      </w:tr>
      <w:tr w14:paraId="783F5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720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060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茨沟镇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9F86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汉滨区茨沟初中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6A6E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初中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CE8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A5B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B8A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326</w:t>
            </w:r>
          </w:p>
        </w:tc>
      </w:tr>
      <w:tr w14:paraId="2CD00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397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F07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茨沟镇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09ED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汉滨区茨沟小学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BDA0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85F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5E1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FA2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306</w:t>
            </w:r>
          </w:p>
        </w:tc>
      </w:tr>
      <w:tr w14:paraId="5ED70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C53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972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茨沟镇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00E8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汉滨区茨沟镇幼儿园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A87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CFD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F14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9FB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r>
      <w:tr w14:paraId="1E05C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56F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E07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茨沟镇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82F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汉滨区茨沟镇景家小学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8539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AA1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8D0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9F0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r>
      <w:tr w14:paraId="6EF34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F2E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73B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茨沟镇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9A04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汉滨区茨沟镇东镇九年制学校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B1B8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A97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9FA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C2C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141</w:t>
            </w:r>
          </w:p>
        </w:tc>
      </w:tr>
      <w:tr w14:paraId="31925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B8A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B2D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茨沟镇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9936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汉滨区茨沟镇东镇九年制学校二郎教学点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AC04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1C5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B67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E54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7E973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F31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7A1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茨沟镇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8C91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汉滨区茨沟镇茨沟小学佛爷岩教学点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0BE2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6E2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C1B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0DA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528C8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256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C85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茨沟镇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5236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汉滨区茨沟镇景家小学附设幼儿园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E991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9AF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930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2D8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r>
      <w:tr w14:paraId="40AF2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18C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072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茨沟镇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C46B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汉滨区茨沟镇东镇幼儿园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0AF8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166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437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6B3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r>
      <w:tr w14:paraId="13083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C0F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22E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6603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汉滨区大河镇大河小学田坪教学点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E80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94D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20B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0CA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3DAAF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041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94B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AA2C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DB2E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A33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B36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F51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r>
      <w:tr w14:paraId="554CC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31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6FC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4649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汉滨区大河镇双溪幼儿园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9B3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288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E50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94B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r>
      <w:tr w14:paraId="7944C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376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084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F93C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汉滨区大河镇大河小学流芳教学点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6853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B51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D53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581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52354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DEC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23C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5D9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汉滨区大河镇兴红小学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FBB0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603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C02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E2D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r>
      <w:tr w14:paraId="5BEA4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585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3F3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4040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汉滨区大河小学庙梁教学点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B4CD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BC3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020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BC4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187C5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797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9AB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FC86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1241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182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CEB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AF0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r>
      <w:tr w14:paraId="493BF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CD7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44F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E4A7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汉滨区大河镇蒿溪小学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2DD6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280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0D4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DF0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0EF4D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40F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FC0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1C9C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汉滨区大河镇双溪九年制学校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AD28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C3C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7FD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A54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217</w:t>
            </w:r>
          </w:p>
        </w:tc>
      </w:tr>
      <w:tr w14:paraId="7CFDF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7C2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674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96BF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汉滨区大河镇兴红小学附设幼儿园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1B03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297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8F9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D6B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r>
      <w:tr w14:paraId="6AB45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21A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6C0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8CB1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汉滨区大河镇蒿溪小学附设幼儿园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629A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02C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6B1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D96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2B076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892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758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FB78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汉滨区劳动小学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8893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93B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EEF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29A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823</w:t>
            </w:r>
          </w:p>
        </w:tc>
      </w:tr>
      <w:tr w14:paraId="0AC6F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F26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8C7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nil"/>
              <w:left w:val="nil"/>
              <w:bottom w:val="nil"/>
              <w:right w:val="nil"/>
            </w:tcBorders>
            <w:shd w:val="clear" w:color="auto" w:fill="auto"/>
            <w:vAlign w:val="center"/>
          </w:tcPr>
          <w:p w14:paraId="1EA3270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汉滨区劳动小学双胜教学点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2160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CB8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191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C37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319B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A01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A3F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7FF4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汉滨区劳动小学文化教学点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E5CE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F2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7AB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621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3A5FA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20C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9E6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11CE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汉滨区关庙镇团结小学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F123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AAE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30F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671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141</w:t>
            </w:r>
          </w:p>
        </w:tc>
      </w:tr>
      <w:tr w14:paraId="45739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5EC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DE6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246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汉滨区关庙镇团结小学皂树教学点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EC7F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061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8C9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1FA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46E8B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44D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C81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4DB0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汉滨区关庙镇小李小学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9BCD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00E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0C5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6CA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489F4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A3C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011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6511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汉滨区关庙镇勇胜小学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BDE4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4E2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5F5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B8D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r>
      <w:tr w14:paraId="27033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B4E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126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436C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汉滨区关庙镇勇胜小学新建教学点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6B62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97B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A7F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588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D801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60C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D7B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AC6E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汉滨区关庙镇花心小学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69F8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AE0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BE9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CE9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r>
      <w:tr w14:paraId="1247B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063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360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66B0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汉滨区关庙镇花心小学桥河教学点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9C1A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38E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81D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808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0CFEB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B04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38A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BCEA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汉滨区关庙镇唐淌小学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4D6C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D1C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8B4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027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7E1C8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F3E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557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0281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汉滨区关庙镇唐淌小学杨寨教学点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15F3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3B1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23E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F3C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130DD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600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20D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6D9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汉滨区劳动小学双胜教学点附设幼儿园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BB44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CF7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80B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8D5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0DC57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D87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743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BD21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汉滨区建民初级中学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2556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初中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977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9E4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61E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1662</w:t>
            </w:r>
          </w:p>
        </w:tc>
      </w:tr>
      <w:tr w14:paraId="730CF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B3E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DB7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BAFA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汉滨区建民办二里九年制学校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396F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BA9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323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734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r>
      <w:tr w14:paraId="0AFD5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DE4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B0B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BB09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汉滨区建民办长岭九年制学校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1EDF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A53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727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CB7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w:t>
            </w:r>
          </w:p>
        </w:tc>
      </w:tr>
      <w:tr w14:paraId="228E1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28D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1AD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BF05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汉滨区建民办黄沟小学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795E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443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66F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4ED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1022</w:t>
            </w:r>
          </w:p>
        </w:tc>
      </w:tr>
      <w:tr w14:paraId="47086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F03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83F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0220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汉滨区建民办忠诚小学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4B3D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97B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A1E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60A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552B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402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6AA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D640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汉滨区建民办徐家沟小学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30A0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3F3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F4A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CE2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r>
      <w:tr w14:paraId="6E348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886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9D3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E98E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汉滨区建民办忠诚小学青春教学点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09D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3A0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811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4DD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5FF5A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0B1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194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D20F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汉滨区建民办二里九年制学校三星教学点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C01E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2E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F41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E95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64189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9C5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B06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1BE9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汉滨区建民办二里九年制学校西山教学点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F58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C30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892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F7A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5A986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DEC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980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96C0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汉滨区建民办徐家沟小学庙岭教学点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9BB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C32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AAD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22E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3334E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359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566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江北办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30B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汉滨区江北九年制</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E781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8FB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566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43D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w:t>
            </w:r>
          </w:p>
        </w:tc>
      </w:tr>
      <w:tr w14:paraId="40CBC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FA7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695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江北办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8216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安康市大升实验学校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B710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440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251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F58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394</w:t>
            </w:r>
          </w:p>
        </w:tc>
      </w:tr>
      <w:tr w14:paraId="75628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AA3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CCD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江北办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AF2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汉滨区江北小学长征教学点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79D5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BCB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80D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864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r>
      <w:tr w14:paraId="7B194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279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195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江北办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E88E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汉滨区刘家沟幼儿园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0097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2E5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B88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F31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r>
      <w:tr w14:paraId="201DD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8D3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A0B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江北办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BC70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汉滨区江北幼儿园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842A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549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E9B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7EA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448</w:t>
            </w:r>
          </w:p>
        </w:tc>
      </w:tr>
      <w:tr w14:paraId="4B76C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245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F6E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08F8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汉滨区张岭幼儿园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BB9C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7A5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077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FB7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257</w:t>
            </w:r>
          </w:p>
        </w:tc>
      </w:tr>
      <w:tr w14:paraId="69DBF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45D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DCF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6604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汉滨区大河中学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72BF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完全中学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C8C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AF3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D41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991</w:t>
            </w:r>
          </w:p>
        </w:tc>
      </w:tr>
      <w:tr w14:paraId="10AFC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E12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EF8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CFD0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汉滨区铁路幼儿园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B4F6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23B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B06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7B8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562</w:t>
            </w:r>
          </w:p>
        </w:tc>
      </w:tr>
      <w:tr w14:paraId="35243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0AA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C7A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9C8C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汉滨区铁路幼儿园东园区</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43F5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155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46E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221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r>
      <w:tr w14:paraId="03EBE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60D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C9C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12D8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汉滨区铁路小学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4D29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5BF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CDA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121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222</w:t>
            </w:r>
          </w:p>
        </w:tc>
      </w:tr>
      <w:tr w14:paraId="5AEE7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00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09A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8C0E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汉滨区五里高级中学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83D3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3BF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069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414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1221</w:t>
            </w:r>
          </w:p>
        </w:tc>
      </w:tr>
      <w:tr w14:paraId="1D692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149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357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19A5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汉滨区江北高中东校区</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3D18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初中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7F9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28F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B87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1103</w:t>
            </w:r>
          </w:p>
        </w:tc>
      </w:tr>
      <w:tr w14:paraId="6F5DE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580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707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FA94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汉滨区江北高级中学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148F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完全中学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2C6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BA9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967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241</w:t>
            </w:r>
          </w:p>
        </w:tc>
      </w:tr>
      <w:tr w14:paraId="02374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E8F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B8B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D53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汉滨区初级中学滨江校区</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9F53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A82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B69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0DC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1045</w:t>
            </w:r>
          </w:p>
        </w:tc>
      </w:tr>
      <w:tr w14:paraId="15D27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F2A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81E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9115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汉滨区新建中等职业技术学校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C232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职中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C0E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DD6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650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860</w:t>
            </w:r>
          </w:p>
        </w:tc>
      </w:tr>
      <w:tr w14:paraId="74383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196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B45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沈坝镇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D3EA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汉滨区沈坝镇幼儿园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26A2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C3C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87C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CB0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r>
      <w:tr w14:paraId="3F2C0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5EE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9B2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沈坝镇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663D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汉滨区沈坝九年制学校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1DCA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0CF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16C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5D2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416</w:t>
            </w:r>
          </w:p>
        </w:tc>
      </w:tr>
      <w:tr w14:paraId="7C7AA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C9A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E3D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沈坝镇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54B5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汉滨区沈坝镇元潭小学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A75E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470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EFF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A93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r>
      <w:tr w14:paraId="356E3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1C5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ED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沈坝镇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42B3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汉滨区沈坝镇元潭社区幼儿园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58A4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FF3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B10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FF6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3994A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BA2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5FE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沈坝镇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D1A3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汉滨区沈坝九年制学校洛河教学点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731E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D28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335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583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3D185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5B9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168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石梯镇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4C1A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汉滨区石梯小学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4BB7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CF5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D63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C9E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r>
      <w:tr w14:paraId="5443B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85A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A38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石梯镇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D270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汉滨区石梯小学杨寇教学点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E86B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7CF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B5C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DB9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4215F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21C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B78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石梯镇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1C31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汉滨区石梯小学大石教学点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CDAF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62F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21F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607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B0B6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6ED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3C6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石梯镇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00B0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汉滨区石梯小学丰富教学点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98CE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D04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5C3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BA6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0C97B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2B7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A94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石梯镇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AEA3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汉滨区石梯小学冯山教学点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758A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85C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24F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B71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46426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0AD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CF2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石梯镇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F19D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汉滨区石梯小学青套教学点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1A23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891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A49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842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51314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FFA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D6E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石梯镇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9C9B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汉滨区石梯镇幼儿园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19A3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3FD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6EC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D45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2268A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631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B9D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谭坝镇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1312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汉滨区谭坝九年制学校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D70F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72A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7AA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5D1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157</w:t>
            </w:r>
          </w:p>
        </w:tc>
      </w:tr>
      <w:tr w14:paraId="7998B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628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A2E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谭坝镇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096F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汉滨区谭坝镇松坝九年制学校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4353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04E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368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777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278</w:t>
            </w:r>
          </w:p>
        </w:tc>
      </w:tr>
      <w:tr w14:paraId="3A9E5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1E3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BBB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谭坝镇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6D3C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汉滨区谭坝镇幼儿园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48A3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D48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B2F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AA1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r>
      <w:tr w14:paraId="706C8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547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4C9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谭坝镇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4358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汉滨区谭坝镇松坝社区幼儿园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E7C7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561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63F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BD8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r>
      <w:tr w14:paraId="6B16F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46C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D92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CDBC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2DBF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836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AD4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F32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376</w:t>
            </w:r>
          </w:p>
        </w:tc>
      </w:tr>
      <w:tr w14:paraId="25599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561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DFE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606E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汉滨区吉河镇唐庄小学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D45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7A5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206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7FF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2AB67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BA4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160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02FA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汉滨区吉河镇唐庄小学天山教学点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AC76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7FB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33E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30E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5A08E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7CF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774517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nil"/>
              <w:right w:val="single" w:color="000000" w:sz="4" w:space="0"/>
            </w:tcBorders>
            <w:shd w:val="clear" w:color="auto" w:fill="auto"/>
            <w:vAlign w:val="center"/>
          </w:tcPr>
          <w:p w14:paraId="0C4A7F6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汉滨区吉河镇矿石小学</w:t>
            </w:r>
          </w:p>
        </w:tc>
        <w:tc>
          <w:tcPr>
            <w:tcW w:w="1236" w:type="dxa"/>
            <w:tcBorders>
              <w:top w:val="single" w:color="000000" w:sz="4" w:space="0"/>
              <w:left w:val="single" w:color="000000" w:sz="4" w:space="0"/>
              <w:bottom w:val="nil"/>
              <w:right w:val="single" w:color="000000" w:sz="4" w:space="0"/>
            </w:tcBorders>
            <w:shd w:val="clear" w:color="auto" w:fill="auto"/>
            <w:vAlign w:val="center"/>
          </w:tcPr>
          <w:p w14:paraId="40967C8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7B1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259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490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39D32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1A3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99F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BD64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汉滨区吉河九年制学校福滩教学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EF63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268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ED7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305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64095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B13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F45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0228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汉滨区吉河九年制学校炭沟教学点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D757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109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273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CDA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r>
      <w:tr w14:paraId="054BD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582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621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AF78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汉滨区吉河九年制学校清坪教学点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B14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577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822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A70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C23F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959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280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AB17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汉滨区吉河九年制学校高水教学点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02D6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BFF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28A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6FF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76AEE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B0A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EBB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83FA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3F55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A4D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F4C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A76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r>
      <w:tr w14:paraId="5EBFA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126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47A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3AEA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汉滨区吉河镇炭沟小学附设幼儿园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AB3E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EA0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7B0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45C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35D33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8"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B1D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D14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F503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汉滨区吉河九年制学校高水教学点附设幼儿园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2F35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C66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B74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D02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4E177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AAD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001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B7B5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汉滨区吉河镇唐庄小学附设幼儿园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7F74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658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F01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FA9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1EF6B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492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7CB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叶坪镇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F37B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汉滨区叶坪镇幼儿园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16DC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B3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657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C3E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r>
      <w:tr w14:paraId="0F8FE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267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3DE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叶坪镇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C813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汉滨区叶坪小学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8FFF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A53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706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6BB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w:t>
            </w:r>
          </w:p>
        </w:tc>
      </w:tr>
      <w:tr w14:paraId="441B5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E41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43C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467E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汉滨区早阳镇早阳教学点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42C6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63D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92F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2A0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55F88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89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887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FF85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汉滨区早阳镇龙泉教学点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0E48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220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4B0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522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0B4D9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C47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4CC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9F7E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50AD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29C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921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403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6FBFE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853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9C7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6E8D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汉滨区早阳镇九里教学点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C99E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C43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CE5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A20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02C27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BF1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FAB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C593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汉滨区早阳小学东方岭教学点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5F3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FC3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A4B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A1D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682C3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B0D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E2A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D151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汉滨区早阳小学前进教学点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8534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0C5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6DD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AFB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729F3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6B0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00B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3879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汉滨区早阳镇共进小学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11DF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600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933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69A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r>
      <w:tr w14:paraId="4BF1C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C7F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6B8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1C36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汉滨区早阳镇共进幼儿园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C1DB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1AF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FD6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AB9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47064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40A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4EC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1F08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汉滨区早阳镇包河小学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B4FE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05F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C40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5A1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r>
      <w:tr w14:paraId="1D4C4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3DD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687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C0FA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汉滨区早阳镇早阳小学附设幼儿园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ADD2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823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FE9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47E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2B531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F33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9ED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75E1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汉滨区中原九年制学校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14F2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428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FEB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CB3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595</w:t>
            </w:r>
          </w:p>
        </w:tc>
      </w:tr>
      <w:tr w14:paraId="54D36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D47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21C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FECB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汉滨区中原小学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C7EE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AF6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73B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1DB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w:t>
            </w:r>
          </w:p>
        </w:tc>
      </w:tr>
      <w:tr w14:paraId="50438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2F4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7BD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FE17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汉滨区中原镇马坪小学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906C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3F7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E09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11F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r>
      <w:tr w14:paraId="168C4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FC7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B65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5777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汉滨区中原小学双湾教学点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6F69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46C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CD7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AA5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1FAA8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85D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5F9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18B1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汉滨区中原镇幼儿园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4957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59C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065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C8F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r>
      <w:tr w14:paraId="3976A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1CC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E1C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0AF3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汉滨区中原镇马坪社区幼儿园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FEEA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335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B79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1BE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r>
      <w:tr w14:paraId="394C8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BFE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4FA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紫荆镇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9EEF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汉滨区紫荆九年制学校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EE57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FB2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F69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270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177</w:t>
            </w:r>
          </w:p>
        </w:tc>
      </w:tr>
      <w:tr w14:paraId="13A2E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E90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38B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紫荆镇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3D39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汉滨区紫荆九年制学校荆河教学点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F5B1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C88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0EA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210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6BF9E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4C1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1BE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紫荆镇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B338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汉滨区紫荆镇紫荆九年制学校一军教学点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0DCB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EB0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9F2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F70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69FF8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9C2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2A7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紫荆镇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EEF8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汉滨区紫荆镇规划小学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2072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529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14F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6C4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r>
      <w:tr w14:paraId="6CB42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5BE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1AE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紫荆镇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71E6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汉滨区紫荆镇规划小学沙坝教学点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ADDF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A85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85C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1EA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r>
      <w:tr w14:paraId="706C9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BDB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994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紫荆镇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B51A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汉滨区紫荆九年制学校荆河社区教学点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085D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F33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3FD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E74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71FF8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3"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0FD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111</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2C1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紫荆镇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8E78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汉滨区紫荆镇幼儿园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4095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E85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B47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D98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bl>
    <w:p w14:paraId="1B8635C5">
      <w:pPr>
        <w:pageBreakBefore w:val="0"/>
        <w:topLinePunct w:val="0"/>
        <w:bidi w:val="0"/>
        <w:spacing w:line="500" w:lineRule="exact"/>
        <w:ind w:left="0" w:leftChars="0" w:right="0" w:rightChars="0" w:firstLine="440" w:firstLineChars="200"/>
        <w:rPr>
          <w:color w:val="auto"/>
        </w:rPr>
      </w:pPr>
    </w:p>
    <w:p w14:paraId="1D761D8F">
      <w:pPr>
        <w:pStyle w:val="11"/>
        <w:rPr>
          <w:color w:val="auto"/>
        </w:rPr>
      </w:pPr>
    </w:p>
    <w:p w14:paraId="5B66C1EE">
      <w:pPr>
        <w:pStyle w:val="11"/>
        <w:rPr>
          <w:color w:val="auto"/>
        </w:rPr>
      </w:pPr>
    </w:p>
    <w:p w14:paraId="3D2DD11C">
      <w:pPr>
        <w:pStyle w:val="11"/>
        <w:rPr>
          <w:color w:val="auto"/>
        </w:rPr>
      </w:pPr>
    </w:p>
    <w:p w14:paraId="7C12F44F">
      <w:pPr>
        <w:pStyle w:val="11"/>
        <w:rPr>
          <w:color w:val="auto"/>
        </w:rPr>
      </w:pPr>
    </w:p>
    <w:p w14:paraId="761530C4">
      <w:pPr>
        <w:pStyle w:val="11"/>
        <w:rPr>
          <w:color w:val="auto"/>
        </w:rPr>
      </w:pPr>
    </w:p>
    <w:p w14:paraId="19DCE8FD">
      <w:pPr>
        <w:pStyle w:val="11"/>
        <w:rPr>
          <w:color w:val="auto"/>
        </w:rPr>
      </w:pPr>
    </w:p>
    <w:p w14:paraId="2FD66B8B">
      <w:pPr>
        <w:pStyle w:val="11"/>
        <w:rPr>
          <w:color w:val="auto"/>
        </w:rPr>
      </w:pPr>
    </w:p>
    <w:p w14:paraId="069EA7AA">
      <w:pPr>
        <w:pStyle w:val="11"/>
        <w:rPr>
          <w:color w:val="auto"/>
        </w:rPr>
      </w:pPr>
    </w:p>
    <w:p w14:paraId="56048449">
      <w:pPr>
        <w:pStyle w:val="11"/>
        <w:rPr>
          <w:color w:val="auto"/>
        </w:rPr>
      </w:pPr>
    </w:p>
    <w:tbl>
      <w:tblPr>
        <w:tblStyle w:val="23"/>
        <w:tblW w:w="104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8"/>
        <w:gridCol w:w="1096"/>
        <w:gridCol w:w="3848"/>
        <w:gridCol w:w="1316"/>
        <w:gridCol w:w="1200"/>
        <w:gridCol w:w="1187"/>
        <w:gridCol w:w="1115"/>
      </w:tblGrid>
      <w:tr w14:paraId="5977F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10420" w:type="dxa"/>
            <w:gridSpan w:val="7"/>
            <w:tcBorders>
              <w:top w:val="nil"/>
              <w:left w:val="nil"/>
              <w:bottom w:val="nil"/>
              <w:right w:val="nil"/>
            </w:tcBorders>
            <w:shd w:val="clear" w:color="auto" w:fill="auto"/>
            <w:vAlign w:val="center"/>
          </w:tcPr>
          <w:p w14:paraId="0FF2FF9C">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40"/>
                <w:szCs w:val="40"/>
                <w:u w:val="none"/>
              </w:rPr>
            </w:pPr>
            <w:r>
              <w:rPr>
                <w:rFonts w:hint="default" w:ascii="方正小标宋简体" w:hAnsi="方正小标宋简体" w:eastAsia="方正小标宋简体" w:cs="方正小标宋简体"/>
                <w:i w:val="0"/>
                <w:iCs w:val="0"/>
                <w:color w:val="000000"/>
                <w:kern w:val="0"/>
                <w:sz w:val="40"/>
                <w:szCs w:val="40"/>
                <w:u w:val="none"/>
                <w:lang w:val="en-US" w:eastAsia="zh-CN" w:bidi="ar"/>
              </w:rPr>
              <w:t>汉滨区2026－2027学年度中小学幼儿园大宗食材</w:t>
            </w:r>
            <w:r>
              <w:rPr>
                <w:rFonts w:hint="default" w:ascii="方正小标宋简体" w:hAnsi="方正小标宋简体" w:eastAsia="方正小标宋简体" w:cs="方正小标宋简体"/>
                <w:i w:val="0"/>
                <w:iCs w:val="0"/>
                <w:color w:val="000000"/>
                <w:kern w:val="0"/>
                <w:sz w:val="40"/>
                <w:szCs w:val="40"/>
                <w:u w:val="none"/>
                <w:lang w:val="en-US" w:eastAsia="zh-CN" w:bidi="ar"/>
              </w:rPr>
              <w:br w:type="textWrapping"/>
            </w:r>
            <w:r>
              <w:rPr>
                <w:rFonts w:hint="default" w:ascii="方正小标宋简体" w:hAnsi="方正小标宋简体" w:eastAsia="方正小标宋简体" w:cs="方正小标宋简体"/>
                <w:i w:val="0"/>
                <w:iCs w:val="0"/>
                <w:color w:val="000000"/>
                <w:kern w:val="0"/>
                <w:sz w:val="40"/>
                <w:szCs w:val="40"/>
                <w:u w:val="none"/>
                <w:lang w:val="en-US" w:eastAsia="zh-CN" w:bidi="ar"/>
              </w:rPr>
              <w:t>及原辅材料配送项目 B 片区配送学校名单</w:t>
            </w:r>
          </w:p>
        </w:tc>
      </w:tr>
      <w:tr w14:paraId="3A9C9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09D1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47F7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镇办</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6D52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学校幼儿园名称</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DA38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学校类别</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EBB0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义务段营养餐实施人数</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BB87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非营养餐实施人数</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8139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合计人数</w:t>
            </w:r>
          </w:p>
        </w:tc>
      </w:tr>
      <w:tr w14:paraId="73B5B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A34C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AA2F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03AE0">
            <w:pPr>
              <w:jc w:val="center"/>
              <w:rPr>
                <w:rFonts w:hint="eastAsia" w:ascii="宋体" w:hAnsi="宋体" w:eastAsia="宋体" w:cs="宋体"/>
                <w:i w:val="0"/>
                <w:iCs w:val="0"/>
                <w:color w:val="000000"/>
                <w:sz w:val="22"/>
                <w:szCs w:val="22"/>
                <w:u w:val="none"/>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9439D">
            <w:pPr>
              <w:jc w:val="center"/>
              <w:rPr>
                <w:rFonts w:hint="eastAsia" w:ascii="宋体" w:hAnsi="宋体" w:eastAsia="宋体" w:cs="宋体"/>
                <w:i w:val="0"/>
                <w:iCs w:val="0"/>
                <w:color w:val="000000"/>
                <w:sz w:val="22"/>
                <w:szCs w:val="22"/>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C6B1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9917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5D72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7190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C73F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17107</w:t>
            </w:r>
          </w:p>
        </w:tc>
      </w:tr>
      <w:tr w14:paraId="080F7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FA1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2DE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坝河镇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D042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汉滨区坝河九年制学校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B572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0E4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D47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788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290</w:t>
            </w:r>
          </w:p>
        </w:tc>
      </w:tr>
      <w:tr w14:paraId="76D9A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28B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EA8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坝河镇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9E2B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汉滨区勇敢小学蒋河教学点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077B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4DF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C94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8B4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1F51C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B10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5FD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坝河镇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FB0E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汉滨区坝河镇勇敢小学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9BBE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253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D99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658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46BD2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7F5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AEE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坝河镇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87EA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汉滨区坝河镇幼儿园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F7EF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A6B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E67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A96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r>
      <w:tr w14:paraId="26676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7E5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2B4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坝河镇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27E1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汉滨区坝河镇勇敢小学附设幼儿园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D986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43A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86B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DC8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70899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2B4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472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大竹园镇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1740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汉滨区大竹园镇九年制学校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A037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678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039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9DF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560</w:t>
            </w:r>
          </w:p>
        </w:tc>
      </w:tr>
      <w:tr w14:paraId="54665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191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74A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大竹园镇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DDA6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汉滨区大竹园镇正义小学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2125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971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078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EC4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r>
      <w:tr w14:paraId="548D6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A54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60E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大竹园镇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4CAF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汉滨区大竹园镇关联小学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B1B6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D4B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A40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F85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r>
      <w:tr w14:paraId="5DB19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FE8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764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大竹园镇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CC21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汉滨区大竹园镇茶栈小学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C18A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BB2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74A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C1E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r>
      <w:tr w14:paraId="0DF23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411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EE3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大竹园镇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B2E8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汉滨区大竹园镇中心社区幼儿园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DFC6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B12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5A9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582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r>
      <w:tr w14:paraId="4B601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B2A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E64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大竹园镇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FAB2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汉滨区大竹园镇幼儿园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A8DD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0FC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CFA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18D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r>
      <w:tr w14:paraId="3834C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D8A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8EC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大竹园镇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D4D7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汉滨区大竹园镇茶栈小学附设幼儿园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1298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1F3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411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295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705CC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434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059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关家镇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A0FD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汉滨区关家镇关家九年制学校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90B2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CD8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DC1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CC9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r>
      <w:tr w14:paraId="197A2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1F3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95B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关家镇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6644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汉滨区关家镇关家幼儿园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E178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80A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8A4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3BF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6A0A6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D36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117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关家镇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2501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汉滨区关家镇邹庙教学点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1977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C4B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73B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2CE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05781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41C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457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关家镇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304C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汉滨区关家镇李台教学点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0F4C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E04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E7B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B54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42F8B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AC1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CD3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关家镇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1FCA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汉滨区关家镇八庙初小附设幼儿园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CD76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D4A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DF7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6A4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14055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89B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17D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关家镇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7F25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汉滨区关家镇八庙教学点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2B5C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DF8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461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04D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r>
      <w:tr w14:paraId="7BD5E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801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73D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关家镇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5F1D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汉滨区关家镇小关九年制学校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076D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3AC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AD3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6E6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137</w:t>
            </w:r>
          </w:p>
        </w:tc>
      </w:tr>
      <w:tr w14:paraId="07056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C16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19E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关家镇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379A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汉滨区关家镇小关社区幼儿园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5DEA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6F2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77E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065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r>
      <w:tr w14:paraId="6B431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5CC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7AE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关家镇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2682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汉滨区关家镇乌垭教学点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604D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6E0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79F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2CE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5020D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996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FE7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洪山镇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3527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汉滨区洪山镇石转九年制学校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0AE2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2F5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9E6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26E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199</w:t>
            </w:r>
          </w:p>
        </w:tc>
      </w:tr>
      <w:tr w14:paraId="248F7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CA0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413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洪山镇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79A1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汉滨区洪山九年制学校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06DC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F21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B1E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88F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336</w:t>
            </w:r>
          </w:p>
        </w:tc>
      </w:tr>
      <w:tr w14:paraId="1537B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C8B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615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洪山镇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EECE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汉滨区洪山镇幼儿园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4737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49A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A8E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627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r>
      <w:tr w14:paraId="19F4B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E0F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D57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洪山镇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6FC2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汉滨区洪山镇石转幼儿园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9F7C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8F6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2B0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1DB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r>
      <w:tr w14:paraId="10DCA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687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04A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洪山镇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DDF8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汉滨区洪山九年制学校瓦仓教学点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6846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5AB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315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E17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346C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44B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C21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江南办</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777E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汉滨区枣园幼儿园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164B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CBB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549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B33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171</w:t>
            </w:r>
          </w:p>
        </w:tc>
      </w:tr>
      <w:tr w14:paraId="0C462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A62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53A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江南办</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9386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安康黄冈实验学校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F3D8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十二年制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7A2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DA5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18A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r>
      <w:tr w14:paraId="5B3C0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973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E1E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江南办</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260C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汉滨区育才小学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B093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5C4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527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171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r>
      <w:tr w14:paraId="2695B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03A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348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江南办</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6780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汉滨区东关民族幼儿园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25BF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AAB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93C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40F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183</w:t>
            </w:r>
          </w:p>
        </w:tc>
      </w:tr>
      <w:tr w14:paraId="47A07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C24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228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流水镇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ED9A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汉滨区流水镇新坝九年制学校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9736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527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4F5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CEE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178</w:t>
            </w:r>
          </w:p>
        </w:tc>
      </w:tr>
      <w:tr w14:paraId="51F69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67F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562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流水镇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1D21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汉滨区汉滨区流水小学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245B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48D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131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617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192</w:t>
            </w:r>
          </w:p>
        </w:tc>
      </w:tr>
      <w:tr w14:paraId="32236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BB5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9C5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流水镇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0754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汉滨区流水小学田心教学点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3CDE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649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51B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A39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C2C6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A44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87C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流水镇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D9DF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汉滨区流水小学学坊垭教学点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3C7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C46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A4A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713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39DA8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99F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EA4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流水镇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A262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汉滨区流水镇新庄教学点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D761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9AC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3BF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964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17E5C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1CC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04D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流水镇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078B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汉滨区流水镇良田教学点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E8D2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947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A97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639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28C19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60E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D83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流水镇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63A5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汉滨区流水镇幼儿园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0AD8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446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845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35F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r>
      <w:tr w14:paraId="0FB1B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247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D87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流水镇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0E52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汉滨区流水镇新坝幼儿园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0A21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F57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651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591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r>
      <w:tr w14:paraId="61A83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13F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512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流水镇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2B5E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汉滨区流水小学新庄教学点附设幼儿园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E16B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DAD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216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8D8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063F8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EE4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0AC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牛蹄镇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4C60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汉滨区牛蹄镇牛蹄幼儿园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CF5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B81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997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AB3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r>
      <w:tr w14:paraId="6B73D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521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8AF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牛蹄镇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31EE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汉滨区牛蹄九年制学校林本教学点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6131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22C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F15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A60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119CB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206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BFE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牛蹄镇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6AD4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汉滨区牛蹄九年制学校吉安教学点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1AD7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A63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0CB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38E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21534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68F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EED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牛蹄镇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8228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汉滨区牛蹄九年制学校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1727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579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B22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5BE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359</w:t>
            </w:r>
          </w:p>
        </w:tc>
      </w:tr>
      <w:tr w14:paraId="7F4DD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B90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59D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CFF1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79D7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8C8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CEB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873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545</w:t>
            </w:r>
          </w:p>
        </w:tc>
      </w:tr>
      <w:tr w14:paraId="0B52E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186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78E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BE73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汉滨区幼儿园公园中央分园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C2A1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89E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E4B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3BD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w:t>
            </w:r>
          </w:p>
        </w:tc>
      </w:tr>
      <w:tr w14:paraId="7841D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FF8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D16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A96D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汉滨区流水中学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74A9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完全中学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31F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573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84B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691</w:t>
            </w:r>
          </w:p>
        </w:tc>
      </w:tr>
      <w:tr w14:paraId="439F2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B5E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D50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9AAC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汉滨初级中学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9BD4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初中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654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DCE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6AD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559</w:t>
            </w:r>
          </w:p>
        </w:tc>
      </w:tr>
      <w:tr w14:paraId="36AAC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0C0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77A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891D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汉滨区瀛湖中学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6729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完全中学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4AE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531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BC8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1063</w:t>
            </w:r>
          </w:p>
        </w:tc>
      </w:tr>
      <w:tr w14:paraId="1F2C2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E77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304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CB6A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汉滨区江南幼儿园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7EC9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09F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716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192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387</w:t>
            </w:r>
          </w:p>
        </w:tc>
      </w:tr>
      <w:tr w14:paraId="17EFE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1B7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34A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230A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汉滨区初级中学大桥路校区</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1A50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初中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F24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2E2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6D0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r>
      <w:tr w14:paraId="02AEC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B24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480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0954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汉滨区张滩高级中学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F083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完全中学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B19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7E0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785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1482</w:t>
            </w:r>
          </w:p>
        </w:tc>
      </w:tr>
      <w:tr w14:paraId="1279A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DDC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08846B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nil"/>
              <w:right w:val="single" w:color="000000" w:sz="4" w:space="0"/>
            </w:tcBorders>
            <w:shd w:val="clear" w:color="auto" w:fill="auto"/>
            <w:vAlign w:val="center"/>
          </w:tcPr>
          <w:p w14:paraId="3DADB87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汉滨区五里镇东升小学</w:t>
            </w:r>
          </w:p>
        </w:tc>
        <w:tc>
          <w:tcPr>
            <w:tcW w:w="1236" w:type="dxa"/>
            <w:tcBorders>
              <w:top w:val="single" w:color="000000" w:sz="4" w:space="0"/>
              <w:left w:val="single" w:color="000000" w:sz="4" w:space="0"/>
              <w:bottom w:val="nil"/>
              <w:right w:val="single" w:color="000000" w:sz="4" w:space="0"/>
            </w:tcBorders>
            <w:shd w:val="clear" w:color="auto" w:fill="auto"/>
            <w:vAlign w:val="center"/>
          </w:tcPr>
          <w:p w14:paraId="2C4D1B2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6C8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71D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623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096C1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4C0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96F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CDF0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汉滨区五里镇刘营小学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9C9B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DF4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E94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091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r>
      <w:tr w14:paraId="55874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E0F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B22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F94A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汉滨区五里镇刘营幼儿园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A14B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77E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176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67A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3008E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F73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3C1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74B9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汉滨区五里镇七里教学点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55CF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8AE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DBF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A5F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7BFF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F7B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151E48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nil"/>
              <w:right w:val="single" w:color="000000" w:sz="4" w:space="0"/>
            </w:tcBorders>
            <w:shd w:val="clear" w:color="auto" w:fill="auto"/>
            <w:vAlign w:val="center"/>
          </w:tcPr>
          <w:p w14:paraId="3F3F58C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汉滨区五里镇李家坝小学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7B13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CB9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977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165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r>
      <w:tr w14:paraId="238AA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112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479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0A55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90A1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C02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092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C24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1300</w:t>
            </w:r>
          </w:p>
        </w:tc>
      </w:tr>
      <w:tr w14:paraId="1514F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C4C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745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2C76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汉滨区五里镇冉砭小学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0B86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FB0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8EF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EEB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7808C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E2B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0D8287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nil"/>
              <w:right w:val="single" w:color="000000" w:sz="4" w:space="0"/>
            </w:tcBorders>
            <w:shd w:val="clear" w:color="auto" w:fill="auto"/>
            <w:vAlign w:val="center"/>
          </w:tcPr>
          <w:p w14:paraId="5C48EAD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汉滨区五里镇团结小学</w:t>
            </w:r>
          </w:p>
        </w:tc>
        <w:tc>
          <w:tcPr>
            <w:tcW w:w="1236" w:type="dxa"/>
            <w:tcBorders>
              <w:top w:val="single" w:color="000000" w:sz="4" w:space="0"/>
              <w:left w:val="single" w:color="000000" w:sz="4" w:space="0"/>
              <w:bottom w:val="nil"/>
              <w:right w:val="single" w:color="000000" w:sz="4" w:space="0"/>
            </w:tcBorders>
            <w:shd w:val="clear" w:color="auto" w:fill="auto"/>
            <w:vAlign w:val="center"/>
          </w:tcPr>
          <w:p w14:paraId="5E09071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990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A58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075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r>
      <w:tr w14:paraId="7ED96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76E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7F5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9F58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汉滨区四合九年制学校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215F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39D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B1C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E2A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443</w:t>
            </w:r>
          </w:p>
        </w:tc>
      </w:tr>
      <w:tr w14:paraId="38803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86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813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4F20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4751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BFF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525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A6B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253</w:t>
            </w:r>
          </w:p>
        </w:tc>
      </w:tr>
      <w:tr w14:paraId="2EAFA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105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1ADD06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nil"/>
              <w:right w:val="single" w:color="000000" w:sz="4" w:space="0"/>
            </w:tcBorders>
            <w:shd w:val="clear" w:color="auto" w:fill="auto"/>
            <w:vAlign w:val="center"/>
          </w:tcPr>
          <w:p w14:paraId="01F4302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汉滨区五里镇梅花石小学</w:t>
            </w:r>
          </w:p>
        </w:tc>
        <w:tc>
          <w:tcPr>
            <w:tcW w:w="1236" w:type="dxa"/>
            <w:tcBorders>
              <w:top w:val="single" w:color="000000" w:sz="4" w:space="0"/>
              <w:left w:val="single" w:color="000000" w:sz="4" w:space="0"/>
              <w:bottom w:val="nil"/>
              <w:right w:val="single" w:color="000000" w:sz="4" w:space="0"/>
            </w:tcBorders>
            <w:shd w:val="clear" w:color="auto" w:fill="auto"/>
            <w:vAlign w:val="center"/>
          </w:tcPr>
          <w:p w14:paraId="26E6297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298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6E6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3D1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45668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080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511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2E97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汉滨区民主九年制学校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24E7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236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8D9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E47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1494</w:t>
            </w:r>
          </w:p>
        </w:tc>
      </w:tr>
      <w:tr w14:paraId="2DF34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2C0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249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AA35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汉滨区五里镇富强幼儿园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0789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ADB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5DA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B2D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7B0E5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C6E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DF4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5D87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汉滨区富强九年制学校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AA8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0F7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FCA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235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r>
      <w:tr w14:paraId="7F4BE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F03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BC2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A137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汉滨区双龙镇幼儿园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533F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8BC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465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0C2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r>
      <w:tr w14:paraId="5E27C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135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2E9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D105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汉滨区双龙镇中心社区幼儿园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52BF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EBF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EC2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B83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r>
      <w:tr w14:paraId="3368A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0EF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841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6A20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汉滨区双龙镇五四小学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7767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126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CE2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8BE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r>
      <w:tr w14:paraId="2F44C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784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51B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B4E2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汉滨区双龙镇三星小学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6B9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B26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AB2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2E4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r>
      <w:tr w14:paraId="3DCC6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070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473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733A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汉滨区双龙镇双龙小学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A519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C6F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6F0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A79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287</w:t>
            </w:r>
          </w:p>
        </w:tc>
      </w:tr>
      <w:tr w14:paraId="1C077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D36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22D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75E0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双龙镇双龙小学三山教学点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2659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5C0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D60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24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78909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488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90C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338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汉滨区双龙初级中学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BCE5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初中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269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983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DB9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263</w:t>
            </w:r>
          </w:p>
        </w:tc>
      </w:tr>
      <w:tr w14:paraId="36A13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D8A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374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77E3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汉滨区双龙镇五四小学附设幼儿园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28F8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B54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961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A70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r>
      <w:tr w14:paraId="35664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D83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74</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17E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CE4F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汉滨区双龙镇三星小学附设幼儿园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8DD4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1BC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B1C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1CD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5A2D9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CA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4B2A6C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nil"/>
              <w:right w:val="single" w:color="000000" w:sz="4" w:space="0"/>
            </w:tcBorders>
            <w:shd w:val="clear" w:color="auto" w:fill="auto"/>
            <w:vAlign w:val="center"/>
          </w:tcPr>
          <w:p w14:paraId="4DE548F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汉滨区县河九年制学校</w:t>
            </w:r>
          </w:p>
        </w:tc>
        <w:tc>
          <w:tcPr>
            <w:tcW w:w="1236" w:type="dxa"/>
            <w:tcBorders>
              <w:top w:val="single" w:color="000000" w:sz="4" w:space="0"/>
              <w:left w:val="single" w:color="000000" w:sz="4" w:space="0"/>
              <w:bottom w:val="nil"/>
              <w:right w:val="single" w:color="000000" w:sz="4" w:space="0"/>
            </w:tcBorders>
            <w:shd w:val="clear" w:color="auto" w:fill="auto"/>
            <w:vAlign w:val="center"/>
          </w:tcPr>
          <w:p w14:paraId="1906886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DFD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34A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06A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r>
      <w:tr w14:paraId="1C966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A6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D63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4EAB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汉滨区迎风九年制学校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C69F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B4F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3A7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9DE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179</w:t>
            </w:r>
          </w:p>
        </w:tc>
      </w:tr>
      <w:tr w14:paraId="61A83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08E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81F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6AB5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汉滨区财梁九年制学校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2578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94F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2A6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E21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r>
      <w:tr w14:paraId="20A4B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4CF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932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BC71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汉滨区县河镇牛岭教学点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510D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671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044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AC3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498DB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F22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AC7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6073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汉滨区县河镇草庙教学点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F3A0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851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E97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723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7F010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9A7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5B4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DC6F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汉滨区县河镇欣荣教学点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34A1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FD3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314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863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4B212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9A6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340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4297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汉滨区县河镇灯塔教学点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84EA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6EF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9C6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AE0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r>
      <w:tr w14:paraId="46D5D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8F9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366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B800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汉滨区县河镇枫树教学点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371E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87D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BCF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FF0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02364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E4A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62B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D8D2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汉滨区县河镇幼儿园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F5F0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5CA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580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128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r>
      <w:tr w14:paraId="5941C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ABC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89B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92F2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汉滨区县河镇迎风九年制学校附设幼儿园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74FD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D3B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56B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616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612B2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581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FF4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025B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汉滨区县河镇财梁社区幼儿园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37A1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0EA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38C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409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5ECD9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6FB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1C7E60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晏坝镇</w:t>
            </w:r>
          </w:p>
        </w:tc>
        <w:tc>
          <w:tcPr>
            <w:tcW w:w="3985" w:type="dxa"/>
            <w:tcBorders>
              <w:top w:val="single" w:color="000000" w:sz="4" w:space="0"/>
              <w:left w:val="single" w:color="000000" w:sz="4" w:space="0"/>
              <w:bottom w:val="nil"/>
              <w:right w:val="single" w:color="000000" w:sz="4" w:space="0"/>
            </w:tcBorders>
            <w:shd w:val="clear" w:color="auto" w:fill="auto"/>
            <w:vAlign w:val="center"/>
          </w:tcPr>
          <w:p w14:paraId="733DE3C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汉滨区晏坝镇晏坝初级中学</w:t>
            </w:r>
          </w:p>
        </w:tc>
        <w:tc>
          <w:tcPr>
            <w:tcW w:w="1236" w:type="dxa"/>
            <w:tcBorders>
              <w:top w:val="single" w:color="000000" w:sz="4" w:space="0"/>
              <w:left w:val="single" w:color="000000" w:sz="4" w:space="0"/>
              <w:bottom w:val="nil"/>
              <w:right w:val="single" w:color="000000" w:sz="4" w:space="0"/>
            </w:tcBorders>
            <w:shd w:val="clear" w:color="auto" w:fill="auto"/>
            <w:vAlign w:val="center"/>
          </w:tcPr>
          <w:p w14:paraId="446E214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初中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13C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4F6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876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157</w:t>
            </w:r>
          </w:p>
        </w:tc>
      </w:tr>
      <w:tr w14:paraId="7DE4B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0B8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BFE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晏坝镇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0A80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汉滨区晏坝镇正衡九年制学校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78A0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11E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A8B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087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w:t>
            </w:r>
          </w:p>
        </w:tc>
      </w:tr>
      <w:tr w14:paraId="217DB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19E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791D5F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晏坝镇</w:t>
            </w:r>
          </w:p>
        </w:tc>
        <w:tc>
          <w:tcPr>
            <w:tcW w:w="3985" w:type="dxa"/>
            <w:tcBorders>
              <w:top w:val="single" w:color="000000" w:sz="4" w:space="0"/>
              <w:left w:val="single" w:color="000000" w:sz="4" w:space="0"/>
              <w:bottom w:val="nil"/>
              <w:right w:val="single" w:color="000000" w:sz="4" w:space="0"/>
            </w:tcBorders>
            <w:shd w:val="clear" w:color="auto" w:fill="auto"/>
            <w:vAlign w:val="center"/>
          </w:tcPr>
          <w:p w14:paraId="7BF6EEF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汉滨区晏坝镇晏坝小学</w:t>
            </w:r>
          </w:p>
        </w:tc>
        <w:tc>
          <w:tcPr>
            <w:tcW w:w="1236" w:type="dxa"/>
            <w:tcBorders>
              <w:top w:val="single" w:color="000000" w:sz="4" w:space="0"/>
              <w:left w:val="single" w:color="000000" w:sz="4" w:space="0"/>
              <w:bottom w:val="nil"/>
              <w:right w:val="single" w:color="000000" w:sz="4" w:space="0"/>
            </w:tcBorders>
            <w:shd w:val="clear" w:color="auto" w:fill="auto"/>
            <w:vAlign w:val="center"/>
          </w:tcPr>
          <w:p w14:paraId="66686E3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F6C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191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1FA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143</w:t>
            </w:r>
          </w:p>
        </w:tc>
      </w:tr>
      <w:tr w14:paraId="06102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B33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836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晏坝镇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1B77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汉滨区晏坝镇幼儿园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D07D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77F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14C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739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r>
      <w:tr w14:paraId="2B882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35C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741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晏坝镇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3228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汉滨区晏坝镇田坝幼儿园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924A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449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5EE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611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r>
      <w:tr w14:paraId="61389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1A2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8B1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888D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汉滨区瀛湖镇玉岚九年制学校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3B82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5F6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CE8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DAF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w:t>
            </w:r>
          </w:p>
        </w:tc>
      </w:tr>
      <w:tr w14:paraId="66B24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42F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398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BC68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66AC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1AA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D34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913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459</w:t>
            </w:r>
          </w:p>
        </w:tc>
      </w:tr>
      <w:tr w14:paraId="71F54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C56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863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2D76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汉滨区瀛湖小学剑锋教学点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7209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DA2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FA0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F05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5AD60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249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41E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16F3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汉滨区瀛湖小学学房教学点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0C13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D7A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34A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833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547C0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E2C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606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8439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8201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591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2E4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73B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r>
      <w:tr w14:paraId="61B2E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CFF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146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476E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汉滨区瀛湖镇武进希望小学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6C02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721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9F1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444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r>
      <w:tr w14:paraId="2A997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BC7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C0F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39A1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汉滨区瀛湖小学天柱教学点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51B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73B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57C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25D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2A837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B88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3FB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E7AC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汉滨区瀛湖镇南溪小学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B518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F88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258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C39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r>
      <w:tr w14:paraId="2FA2E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1DB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C7B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F2C8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汉滨区瀛湖镇瀛湖小学学房教学点附设幼儿园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6E21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590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7D1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1E4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0F55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347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218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56EE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汉滨区瀛湖镇瀛湖小学天柱教学点附设幼儿园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CCF1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3D0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6C5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A52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50D22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EF3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101</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F88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1F68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汉滨区瀛湖镇武进希望小学附设幼儿园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E193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652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260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287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72024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06E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447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F5DF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汉滨区瀛湖镇南溪小学附设幼儿园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C91F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665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4B2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9EA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59A3F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322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91D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A5F3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汉滨区瀛湖镇玉岚九年制学校附设幼儿园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96C1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7D0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244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C1B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r>
      <w:tr w14:paraId="220AE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665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36A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F873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汉滨区张滩镇汪岭小学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3CDD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149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92B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598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6DC06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C5C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FDE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C146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汉滨区张滩镇余湾小学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0339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EBC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1BB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3D3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56760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B6F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DB8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33BA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汉滨区张滩镇公正小学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1838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11E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D65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CEA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67062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167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B2D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BF23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汉滨区张滩镇奠安小学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B3F4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19E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54A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9B3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2221C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703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85A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36EB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汉滨区张滩镇奠安小学附设幼儿园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D94A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088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B65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794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43CEE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7C4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045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50F5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汉滨区张滩镇邹坡教学点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426F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8D7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36D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673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408B3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ED2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8E0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FE96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汉滨区张滩镇徐庄教学点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F0F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64E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C20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B94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13332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19B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C89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3D48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B2C1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BD8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DE9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D74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798</w:t>
            </w:r>
          </w:p>
        </w:tc>
      </w:tr>
      <w:tr w14:paraId="6C3A2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369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A1C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57CD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C27D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E7B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9F3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187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r>
      <w:tr w14:paraId="24DDF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C1B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D70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AEB5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汉滨区张滩镇中心社区幼儿园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3ACE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EB0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AB2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9F8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640C0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593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A19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市直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344E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安康市阳光学校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8E15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A2A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2D0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C99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226</w:t>
            </w:r>
          </w:p>
        </w:tc>
      </w:tr>
      <w:tr w14:paraId="32873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790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7DA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市直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B79D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安康市幼儿园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EEE4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E69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566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C9C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476</w:t>
            </w:r>
          </w:p>
        </w:tc>
      </w:tr>
      <w:tr w14:paraId="43E9F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30F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074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市直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1A45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安康市第二幼儿园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0396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215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932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691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380</w:t>
            </w:r>
          </w:p>
        </w:tc>
      </w:tr>
    </w:tbl>
    <w:p w14:paraId="7E9B9094">
      <w:pPr>
        <w:pStyle w:val="11"/>
        <w:rPr>
          <w:color w:val="auto"/>
        </w:rPr>
      </w:pPr>
    </w:p>
    <w:p w14:paraId="5372CB9B">
      <w:pPr>
        <w:pStyle w:val="11"/>
        <w:rPr>
          <w:color w:val="auto"/>
        </w:rPr>
      </w:pPr>
    </w:p>
    <w:p w14:paraId="31CA15C6">
      <w:pPr>
        <w:pStyle w:val="11"/>
        <w:rPr>
          <w:b/>
          <w:bCs/>
          <w:color w:val="auto"/>
          <w:sz w:val="44"/>
          <w:szCs w:val="32"/>
        </w:rPr>
        <w:sectPr>
          <w:headerReference r:id="rId11" w:type="default"/>
          <w:pgSz w:w="11910" w:h="16840"/>
          <w:pgMar w:top="1060" w:right="1020" w:bottom="1200" w:left="1040" w:header="872" w:footer="1005" w:gutter="0"/>
          <w:pgNumType w:fmt="decimal"/>
          <w:cols w:space="720" w:num="1"/>
        </w:sectPr>
      </w:pPr>
      <w:r>
        <w:rPr>
          <w:rFonts w:hint="eastAsia" w:ascii="宋体" w:hAnsi="宋体" w:eastAsia="宋体" w:cs="宋体"/>
          <w:b/>
          <w:bCs/>
          <w:i w:val="0"/>
          <w:iCs w:val="0"/>
          <w:color w:val="auto"/>
          <w:kern w:val="0"/>
          <w:sz w:val="32"/>
          <w:szCs w:val="32"/>
          <w:u w:val="none"/>
          <w:lang w:val="en-US" w:eastAsia="zh-CN" w:bidi="ar"/>
        </w:rPr>
        <w:t>注：1.表中学校及学生人数仅供供应商投标时参考。</w:t>
      </w:r>
      <w:r>
        <w:rPr>
          <w:rFonts w:hint="eastAsia" w:ascii="宋体" w:hAnsi="宋体" w:eastAsia="宋体" w:cs="宋体"/>
          <w:b/>
          <w:bCs/>
          <w:i w:val="0"/>
          <w:iCs w:val="0"/>
          <w:color w:val="auto"/>
          <w:kern w:val="0"/>
          <w:sz w:val="32"/>
          <w:szCs w:val="32"/>
          <w:u w:val="none"/>
          <w:lang w:val="en-US" w:eastAsia="zh-CN" w:bidi="ar"/>
        </w:rPr>
        <w:br w:type="textWrapping"/>
      </w:r>
      <w:r>
        <w:rPr>
          <w:rFonts w:hint="eastAsia" w:ascii="宋体" w:hAnsi="宋体" w:eastAsia="宋体" w:cs="宋体"/>
          <w:b/>
          <w:bCs/>
          <w:i w:val="0"/>
          <w:iCs w:val="0"/>
          <w:color w:val="auto"/>
          <w:kern w:val="0"/>
          <w:sz w:val="32"/>
          <w:szCs w:val="32"/>
          <w:u w:val="none"/>
          <w:lang w:val="en-US" w:eastAsia="zh-CN" w:bidi="ar"/>
        </w:rPr>
        <w:t xml:space="preserve">    2.秋季学期因学校整合、生源变动、供餐模式调整，配送覆盖学校数量与就餐学生规模将同步发生变动，相关数据需重新测算核定，本项目不锁定固定采购规模。</w:t>
      </w:r>
      <w:r>
        <w:rPr>
          <w:rFonts w:hint="eastAsia" w:ascii="宋体" w:hAnsi="宋体" w:eastAsia="宋体" w:cs="宋体"/>
          <w:b/>
          <w:bCs/>
          <w:i w:val="0"/>
          <w:iCs w:val="0"/>
          <w:color w:val="auto"/>
          <w:kern w:val="0"/>
          <w:sz w:val="32"/>
          <w:szCs w:val="32"/>
          <w:u w:val="none"/>
          <w:lang w:val="en-US" w:eastAsia="zh-CN" w:bidi="ar"/>
        </w:rPr>
        <w:br w:type="textWrapping"/>
      </w:r>
      <w:r>
        <w:rPr>
          <w:rFonts w:hint="eastAsia" w:ascii="宋体" w:hAnsi="宋体" w:eastAsia="宋体" w:cs="宋体"/>
          <w:b/>
          <w:bCs/>
          <w:i w:val="0"/>
          <w:iCs w:val="0"/>
          <w:color w:val="auto"/>
          <w:kern w:val="0"/>
          <w:sz w:val="32"/>
          <w:szCs w:val="32"/>
          <w:u w:val="none"/>
          <w:lang w:val="en-US" w:eastAsia="zh-CN" w:bidi="ar"/>
        </w:rPr>
        <w:t xml:space="preserve">    3.供应商自行对各配送学校位置及路程进行实地考察，并考虑到投标报价中。</w:t>
      </w:r>
    </w:p>
    <w:p w14:paraId="098C4F35">
      <w:pPr>
        <w:pStyle w:val="5"/>
        <w:pageBreakBefore w:val="0"/>
        <w:numPr>
          <w:ilvl w:val="0"/>
          <w:numId w:val="0"/>
        </w:numPr>
        <w:topLinePunct w:val="0"/>
        <w:bidi w:val="0"/>
        <w:spacing w:line="500" w:lineRule="exact"/>
        <w:ind w:left="0" w:leftChars="0" w:right="0" w:rightChars="0" w:firstLine="562" w:firstLineChars="200"/>
        <w:jc w:val="left"/>
        <w:rPr>
          <w:color w:val="auto"/>
        </w:rPr>
      </w:pPr>
      <w:r>
        <w:rPr>
          <w:rFonts w:hint="eastAsia"/>
          <w:color w:val="auto"/>
          <w:lang w:val="en-US" w:eastAsia="zh-CN"/>
        </w:rPr>
        <w:t>五、</w:t>
      </w:r>
      <w:r>
        <w:rPr>
          <w:color w:val="auto"/>
        </w:rPr>
        <w:t>配送要求：</w:t>
      </w:r>
    </w:p>
    <w:p w14:paraId="55639A1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w:t>
      </w:r>
      <w:r>
        <w:rPr>
          <w:rFonts w:hint="eastAsia"/>
          <w:color w:val="auto"/>
          <w:sz w:val="24"/>
          <w:szCs w:val="24"/>
          <w:lang w:val="en-US" w:eastAsia="zh-CN"/>
        </w:rPr>
        <w:t>.</w:t>
      </w:r>
      <w:r>
        <w:rPr>
          <w:rFonts w:hint="eastAsia"/>
          <w:color w:val="auto"/>
          <w:sz w:val="24"/>
          <w:szCs w:val="24"/>
          <w:lang w:val="en-US"/>
        </w:rPr>
        <w:t>运输</w:t>
      </w:r>
    </w:p>
    <w:p w14:paraId="5A78B67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（1）必须用专用</w:t>
      </w:r>
      <w:r>
        <w:rPr>
          <w:rFonts w:hint="eastAsia"/>
          <w:color w:val="auto"/>
          <w:sz w:val="24"/>
          <w:szCs w:val="24"/>
          <w:lang w:val="en-US" w:eastAsia="zh-CN"/>
        </w:rPr>
        <w:t>厢式</w:t>
      </w:r>
      <w:r>
        <w:rPr>
          <w:rFonts w:hint="eastAsia"/>
          <w:color w:val="auto"/>
          <w:sz w:val="24"/>
          <w:szCs w:val="24"/>
          <w:lang w:val="en-US"/>
        </w:rPr>
        <w:t>货车运输，符合卫生要求</w:t>
      </w:r>
      <w:r>
        <w:rPr>
          <w:rFonts w:hint="eastAsia"/>
          <w:color w:val="auto"/>
          <w:sz w:val="24"/>
          <w:szCs w:val="24"/>
          <w:lang w:val="en-US" w:eastAsia="zh-CN"/>
        </w:rPr>
        <w:t>，</w:t>
      </w:r>
      <w:r>
        <w:rPr>
          <w:rFonts w:hint="eastAsia"/>
          <w:color w:val="auto"/>
          <w:sz w:val="24"/>
          <w:szCs w:val="24"/>
          <w:lang w:val="en-US"/>
        </w:rPr>
        <w:t>具有防雨防尘设施。</w:t>
      </w:r>
    </w:p>
    <w:p w14:paraId="11E4AE1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（2）运输作业应防止污染</w:t>
      </w:r>
      <w:r>
        <w:rPr>
          <w:rFonts w:hint="eastAsia"/>
          <w:color w:val="auto"/>
          <w:sz w:val="24"/>
          <w:szCs w:val="24"/>
          <w:lang w:val="en-US" w:eastAsia="zh-CN"/>
        </w:rPr>
        <w:t>，</w:t>
      </w:r>
      <w:r>
        <w:rPr>
          <w:rFonts w:hint="eastAsia"/>
          <w:color w:val="auto"/>
          <w:sz w:val="24"/>
          <w:szCs w:val="24"/>
          <w:lang w:val="en-US"/>
        </w:rPr>
        <w:t>不得与非食品同时混放，不得与有毒、有害物品同时装运。</w:t>
      </w:r>
    </w:p>
    <w:p w14:paraId="1E985B7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（3）建立卫生</w:t>
      </w:r>
      <w:r>
        <w:rPr>
          <w:rFonts w:hint="eastAsia"/>
          <w:color w:val="auto"/>
          <w:sz w:val="24"/>
          <w:szCs w:val="24"/>
          <w:lang w:val="en-US" w:eastAsia="zh-CN"/>
        </w:rPr>
        <w:t>安全</w:t>
      </w:r>
      <w:r>
        <w:rPr>
          <w:rFonts w:hint="eastAsia"/>
          <w:color w:val="auto"/>
          <w:sz w:val="24"/>
          <w:szCs w:val="24"/>
          <w:lang w:val="en-US"/>
        </w:rPr>
        <w:t>制度</w:t>
      </w:r>
      <w:r>
        <w:rPr>
          <w:rFonts w:hint="eastAsia"/>
          <w:color w:val="auto"/>
          <w:sz w:val="24"/>
          <w:szCs w:val="24"/>
          <w:lang w:val="en-US" w:eastAsia="zh-CN"/>
        </w:rPr>
        <w:t>，</w:t>
      </w:r>
      <w:r>
        <w:rPr>
          <w:rFonts w:hint="eastAsia"/>
          <w:color w:val="auto"/>
          <w:sz w:val="24"/>
          <w:szCs w:val="24"/>
          <w:lang w:val="en-US"/>
        </w:rPr>
        <w:t>定期清洗、消毒</w:t>
      </w:r>
      <w:r>
        <w:rPr>
          <w:rFonts w:hint="eastAsia"/>
          <w:color w:val="auto"/>
          <w:sz w:val="24"/>
          <w:szCs w:val="24"/>
          <w:lang w:val="en-US" w:eastAsia="zh-CN"/>
        </w:rPr>
        <w:t>运输设备</w:t>
      </w:r>
      <w:r>
        <w:rPr>
          <w:rFonts w:hint="eastAsia"/>
          <w:color w:val="auto"/>
          <w:sz w:val="24"/>
          <w:szCs w:val="24"/>
          <w:lang w:val="en-US"/>
        </w:rPr>
        <w:t>、保持洁净卫生。</w:t>
      </w:r>
    </w:p>
    <w:p w14:paraId="404625D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w:t>
      </w:r>
      <w:r>
        <w:rPr>
          <w:rFonts w:hint="eastAsia"/>
          <w:color w:val="auto"/>
          <w:sz w:val="24"/>
          <w:szCs w:val="24"/>
          <w:lang w:val="en-US" w:eastAsia="zh-CN"/>
        </w:rPr>
        <w:t>.</w:t>
      </w:r>
      <w:r>
        <w:rPr>
          <w:rFonts w:hint="eastAsia"/>
          <w:color w:val="auto"/>
          <w:sz w:val="24"/>
          <w:szCs w:val="24"/>
          <w:lang w:val="en-US"/>
        </w:rPr>
        <w:t>贮存</w:t>
      </w:r>
    </w:p>
    <w:p w14:paraId="6B1452F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（1）设置与配送食材相适应的专用库房。</w:t>
      </w:r>
    </w:p>
    <w:p w14:paraId="07E1800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（2）库房位于交通便利、无闲杂人员流动的场所；</w:t>
      </w:r>
    </w:p>
    <w:p w14:paraId="3197FE0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（3）仓库必须是独立的（食品材料存储专用库），库房面积、货柜架要满足存储需求；</w:t>
      </w:r>
    </w:p>
    <w:p w14:paraId="22EEF1C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（4）仓库应符合相关食材所要求的温、湿度条件。</w:t>
      </w:r>
    </w:p>
    <w:p w14:paraId="2FE59D00">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（5）库房“七防”设施（防火、防盗、防潮、防投毒、防鼠、防蝇、防尘）齐全。</w:t>
      </w:r>
    </w:p>
    <w:p w14:paraId="56FA806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（6）仓库应地面平整</w:t>
      </w:r>
      <w:r>
        <w:rPr>
          <w:rFonts w:hint="eastAsia"/>
          <w:color w:val="auto"/>
          <w:sz w:val="24"/>
          <w:szCs w:val="24"/>
          <w:lang w:val="en-US" w:eastAsia="zh-CN"/>
        </w:rPr>
        <w:t>，</w:t>
      </w:r>
      <w:r>
        <w:rPr>
          <w:rFonts w:hint="eastAsia"/>
          <w:color w:val="auto"/>
          <w:sz w:val="24"/>
          <w:szCs w:val="24"/>
          <w:lang w:val="en-US"/>
        </w:rPr>
        <w:t>通风换气。</w:t>
      </w:r>
    </w:p>
    <w:p w14:paraId="5B9D554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（7）库房要有专人管理，制度完备，职责明确；要建立相关工作台账，有准确的入库、出库明细；</w:t>
      </w:r>
    </w:p>
    <w:p w14:paraId="2652AA3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（8）各种原材料应按品种分类分批贮存</w:t>
      </w:r>
      <w:r>
        <w:rPr>
          <w:rFonts w:hint="eastAsia"/>
          <w:color w:val="auto"/>
          <w:sz w:val="24"/>
          <w:szCs w:val="24"/>
          <w:lang w:val="en-US" w:eastAsia="zh-CN"/>
        </w:rPr>
        <w:t>，</w:t>
      </w:r>
      <w:r>
        <w:rPr>
          <w:rFonts w:hint="eastAsia"/>
          <w:color w:val="auto"/>
          <w:sz w:val="24"/>
          <w:szCs w:val="24"/>
          <w:lang w:val="en-US"/>
        </w:rPr>
        <w:t>每批原材料均有明显标志</w:t>
      </w:r>
      <w:r>
        <w:rPr>
          <w:rFonts w:hint="eastAsia"/>
          <w:color w:val="auto"/>
          <w:sz w:val="24"/>
          <w:szCs w:val="24"/>
          <w:lang w:val="en-US" w:eastAsia="zh-CN"/>
        </w:rPr>
        <w:t>，</w:t>
      </w:r>
      <w:r>
        <w:rPr>
          <w:rFonts w:hint="eastAsia"/>
          <w:color w:val="auto"/>
          <w:sz w:val="24"/>
          <w:szCs w:val="24"/>
          <w:lang w:val="en-US"/>
        </w:rPr>
        <w:t>同一库内不得贮存相互影响风味的原材料。</w:t>
      </w:r>
    </w:p>
    <w:p w14:paraId="1AB9012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（9）原材料应离地、离墙并与屋顶保持一定距离</w:t>
      </w:r>
      <w:r>
        <w:rPr>
          <w:rFonts w:hint="eastAsia"/>
          <w:color w:val="auto"/>
          <w:sz w:val="24"/>
          <w:szCs w:val="24"/>
          <w:lang w:val="en-US" w:eastAsia="zh-CN"/>
        </w:rPr>
        <w:t>，</w:t>
      </w:r>
      <w:r>
        <w:rPr>
          <w:rFonts w:hint="eastAsia"/>
          <w:color w:val="auto"/>
          <w:sz w:val="24"/>
          <w:szCs w:val="24"/>
          <w:lang w:val="en-US"/>
        </w:rPr>
        <w:t>垛与垛之间也应有适当间隔。</w:t>
      </w:r>
    </w:p>
    <w:p w14:paraId="1AAD179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（10）先进先出</w:t>
      </w:r>
      <w:r>
        <w:rPr>
          <w:rFonts w:hint="eastAsia"/>
          <w:color w:val="auto"/>
          <w:sz w:val="24"/>
          <w:szCs w:val="24"/>
          <w:lang w:val="en-US" w:eastAsia="zh-CN"/>
        </w:rPr>
        <w:t>，</w:t>
      </w:r>
      <w:r>
        <w:rPr>
          <w:rFonts w:hint="eastAsia"/>
          <w:color w:val="auto"/>
          <w:sz w:val="24"/>
          <w:szCs w:val="24"/>
          <w:lang w:val="en-US"/>
        </w:rPr>
        <w:t>及时剔出不符合质量和卫生标准的原料</w:t>
      </w:r>
      <w:r>
        <w:rPr>
          <w:rFonts w:hint="eastAsia"/>
          <w:color w:val="auto"/>
          <w:sz w:val="24"/>
          <w:szCs w:val="24"/>
          <w:lang w:val="en-US" w:eastAsia="zh-CN"/>
        </w:rPr>
        <w:t>，</w:t>
      </w:r>
      <w:r>
        <w:rPr>
          <w:rFonts w:hint="eastAsia"/>
          <w:color w:val="auto"/>
          <w:sz w:val="24"/>
          <w:szCs w:val="24"/>
          <w:lang w:val="en-US"/>
        </w:rPr>
        <w:t>防止污染。</w:t>
      </w:r>
    </w:p>
    <w:p w14:paraId="10CCC66E">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（11）库房内外要按相关规定安装电子监控并实时监管。</w:t>
      </w:r>
    </w:p>
    <w:p w14:paraId="6175DADA">
      <w:pPr>
        <w:pageBreakBefore w:val="0"/>
        <w:topLinePunct w:val="0"/>
        <w:bidi w:val="0"/>
        <w:spacing w:line="500" w:lineRule="exact"/>
        <w:ind w:left="0" w:leftChars="0" w:right="0" w:rightChars="0" w:firstLine="480" w:firstLineChars="200"/>
        <w:rPr>
          <w:rFonts w:hint="default" w:eastAsia="宋体"/>
          <w:color w:val="auto"/>
          <w:sz w:val="24"/>
          <w:szCs w:val="24"/>
          <w:lang w:val="en-US" w:eastAsia="zh-CN"/>
        </w:rPr>
      </w:pPr>
      <w:r>
        <w:rPr>
          <w:rFonts w:hint="eastAsia"/>
          <w:color w:val="auto"/>
          <w:sz w:val="24"/>
          <w:szCs w:val="24"/>
          <w:lang w:val="en-US" w:eastAsia="zh-CN"/>
        </w:rPr>
        <w:t>（12）根据每学期开学时间及学校食材采购计划，按时配送到校。</w:t>
      </w:r>
    </w:p>
    <w:p w14:paraId="55EA20B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w:t>
      </w:r>
      <w:r>
        <w:rPr>
          <w:rFonts w:hint="eastAsia"/>
          <w:color w:val="auto"/>
          <w:sz w:val="24"/>
          <w:szCs w:val="24"/>
          <w:lang w:val="en-US" w:eastAsia="zh-CN"/>
        </w:rPr>
        <w:t>.安全</w:t>
      </w:r>
      <w:r>
        <w:rPr>
          <w:rFonts w:hint="eastAsia"/>
          <w:color w:val="auto"/>
          <w:sz w:val="24"/>
          <w:szCs w:val="24"/>
          <w:lang w:val="en-US"/>
        </w:rPr>
        <w:t>管理</w:t>
      </w:r>
    </w:p>
    <w:p w14:paraId="3050AF5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3.1机构</w:t>
      </w:r>
    </w:p>
    <w:p w14:paraId="0AD0CBEF">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（1）企业要制定和完善本单位的各项卫生管理制度和规划；</w:t>
      </w:r>
    </w:p>
    <w:p w14:paraId="779D0B1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（2）管理机构应配备经专业培训的专职或兼职的食品</w:t>
      </w:r>
      <w:r>
        <w:rPr>
          <w:rFonts w:hint="eastAsia"/>
          <w:color w:val="auto"/>
          <w:sz w:val="24"/>
          <w:szCs w:val="24"/>
          <w:lang w:val="en-US" w:eastAsia="zh-CN"/>
        </w:rPr>
        <w:t>安全</w:t>
      </w:r>
      <w:r>
        <w:rPr>
          <w:rFonts w:hint="eastAsia"/>
          <w:color w:val="auto"/>
          <w:sz w:val="24"/>
          <w:szCs w:val="24"/>
          <w:lang w:val="en-US"/>
        </w:rPr>
        <w:t>管理人员。</w:t>
      </w:r>
    </w:p>
    <w:p w14:paraId="7017937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3.2职责</w:t>
      </w:r>
    </w:p>
    <w:p w14:paraId="2AAA818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（1）宣传和贯彻食品</w:t>
      </w:r>
      <w:r>
        <w:rPr>
          <w:rFonts w:hint="eastAsia"/>
          <w:color w:val="auto"/>
          <w:sz w:val="24"/>
          <w:szCs w:val="24"/>
          <w:lang w:val="en-US" w:eastAsia="zh-CN"/>
        </w:rPr>
        <w:t>安全</w:t>
      </w:r>
      <w:r>
        <w:rPr>
          <w:rFonts w:hint="eastAsia"/>
          <w:color w:val="auto"/>
          <w:sz w:val="24"/>
          <w:szCs w:val="24"/>
          <w:lang w:val="en-US"/>
        </w:rPr>
        <w:t>法规和有关规章制度</w:t>
      </w:r>
      <w:r>
        <w:rPr>
          <w:rFonts w:hint="eastAsia"/>
          <w:color w:val="auto"/>
          <w:sz w:val="24"/>
          <w:szCs w:val="24"/>
          <w:lang w:val="en-US" w:eastAsia="zh-CN"/>
        </w:rPr>
        <w:t>，</w:t>
      </w:r>
      <w:r>
        <w:rPr>
          <w:rFonts w:hint="eastAsia"/>
          <w:color w:val="auto"/>
          <w:sz w:val="24"/>
          <w:szCs w:val="24"/>
          <w:lang w:val="en-US"/>
        </w:rPr>
        <w:t>监督、检查在本单位的执行情况</w:t>
      </w:r>
      <w:r>
        <w:rPr>
          <w:rFonts w:hint="eastAsia"/>
          <w:color w:val="auto"/>
          <w:sz w:val="24"/>
          <w:szCs w:val="24"/>
          <w:lang w:val="en-US" w:eastAsia="zh-CN"/>
        </w:rPr>
        <w:t>，</w:t>
      </w:r>
      <w:r>
        <w:rPr>
          <w:rFonts w:hint="eastAsia"/>
          <w:color w:val="auto"/>
          <w:sz w:val="24"/>
          <w:szCs w:val="24"/>
          <w:lang w:val="en-US"/>
        </w:rPr>
        <w:t xml:space="preserve"> 定期向食品</w:t>
      </w:r>
      <w:r>
        <w:rPr>
          <w:rFonts w:hint="eastAsia"/>
          <w:color w:val="auto"/>
          <w:sz w:val="24"/>
          <w:szCs w:val="24"/>
          <w:lang w:val="en-US" w:eastAsia="zh-CN"/>
        </w:rPr>
        <w:t>安全</w:t>
      </w:r>
      <w:r>
        <w:rPr>
          <w:rFonts w:hint="eastAsia"/>
          <w:color w:val="auto"/>
          <w:sz w:val="24"/>
          <w:szCs w:val="24"/>
          <w:lang w:val="en-US"/>
        </w:rPr>
        <w:t>监督部门报告。</w:t>
      </w:r>
    </w:p>
    <w:p w14:paraId="58ED876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（2）制定和修改本单位的各项卫生管理制度和规划。</w:t>
      </w:r>
    </w:p>
    <w:p w14:paraId="243A51A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（3）组织卫生宣传教育工作</w:t>
      </w:r>
      <w:r>
        <w:rPr>
          <w:rFonts w:hint="eastAsia"/>
          <w:color w:val="auto"/>
          <w:sz w:val="24"/>
          <w:szCs w:val="24"/>
          <w:lang w:val="en-US" w:eastAsia="zh-CN"/>
        </w:rPr>
        <w:t>，</w:t>
      </w:r>
      <w:r>
        <w:rPr>
          <w:rFonts w:hint="eastAsia"/>
          <w:color w:val="auto"/>
          <w:sz w:val="24"/>
          <w:szCs w:val="24"/>
          <w:lang w:val="en-US"/>
        </w:rPr>
        <w:t>培训食品从业人员。</w:t>
      </w:r>
    </w:p>
    <w:p w14:paraId="6ABAE2F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（4）定期进行本单位从业人员的健康检查</w:t>
      </w:r>
      <w:r>
        <w:rPr>
          <w:rFonts w:hint="eastAsia"/>
          <w:color w:val="auto"/>
          <w:sz w:val="24"/>
          <w:szCs w:val="24"/>
          <w:lang w:val="en-US" w:eastAsia="zh-CN"/>
        </w:rPr>
        <w:t>，</w:t>
      </w:r>
      <w:r>
        <w:rPr>
          <w:rFonts w:hint="eastAsia"/>
          <w:color w:val="auto"/>
          <w:sz w:val="24"/>
          <w:szCs w:val="24"/>
          <w:lang w:val="en-US"/>
        </w:rPr>
        <w:t>并</w:t>
      </w:r>
      <w:r>
        <w:rPr>
          <w:rFonts w:hint="eastAsia"/>
          <w:color w:val="auto"/>
          <w:sz w:val="24"/>
          <w:szCs w:val="24"/>
          <w:lang w:val="en-US" w:eastAsia="zh-CN"/>
        </w:rPr>
        <w:t>做好</w:t>
      </w:r>
      <w:r>
        <w:rPr>
          <w:rFonts w:hint="eastAsia"/>
          <w:color w:val="auto"/>
          <w:sz w:val="24"/>
          <w:szCs w:val="24"/>
          <w:lang w:val="en-US"/>
        </w:rPr>
        <w:t>善后处理工作。</w:t>
      </w:r>
    </w:p>
    <w:p w14:paraId="6B525C3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（5）积极开展卫生清洁，建立完善卫生消毒、卫生检查工作台账。</w:t>
      </w:r>
    </w:p>
    <w:p w14:paraId="7522CF35">
      <w:pPr>
        <w:pStyle w:val="5"/>
        <w:pageBreakBefore w:val="0"/>
        <w:numPr>
          <w:ilvl w:val="0"/>
          <w:numId w:val="0"/>
        </w:numPr>
        <w:topLinePunct w:val="0"/>
        <w:bidi w:val="0"/>
        <w:spacing w:line="500" w:lineRule="exact"/>
        <w:ind w:leftChars="200" w:right="0" w:rightChars="0"/>
        <w:jc w:val="left"/>
        <w:rPr>
          <w:color w:val="auto"/>
        </w:rPr>
      </w:pPr>
      <w:r>
        <w:rPr>
          <w:rFonts w:hint="eastAsia"/>
          <w:color w:val="auto"/>
          <w:lang w:val="en-US" w:eastAsia="zh-CN"/>
        </w:rPr>
        <w:t>六、</w:t>
      </w:r>
      <w:r>
        <w:rPr>
          <w:rFonts w:hint="eastAsia"/>
          <w:color w:val="auto"/>
        </w:rPr>
        <w:t>服务要求：</w:t>
      </w:r>
    </w:p>
    <w:p w14:paraId="62FB37C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w:t>
      </w:r>
      <w:r>
        <w:rPr>
          <w:rFonts w:hint="eastAsia"/>
          <w:color w:val="auto"/>
          <w:sz w:val="24"/>
          <w:szCs w:val="24"/>
          <w:lang w:val="en-US" w:eastAsia="zh-CN"/>
        </w:rPr>
        <w:t>.</w:t>
      </w:r>
      <w:r>
        <w:rPr>
          <w:rFonts w:hint="eastAsia"/>
          <w:color w:val="auto"/>
          <w:sz w:val="24"/>
          <w:szCs w:val="24"/>
          <w:lang w:val="en-US"/>
        </w:rPr>
        <w:t>中标人要定期开展师生食品</w:t>
      </w:r>
      <w:r>
        <w:rPr>
          <w:rFonts w:hint="eastAsia"/>
          <w:color w:val="auto"/>
          <w:sz w:val="24"/>
          <w:szCs w:val="24"/>
          <w:lang w:val="en-US" w:eastAsia="zh-CN"/>
        </w:rPr>
        <w:t>安全</w:t>
      </w:r>
      <w:r>
        <w:rPr>
          <w:rFonts w:hint="eastAsia"/>
          <w:color w:val="auto"/>
          <w:sz w:val="24"/>
          <w:szCs w:val="24"/>
          <w:lang w:val="en-US"/>
        </w:rPr>
        <w:t>知识宣传、培训；配送时要对学校食品储藏间的管理予以监督指导，并及时报告</w:t>
      </w:r>
      <w:r>
        <w:rPr>
          <w:rFonts w:hint="eastAsia"/>
          <w:color w:val="auto"/>
          <w:sz w:val="24"/>
          <w:szCs w:val="24"/>
          <w:lang w:val="en-US" w:eastAsia="zh-CN"/>
        </w:rPr>
        <w:t>汉滨区教育体育局</w:t>
      </w:r>
      <w:r>
        <w:rPr>
          <w:rFonts w:hint="eastAsia"/>
          <w:color w:val="auto"/>
          <w:sz w:val="24"/>
          <w:szCs w:val="24"/>
          <w:lang w:val="en-US"/>
        </w:rPr>
        <w:t>；中标人需保持与学校的信息畅通，建立定期与各学校进行回访、沟通的机制并有售后服务专用电话号码，并保证该号码全天畅通。</w:t>
      </w:r>
    </w:p>
    <w:p w14:paraId="4D01771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w:t>
      </w:r>
      <w:r>
        <w:rPr>
          <w:rFonts w:hint="eastAsia"/>
          <w:color w:val="auto"/>
          <w:sz w:val="24"/>
          <w:szCs w:val="24"/>
          <w:lang w:val="en-US" w:eastAsia="zh-CN"/>
        </w:rPr>
        <w:t>.</w:t>
      </w:r>
      <w:r>
        <w:rPr>
          <w:rFonts w:hint="eastAsia"/>
          <w:color w:val="auto"/>
          <w:sz w:val="24"/>
          <w:szCs w:val="24"/>
          <w:lang w:val="en-US"/>
        </w:rPr>
        <w:t>做到专车专用，要有专用的、固定的车辆配送相关食材入校，要求车辆定期清洗和消毒，统一制作车体形象，配送人员统一服装并</w:t>
      </w:r>
      <w:r>
        <w:rPr>
          <w:rFonts w:hint="eastAsia"/>
          <w:color w:val="auto"/>
          <w:sz w:val="24"/>
          <w:szCs w:val="24"/>
          <w:lang w:val="en-US" w:eastAsia="zh-CN"/>
        </w:rPr>
        <w:t>佩戴</w:t>
      </w:r>
      <w:r>
        <w:rPr>
          <w:rFonts w:hint="eastAsia"/>
          <w:color w:val="auto"/>
          <w:sz w:val="24"/>
          <w:szCs w:val="24"/>
          <w:lang w:val="en-US"/>
        </w:rPr>
        <w:t>胸卡。</w:t>
      </w:r>
    </w:p>
    <w:p w14:paraId="2582B6B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w:t>
      </w:r>
      <w:r>
        <w:rPr>
          <w:rFonts w:hint="eastAsia"/>
          <w:color w:val="auto"/>
          <w:sz w:val="24"/>
          <w:szCs w:val="24"/>
          <w:lang w:val="en-US" w:eastAsia="zh-CN"/>
        </w:rPr>
        <w:t>.</w:t>
      </w:r>
      <w:r>
        <w:rPr>
          <w:rFonts w:hint="eastAsia"/>
          <w:color w:val="auto"/>
          <w:sz w:val="24"/>
          <w:szCs w:val="24"/>
          <w:lang w:val="en-US"/>
        </w:rPr>
        <w:t>中标人必须将供应的产品定时、定量送至所有指定学校。“定时”指产品必须根据配送要求按时送达。</w:t>
      </w:r>
    </w:p>
    <w:p w14:paraId="6E4993D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“定量”指中标人必须根据各配送学校人数将相应数量的产品配送到各学校。</w:t>
      </w:r>
    </w:p>
    <w:p w14:paraId="2886697F">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w:t>
      </w:r>
      <w:r>
        <w:rPr>
          <w:rFonts w:hint="eastAsia"/>
          <w:color w:val="auto"/>
          <w:sz w:val="24"/>
          <w:szCs w:val="24"/>
          <w:lang w:val="en-US" w:eastAsia="zh-CN"/>
        </w:rPr>
        <w:t>.</w:t>
      </w:r>
      <w:r>
        <w:rPr>
          <w:rFonts w:hint="eastAsia"/>
          <w:color w:val="auto"/>
          <w:sz w:val="24"/>
          <w:szCs w:val="24"/>
          <w:lang w:val="en-US"/>
        </w:rPr>
        <w:t>人员管理。</w:t>
      </w:r>
    </w:p>
    <w:p w14:paraId="3D22397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所有从事与食品材料接触的从业人员必须持有健康证；</w:t>
      </w:r>
    </w:p>
    <w:p w14:paraId="52D6216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掌握相应相关食品安全知识；心理健康，无不良行为记录，遵纪守法。</w:t>
      </w:r>
    </w:p>
    <w:p w14:paraId="7B33C62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聘用的司机驾龄必须在三年以上、有一定驾驶经验，配送车上必须有一位责任心强的工作人员负责押运，运送过程规范；配送人员要热情服务，细致工作，与学校交接时手续完备，数量准确；</w:t>
      </w:r>
    </w:p>
    <w:p w14:paraId="17DDD39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w:t>
      </w:r>
      <w:r>
        <w:rPr>
          <w:rFonts w:hint="eastAsia"/>
          <w:color w:val="auto"/>
          <w:sz w:val="24"/>
          <w:szCs w:val="24"/>
          <w:lang w:val="en-US" w:eastAsia="zh-CN"/>
        </w:rPr>
        <w:t>.</w:t>
      </w:r>
      <w:r>
        <w:rPr>
          <w:rFonts w:hint="eastAsia"/>
          <w:color w:val="auto"/>
          <w:sz w:val="24"/>
          <w:szCs w:val="24"/>
          <w:lang w:val="en-US"/>
        </w:rPr>
        <w:t>账务管理要求。</w:t>
      </w:r>
    </w:p>
    <w:p w14:paraId="6E14D2F8">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企业必须</w:t>
      </w:r>
      <w:r>
        <w:rPr>
          <w:rFonts w:hint="eastAsia"/>
          <w:color w:val="auto"/>
          <w:sz w:val="24"/>
          <w:szCs w:val="24"/>
          <w:lang w:eastAsia="zh-CN"/>
        </w:rPr>
        <w:t>分别</w:t>
      </w:r>
      <w:r>
        <w:rPr>
          <w:rFonts w:hint="eastAsia"/>
          <w:color w:val="auto"/>
          <w:sz w:val="24"/>
          <w:szCs w:val="24"/>
        </w:rPr>
        <w:t>建立营养改善计划</w:t>
      </w:r>
      <w:r>
        <w:rPr>
          <w:rFonts w:hint="eastAsia"/>
          <w:color w:val="auto"/>
          <w:sz w:val="24"/>
          <w:szCs w:val="24"/>
          <w:lang w:eastAsia="zh-CN"/>
        </w:rPr>
        <w:t>和非</w:t>
      </w:r>
      <w:r>
        <w:rPr>
          <w:rFonts w:hint="eastAsia"/>
          <w:color w:val="auto"/>
          <w:sz w:val="24"/>
          <w:szCs w:val="24"/>
        </w:rPr>
        <w:t>营养改善计划</w:t>
      </w:r>
      <w:r>
        <w:rPr>
          <w:rFonts w:hint="eastAsia"/>
          <w:color w:val="auto"/>
          <w:sz w:val="24"/>
          <w:szCs w:val="24"/>
          <w:lang w:eastAsia="zh-CN"/>
        </w:rPr>
        <w:t>资金，独立</w:t>
      </w:r>
      <w:r>
        <w:rPr>
          <w:rFonts w:hint="eastAsia"/>
          <w:color w:val="auto"/>
          <w:sz w:val="24"/>
          <w:szCs w:val="24"/>
        </w:rPr>
        <w:t>专</w:t>
      </w:r>
      <w:r>
        <w:rPr>
          <w:rFonts w:hint="eastAsia"/>
          <w:color w:val="auto"/>
          <w:sz w:val="24"/>
          <w:szCs w:val="24"/>
          <w:lang w:eastAsia="zh-CN"/>
        </w:rPr>
        <w:t>账，不得挤占</w:t>
      </w:r>
      <w:r>
        <w:rPr>
          <w:rFonts w:hint="eastAsia"/>
          <w:color w:val="auto"/>
          <w:sz w:val="24"/>
          <w:szCs w:val="24"/>
        </w:rPr>
        <w:t>营养改善计划</w:t>
      </w:r>
      <w:r>
        <w:rPr>
          <w:rFonts w:hint="eastAsia"/>
          <w:color w:val="auto"/>
          <w:sz w:val="24"/>
          <w:szCs w:val="24"/>
          <w:lang w:eastAsia="zh-CN"/>
        </w:rPr>
        <w:t>专项资金</w:t>
      </w:r>
      <w:r>
        <w:rPr>
          <w:rFonts w:hint="eastAsia"/>
          <w:color w:val="auto"/>
          <w:sz w:val="24"/>
          <w:szCs w:val="24"/>
        </w:rPr>
        <w:t>。建立商品采购、配送台账；配送到校的食材，在交接过程中要开具加盖配送企业公章的三联单票据，配送人员、接收人员要签字确认。</w:t>
      </w:r>
    </w:p>
    <w:p w14:paraId="4F01A98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6</w:t>
      </w:r>
      <w:r>
        <w:rPr>
          <w:rFonts w:hint="eastAsia"/>
          <w:color w:val="auto"/>
          <w:sz w:val="24"/>
          <w:szCs w:val="24"/>
          <w:lang w:val="en-US" w:eastAsia="zh-CN"/>
        </w:rPr>
        <w:t>.</w:t>
      </w:r>
      <w:r>
        <w:rPr>
          <w:rFonts w:hint="eastAsia"/>
          <w:color w:val="auto"/>
          <w:sz w:val="24"/>
          <w:szCs w:val="24"/>
          <w:lang w:val="en-US"/>
        </w:rPr>
        <w:t>索证索票。</w:t>
      </w:r>
    </w:p>
    <w:p w14:paraId="159A6EF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企业必须对所有采购配送到校的食材及相关食材原供货商索取规范完整的</w:t>
      </w:r>
      <w:r>
        <w:rPr>
          <w:rFonts w:hint="eastAsia"/>
          <w:color w:val="auto"/>
          <w:sz w:val="24"/>
          <w:szCs w:val="24"/>
          <w:lang w:val="en-US" w:eastAsia="zh-CN"/>
        </w:rPr>
        <w:t>票证</w:t>
      </w:r>
      <w:r>
        <w:rPr>
          <w:rFonts w:hint="eastAsia"/>
          <w:color w:val="auto"/>
          <w:sz w:val="24"/>
          <w:szCs w:val="24"/>
          <w:lang w:val="en-US"/>
        </w:rPr>
        <w:t>，建立票证管理专档确保所有相关证票齐全、完整、有效。企业按有关索证索票管理规定为学校提供加盖有本企业红色公章的完整票据。</w:t>
      </w:r>
    </w:p>
    <w:p w14:paraId="51C7CE8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7</w:t>
      </w:r>
      <w:r>
        <w:rPr>
          <w:rFonts w:hint="eastAsia"/>
          <w:color w:val="auto"/>
          <w:sz w:val="24"/>
          <w:szCs w:val="24"/>
          <w:lang w:val="en-US" w:eastAsia="zh-CN"/>
        </w:rPr>
        <w:t>.</w:t>
      </w:r>
      <w:r>
        <w:rPr>
          <w:rFonts w:hint="eastAsia"/>
          <w:color w:val="auto"/>
          <w:sz w:val="24"/>
          <w:szCs w:val="24"/>
          <w:lang w:val="en-US"/>
        </w:rPr>
        <w:t>监督管理。</w:t>
      </w:r>
    </w:p>
    <w:p w14:paraId="2094631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（1）对中标配送企业库房和重点操作（重点项目、重点环节及其工作区域）实行电子监管。企业须将工作期间的视频同期上传，供采购人实时监管。</w:t>
      </w:r>
    </w:p>
    <w:p w14:paraId="2D1C7B7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w:t>
      </w:r>
      <w:bookmarkStart w:id="18" w:name="第四章_商务要求"/>
      <w:bookmarkEnd w:id="18"/>
      <w:r>
        <w:rPr>
          <w:rFonts w:hint="eastAsia"/>
          <w:color w:val="auto"/>
          <w:sz w:val="24"/>
          <w:szCs w:val="24"/>
          <w:lang w:val="en-US"/>
        </w:rPr>
        <w:t>企业须自觉主动接受区政府各职能部门对配送食材的生产、采购、加工、存储、配送等环节的监督检查及企业管理的监督检查。</w:t>
      </w:r>
    </w:p>
    <w:p w14:paraId="5289394A">
      <w:pPr>
        <w:keepNext w:val="0"/>
        <w:keepLines w:val="0"/>
        <w:widowControl/>
        <w:suppressLineNumbers w:val="0"/>
        <w:spacing w:line="360" w:lineRule="auto"/>
        <w:ind w:firstLine="482" w:firstLineChars="200"/>
        <w:jc w:val="left"/>
        <w:rPr>
          <w:color w:val="auto"/>
          <w:sz w:val="24"/>
          <w:szCs w:val="24"/>
        </w:rPr>
      </w:pPr>
      <w:bookmarkStart w:id="19" w:name="_Toc11111"/>
      <w:r>
        <w:rPr>
          <w:rFonts w:hint="eastAsia" w:ascii="宋体" w:hAnsi="宋体" w:eastAsia="宋体" w:cs="宋体"/>
          <w:b/>
          <w:bCs/>
          <w:color w:val="auto"/>
          <w:kern w:val="0"/>
          <w:sz w:val="24"/>
          <w:szCs w:val="24"/>
          <w:lang w:val="en-US" w:eastAsia="zh-CN" w:bidi="ar"/>
        </w:rPr>
        <w:t>注：</w:t>
      </w:r>
      <w:r>
        <w:rPr>
          <w:rFonts w:hint="eastAsia" w:cs="宋体"/>
          <w:b/>
          <w:bCs/>
          <w:color w:val="auto"/>
          <w:kern w:val="0"/>
          <w:sz w:val="24"/>
          <w:szCs w:val="24"/>
          <w:lang w:val="en-US" w:eastAsia="zh-CN" w:bidi="ar"/>
        </w:rPr>
        <w:t>1.</w:t>
      </w:r>
      <w:r>
        <w:rPr>
          <w:rFonts w:hint="eastAsia" w:ascii="宋体" w:hAnsi="宋体" w:eastAsia="宋体" w:cs="宋体"/>
          <w:b/>
          <w:bCs/>
          <w:color w:val="auto"/>
          <w:kern w:val="0"/>
          <w:sz w:val="24"/>
          <w:szCs w:val="24"/>
          <w:lang w:val="en-US" w:eastAsia="zh-CN" w:bidi="ar"/>
        </w:rPr>
        <w:t xml:space="preserve">服务期间采购方有权对供应商履约情况进行抽查及考核，若乙方出现质量不合格、价格不合理、多次出现配送不及时等履约问题时，采购方有权单方面停止供应商供货，严重者将解除供应合同取消其供货资格。 </w:t>
      </w:r>
    </w:p>
    <w:p w14:paraId="3BB5FCCE">
      <w:pPr>
        <w:keepNext w:val="0"/>
        <w:keepLines w:val="0"/>
        <w:widowControl/>
        <w:suppressLineNumbers w:val="0"/>
        <w:shd w:val="clear"/>
        <w:spacing w:line="360" w:lineRule="auto"/>
        <w:ind w:firstLine="482" w:firstLineChars="200"/>
        <w:jc w:val="left"/>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2</w:t>
      </w:r>
      <w:r>
        <w:rPr>
          <w:rFonts w:hint="eastAsia" w:cs="宋体"/>
          <w:b/>
          <w:bCs/>
          <w:color w:val="auto"/>
          <w:kern w:val="0"/>
          <w:sz w:val="24"/>
          <w:szCs w:val="24"/>
          <w:lang w:val="en-US" w:eastAsia="zh-CN" w:bidi="ar"/>
        </w:rPr>
        <w:t>.</w:t>
      </w:r>
      <w:r>
        <w:rPr>
          <w:rFonts w:hint="eastAsia" w:ascii="宋体" w:hAnsi="宋体" w:eastAsia="宋体" w:cs="宋体"/>
          <w:b/>
          <w:bCs/>
          <w:color w:val="auto"/>
          <w:kern w:val="0"/>
          <w:sz w:val="24"/>
          <w:szCs w:val="24"/>
          <w:lang w:val="en-US" w:eastAsia="zh-CN" w:bidi="ar"/>
        </w:rPr>
        <w:t xml:space="preserve">供货商必须严格按照《学校食堂大宗食材采购验收管理工作指引》的明确规定执行，禁止采购、使用以下各类食品：一是超过保质期、腐败变质、油脂酸败、霉变生虫、污秽不洁、混有异物、掺假掺杂或者感官性状异常的食品；二是无标签的预包装食品；三是国家明令禁止生产经营的食品。凡供应商所供商品质量方面出现重大安全事故或严重的社会不良影响，采购方有权终止中标供应商供货。  </w:t>
      </w:r>
    </w:p>
    <w:p w14:paraId="30F7F724">
      <w:pPr>
        <w:keepNext w:val="0"/>
        <w:keepLines w:val="0"/>
        <w:widowControl/>
        <w:suppressLineNumbers w:val="0"/>
        <w:shd w:val="clear"/>
        <w:spacing w:line="360" w:lineRule="auto"/>
        <w:ind w:firstLine="482" w:firstLineChars="200"/>
        <w:jc w:val="left"/>
        <w:rPr>
          <w:rFonts w:hint="eastAsia" w:ascii="宋体" w:hAnsi="宋体" w:eastAsia="宋体" w:cs="宋体"/>
          <w:b/>
          <w:bCs/>
          <w:color w:val="auto"/>
          <w:kern w:val="0"/>
          <w:sz w:val="28"/>
          <w:szCs w:val="28"/>
          <w:shd w:val="clear"/>
          <w:lang w:val="en-US" w:eastAsia="zh-CN" w:bidi="ar"/>
        </w:rPr>
      </w:pPr>
      <w:r>
        <w:rPr>
          <w:rFonts w:hint="eastAsia" w:ascii="宋体" w:hAnsi="宋体" w:eastAsia="宋体" w:cs="宋体"/>
          <w:b/>
          <w:bCs/>
          <w:color w:val="auto"/>
          <w:kern w:val="0"/>
          <w:sz w:val="24"/>
          <w:szCs w:val="24"/>
          <w:lang w:val="en-US" w:eastAsia="zh-CN" w:bidi="ar"/>
        </w:rPr>
        <w:t>3</w:t>
      </w:r>
      <w:r>
        <w:rPr>
          <w:rFonts w:hint="eastAsia" w:cs="宋体"/>
          <w:b/>
          <w:bCs/>
          <w:color w:val="auto"/>
          <w:kern w:val="0"/>
          <w:sz w:val="24"/>
          <w:szCs w:val="24"/>
          <w:lang w:val="en-US" w:eastAsia="zh-CN" w:bidi="ar"/>
        </w:rPr>
        <w:t>.</w:t>
      </w:r>
      <w:r>
        <w:rPr>
          <w:rFonts w:hint="eastAsia" w:ascii="宋体" w:hAnsi="宋体" w:eastAsia="宋体" w:cs="宋体"/>
          <w:b/>
          <w:bCs/>
          <w:color w:val="auto"/>
          <w:kern w:val="0"/>
          <w:sz w:val="24"/>
          <w:szCs w:val="24"/>
          <w:lang w:val="en-US" w:eastAsia="zh-CN" w:bidi="ar"/>
        </w:rPr>
        <w:t>供应商所供应的产品与投标文件中的产品品牌等相关参数必须保证一致</w:t>
      </w:r>
      <w:r>
        <w:rPr>
          <w:rFonts w:hint="eastAsia" w:cs="宋体"/>
          <w:b/>
          <w:bCs/>
          <w:color w:val="auto"/>
          <w:kern w:val="0"/>
          <w:sz w:val="24"/>
          <w:szCs w:val="24"/>
          <w:lang w:val="en-US" w:eastAsia="zh-CN" w:bidi="ar"/>
        </w:rPr>
        <w:t>（</w:t>
      </w:r>
      <w:r>
        <w:rPr>
          <w:rFonts w:hint="eastAsia" w:cs="宋体"/>
          <w:b/>
          <w:bCs/>
          <w:color w:val="auto"/>
          <w:kern w:val="0"/>
          <w:sz w:val="24"/>
          <w:szCs w:val="24"/>
          <w:shd w:val="clear"/>
          <w:lang w:val="en-US" w:eastAsia="zh-CN" w:bidi="ar"/>
        </w:rPr>
        <w:t>如因不可抗因素发生变化，需报汉滨区教育体育局，经采购人审核批准同意后才可以调整，并及时签订补充协议）</w:t>
      </w:r>
      <w:r>
        <w:rPr>
          <w:rFonts w:hint="eastAsia" w:ascii="宋体" w:hAnsi="宋体" w:eastAsia="宋体" w:cs="宋体"/>
          <w:b/>
          <w:bCs/>
          <w:color w:val="auto"/>
          <w:kern w:val="0"/>
          <w:sz w:val="24"/>
          <w:szCs w:val="24"/>
          <w:shd w:val="clear"/>
          <w:lang w:val="en-US" w:eastAsia="zh-CN" w:bidi="ar"/>
        </w:rPr>
        <w:t>。</w:t>
      </w:r>
    </w:p>
    <w:p w14:paraId="673A62D1">
      <w:pPr>
        <w:rPr>
          <w:rFonts w:hint="eastAsia"/>
          <w:color w:val="auto"/>
          <w:lang w:val="en-US"/>
        </w:rPr>
      </w:pPr>
    </w:p>
    <w:p w14:paraId="73FA64F4">
      <w:pPr>
        <w:pStyle w:val="2"/>
        <w:pageBreakBefore w:val="0"/>
        <w:topLinePunct w:val="0"/>
        <w:bidi w:val="0"/>
        <w:spacing w:before="0" w:line="500" w:lineRule="exact"/>
        <w:ind w:left="0" w:leftChars="0" w:right="0" w:rightChars="0" w:firstLine="723" w:firstLineChars="200"/>
        <w:rPr>
          <w:rFonts w:hint="eastAsia"/>
          <w:color w:val="auto"/>
          <w:lang w:val="en-US"/>
        </w:rPr>
      </w:pPr>
    </w:p>
    <w:p w14:paraId="0B12DB47">
      <w:pPr>
        <w:pStyle w:val="2"/>
        <w:pageBreakBefore w:val="0"/>
        <w:topLinePunct w:val="0"/>
        <w:bidi w:val="0"/>
        <w:spacing w:before="0" w:line="500" w:lineRule="exact"/>
        <w:ind w:left="0" w:leftChars="0" w:right="0" w:rightChars="0" w:firstLine="723" w:firstLineChars="200"/>
        <w:rPr>
          <w:rFonts w:hint="eastAsia"/>
          <w:color w:val="auto"/>
          <w:lang w:val="en-US"/>
        </w:rPr>
      </w:pPr>
    </w:p>
    <w:p w14:paraId="0AC9C3B5">
      <w:pPr>
        <w:pStyle w:val="2"/>
        <w:pageBreakBefore w:val="0"/>
        <w:topLinePunct w:val="0"/>
        <w:bidi w:val="0"/>
        <w:spacing w:before="0" w:line="500" w:lineRule="exact"/>
        <w:ind w:left="0" w:leftChars="0" w:right="0" w:rightChars="0" w:firstLine="723" w:firstLineChars="200"/>
        <w:rPr>
          <w:rFonts w:hint="eastAsia"/>
          <w:color w:val="auto"/>
          <w:lang w:val="en-US"/>
        </w:rPr>
      </w:pPr>
    </w:p>
    <w:p w14:paraId="35AF3FFE">
      <w:pPr>
        <w:pStyle w:val="2"/>
        <w:pageBreakBefore w:val="0"/>
        <w:topLinePunct w:val="0"/>
        <w:bidi w:val="0"/>
        <w:spacing w:before="0" w:line="500" w:lineRule="exact"/>
        <w:ind w:left="0" w:leftChars="0" w:right="0" w:rightChars="0" w:firstLine="723" w:firstLineChars="200"/>
        <w:rPr>
          <w:rFonts w:hint="eastAsia"/>
          <w:color w:val="auto"/>
          <w:lang w:val="en-US"/>
        </w:rPr>
      </w:pPr>
    </w:p>
    <w:p w14:paraId="7509FA27">
      <w:pPr>
        <w:pStyle w:val="2"/>
        <w:pageBreakBefore w:val="0"/>
        <w:topLinePunct w:val="0"/>
        <w:bidi w:val="0"/>
        <w:spacing w:before="0" w:line="500" w:lineRule="exact"/>
        <w:ind w:left="0" w:leftChars="0" w:right="0" w:rightChars="0" w:firstLine="723" w:firstLineChars="200"/>
        <w:rPr>
          <w:rFonts w:hint="eastAsia"/>
          <w:color w:val="auto"/>
          <w:lang w:val="en-US"/>
        </w:rPr>
      </w:pPr>
    </w:p>
    <w:p w14:paraId="19E1B6D4">
      <w:pPr>
        <w:pStyle w:val="2"/>
        <w:pageBreakBefore w:val="0"/>
        <w:topLinePunct w:val="0"/>
        <w:bidi w:val="0"/>
        <w:spacing w:before="0" w:line="500" w:lineRule="exact"/>
        <w:ind w:left="0" w:leftChars="0" w:right="0" w:rightChars="0" w:firstLine="723" w:firstLineChars="200"/>
        <w:rPr>
          <w:rFonts w:hint="eastAsia"/>
          <w:color w:val="auto"/>
          <w:lang w:val="en-US"/>
        </w:rPr>
      </w:pPr>
    </w:p>
    <w:p w14:paraId="34DE81DA">
      <w:pPr>
        <w:pStyle w:val="2"/>
        <w:pageBreakBefore w:val="0"/>
        <w:topLinePunct w:val="0"/>
        <w:bidi w:val="0"/>
        <w:spacing w:before="0" w:line="500" w:lineRule="exact"/>
        <w:ind w:left="0" w:leftChars="0" w:right="0" w:rightChars="0" w:firstLine="723" w:firstLineChars="200"/>
        <w:rPr>
          <w:rFonts w:hint="eastAsia"/>
          <w:color w:val="auto"/>
          <w:lang w:val="en-US"/>
        </w:rPr>
      </w:pPr>
    </w:p>
    <w:p w14:paraId="361EE661">
      <w:pPr>
        <w:pStyle w:val="2"/>
        <w:pageBreakBefore w:val="0"/>
        <w:topLinePunct w:val="0"/>
        <w:bidi w:val="0"/>
        <w:spacing w:before="0" w:line="500" w:lineRule="exact"/>
        <w:ind w:left="0" w:leftChars="0" w:right="0" w:rightChars="0" w:firstLine="723" w:firstLineChars="200"/>
        <w:rPr>
          <w:rFonts w:hint="eastAsia"/>
          <w:color w:val="auto"/>
          <w:lang w:val="en-US"/>
        </w:rPr>
      </w:pPr>
    </w:p>
    <w:p w14:paraId="3913C242">
      <w:pPr>
        <w:pStyle w:val="2"/>
        <w:pageBreakBefore w:val="0"/>
        <w:topLinePunct w:val="0"/>
        <w:bidi w:val="0"/>
        <w:spacing w:before="0" w:line="500" w:lineRule="exact"/>
        <w:ind w:left="0" w:leftChars="0" w:right="0" w:rightChars="0" w:firstLine="723" w:firstLineChars="200"/>
        <w:rPr>
          <w:rFonts w:hint="eastAsia"/>
          <w:color w:val="auto"/>
          <w:lang w:val="en-US"/>
        </w:rPr>
      </w:pPr>
    </w:p>
    <w:p w14:paraId="6C71EDC6">
      <w:pPr>
        <w:pStyle w:val="2"/>
        <w:pageBreakBefore w:val="0"/>
        <w:topLinePunct w:val="0"/>
        <w:bidi w:val="0"/>
        <w:spacing w:before="0" w:line="500" w:lineRule="exact"/>
        <w:ind w:left="0" w:leftChars="0" w:right="0" w:rightChars="0" w:firstLine="723" w:firstLineChars="200"/>
        <w:rPr>
          <w:rFonts w:hint="eastAsia"/>
          <w:color w:val="auto"/>
          <w:lang w:val="en-US"/>
        </w:rPr>
      </w:pPr>
    </w:p>
    <w:p w14:paraId="38D60334">
      <w:pPr>
        <w:pStyle w:val="2"/>
        <w:pageBreakBefore w:val="0"/>
        <w:topLinePunct w:val="0"/>
        <w:bidi w:val="0"/>
        <w:spacing w:before="0" w:line="500" w:lineRule="exact"/>
        <w:ind w:left="0" w:leftChars="0" w:right="0" w:rightChars="0" w:firstLine="723" w:firstLineChars="200"/>
        <w:rPr>
          <w:rFonts w:hint="eastAsia"/>
          <w:color w:val="auto"/>
          <w:lang w:val="en-US"/>
        </w:rPr>
      </w:pPr>
    </w:p>
    <w:p w14:paraId="78AFF8EF">
      <w:pPr>
        <w:pStyle w:val="2"/>
        <w:pageBreakBefore w:val="0"/>
        <w:topLinePunct w:val="0"/>
        <w:bidi w:val="0"/>
        <w:spacing w:before="0" w:line="500" w:lineRule="exact"/>
        <w:ind w:left="0" w:leftChars="0" w:right="0" w:rightChars="0" w:firstLine="723" w:firstLineChars="200"/>
        <w:rPr>
          <w:rFonts w:hint="eastAsia"/>
          <w:color w:val="auto"/>
          <w:lang w:val="en-US"/>
        </w:rPr>
      </w:pPr>
    </w:p>
    <w:p w14:paraId="27FAE3FF">
      <w:pPr>
        <w:pStyle w:val="2"/>
        <w:pageBreakBefore w:val="0"/>
        <w:topLinePunct w:val="0"/>
        <w:bidi w:val="0"/>
        <w:spacing w:before="0" w:line="500" w:lineRule="exact"/>
        <w:ind w:left="0" w:leftChars="0" w:right="0" w:rightChars="0" w:firstLine="723" w:firstLineChars="200"/>
        <w:rPr>
          <w:rFonts w:hint="eastAsia"/>
          <w:color w:val="auto"/>
          <w:lang w:val="en-US"/>
        </w:rPr>
      </w:pPr>
    </w:p>
    <w:p w14:paraId="592A8DBF">
      <w:pPr>
        <w:pStyle w:val="2"/>
        <w:pageBreakBefore w:val="0"/>
        <w:topLinePunct w:val="0"/>
        <w:bidi w:val="0"/>
        <w:spacing w:before="0" w:line="500" w:lineRule="exact"/>
        <w:ind w:left="0" w:leftChars="0" w:right="0" w:rightChars="0" w:firstLine="723" w:firstLineChars="200"/>
        <w:rPr>
          <w:rFonts w:hint="eastAsia"/>
          <w:color w:val="auto"/>
          <w:lang w:val="en-US"/>
        </w:rPr>
      </w:pPr>
    </w:p>
    <w:p w14:paraId="1CF0E62A">
      <w:pPr>
        <w:pStyle w:val="2"/>
        <w:pageBreakBefore w:val="0"/>
        <w:topLinePunct w:val="0"/>
        <w:bidi w:val="0"/>
        <w:spacing w:before="0" w:line="500" w:lineRule="exact"/>
        <w:ind w:left="0" w:leftChars="0" w:right="0" w:rightChars="0" w:firstLine="723" w:firstLineChars="200"/>
        <w:rPr>
          <w:rFonts w:hint="eastAsia"/>
          <w:color w:val="auto"/>
          <w:lang w:val="en-US"/>
        </w:rPr>
      </w:pPr>
    </w:p>
    <w:p w14:paraId="4CED3A61">
      <w:pPr>
        <w:pStyle w:val="2"/>
        <w:pageBreakBefore w:val="0"/>
        <w:topLinePunct w:val="0"/>
        <w:bidi w:val="0"/>
        <w:spacing w:before="0" w:line="500" w:lineRule="exact"/>
        <w:ind w:left="0" w:leftChars="0" w:right="0" w:rightChars="0" w:firstLine="723" w:firstLineChars="200"/>
        <w:rPr>
          <w:rFonts w:hint="eastAsia"/>
          <w:color w:val="auto"/>
          <w:lang w:val="en-US"/>
        </w:rPr>
      </w:pPr>
    </w:p>
    <w:p w14:paraId="156CB938">
      <w:pPr>
        <w:pStyle w:val="2"/>
        <w:pageBreakBefore w:val="0"/>
        <w:topLinePunct w:val="0"/>
        <w:bidi w:val="0"/>
        <w:spacing w:before="0" w:line="500" w:lineRule="exact"/>
        <w:ind w:right="0" w:rightChars="0"/>
        <w:jc w:val="both"/>
        <w:rPr>
          <w:rFonts w:hint="eastAsia"/>
          <w:color w:val="auto"/>
          <w:lang w:val="en-US"/>
        </w:rPr>
      </w:pPr>
    </w:p>
    <w:p w14:paraId="755FB1E1">
      <w:pPr>
        <w:pStyle w:val="2"/>
        <w:pageBreakBefore w:val="0"/>
        <w:topLinePunct w:val="0"/>
        <w:bidi w:val="0"/>
        <w:spacing w:before="0" w:line="500" w:lineRule="exact"/>
        <w:ind w:left="0" w:leftChars="0" w:right="0" w:rightChars="0" w:firstLine="723" w:firstLineChars="200"/>
        <w:rPr>
          <w:color w:val="auto"/>
        </w:rPr>
      </w:pPr>
      <w:r>
        <w:rPr>
          <w:rFonts w:hint="eastAsia"/>
          <w:color w:val="auto"/>
          <w:lang w:val="en-US"/>
        </w:rPr>
        <w:t xml:space="preserve">第四章 </w:t>
      </w:r>
      <w:r>
        <w:rPr>
          <w:color w:val="auto"/>
        </w:rPr>
        <w:t>商务要求</w:t>
      </w:r>
      <w:bookmarkEnd w:id="19"/>
    </w:p>
    <w:p w14:paraId="219A8933">
      <w:pPr>
        <w:pageBreakBefore w:val="0"/>
        <w:topLinePunct w:val="0"/>
        <w:bidi w:val="0"/>
        <w:spacing w:line="500" w:lineRule="exact"/>
        <w:ind w:left="0" w:leftChars="0" w:right="0" w:rightChars="0" w:firstLine="440" w:firstLineChars="200"/>
        <w:rPr>
          <w:color w:val="auto"/>
        </w:rPr>
      </w:pPr>
    </w:p>
    <w:p w14:paraId="164D79FA">
      <w:pPr>
        <w:keepNext w:val="0"/>
        <w:keepLines w:val="0"/>
        <w:pageBreakBefore w:val="0"/>
        <w:kinsoku/>
        <w:wordWrap/>
        <w:overflowPunct/>
        <w:topLinePunct w:val="0"/>
        <w:autoSpaceDE/>
        <w:autoSpaceDN/>
        <w:bidi w:val="0"/>
        <w:adjustRightInd/>
        <w:snapToGrid/>
        <w:spacing w:line="500" w:lineRule="exact"/>
        <w:ind w:left="0" w:leftChars="0" w:right="0" w:rightChars="0" w:firstLine="643" w:firstLineChars="200"/>
        <w:jc w:val="center"/>
        <w:textAlignment w:val="auto"/>
        <w:rPr>
          <w:rFonts w:hint="eastAsia" w:ascii="仿宋" w:hAnsi="仿宋" w:eastAsia="仿宋" w:cs="仿宋"/>
          <w:b/>
          <w:bCs/>
          <w:color w:val="auto"/>
          <w:sz w:val="32"/>
          <w:szCs w:val="32"/>
        </w:rPr>
      </w:pPr>
      <w:r>
        <w:rPr>
          <w:rFonts w:hint="eastAsia" w:ascii="仿宋" w:hAnsi="仿宋" w:eastAsia="仿宋" w:cs="仿宋"/>
          <w:b/>
          <w:bCs/>
          <w:color w:val="auto"/>
          <w:sz w:val="32"/>
          <w:szCs w:val="32"/>
          <w:lang w:val="en-US" w:eastAsia="zh-CN"/>
        </w:rPr>
        <w:t>合同包一至合同包六</w:t>
      </w:r>
      <w:r>
        <w:rPr>
          <w:rFonts w:hint="eastAsia" w:ascii="仿宋" w:hAnsi="仿宋" w:eastAsia="仿宋" w:cs="仿宋"/>
          <w:b/>
          <w:bCs/>
          <w:color w:val="auto"/>
          <w:sz w:val="32"/>
          <w:szCs w:val="32"/>
        </w:rPr>
        <w:t>商务条款</w:t>
      </w:r>
    </w:p>
    <w:p w14:paraId="4B8787EA">
      <w:pPr>
        <w:keepNext w:val="0"/>
        <w:keepLines w:val="0"/>
        <w:pageBreakBefore w:val="0"/>
        <w:widowControl/>
        <w:numPr>
          <w:ilvl w:val="0"/>
          <w:numId w:val="22"/>
        </w:numPr>
        <w:suppressLineNumbers w:val="0"/>
        <w:kinsoku/>
        <w:wordWrap/>
        <w:overflowPunct/>
        <w:topLinePunct w:val="0"/>
        <w:bidi w:val="0"/>
        <w:adjustRightInd/>
        <w:snapToGrid/>
        <w:spacing w:line="500" w:lineRule="exact"/>
        <w:ind w:left="0" w:leftChars="0" w:right="0" w:rightChars="0" w:firstLine="482" w:firstLineChars="200"/>
        <w:jc w:val="left"/>
        <w:textAlignment w:val="auto"/>
        <w:rPr>
          <w:rFonts w:hint="eastAsia" w:ascii="仿宋" w:hAnsi="仿宋" w:eastAsia="仿宋" w:cs="仿宋"/>
          <w:b/>
          <w:bCs/>
          <w:color w:val="auto"/>
          <w:sz w:val="32"/>
          <w:szCs w:val="32"/>
          <w:lang w:val="en-US" w:eastAsia="zh-CN"/>
        </w:rPr>
      </w:pPr>
      <w:r>
        <w:rPr>
          <w:rFonts w:hint="eastAsia"/>
          <w:b/>
          <w:bCs/>
          <w:color w:val="auto"/>
          <w:sz w:val="24"/>
          <w:szCs w:val="24"/>
          <w:lang w:val="en-US" w:eastAsia="zh-CN"/>
        </w:rPr>
        <w:t>合同履行期限、地点、合同签订：</w:t>
      </w:r>
    </w:p>
    <w:p w14:paraId="6A386696">
      <w:pPr>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color w:val="auto"/>
          <w:sz w:val="24"/>
          <w:szCs w:val="24"/>
          <w:lang w:val="en-US" w:eastAsia="zh-CN"/>
        </w:rPr>
      </w:pPr>
      <w:r>
        <w:rPr>
          <w:rFonts w:hint="eastAsia"/>
          <w:color w:val="auto"/>
          <w:sz w:val="24"/>
          <w:szCs w:val="24"/>
          <w:lang w:val="en-US" w:eastAsia="zh-CN"/>
        </w:rPr>
        <w:t>1.合同履行期限：</w:t>
      </w:r>
      <w:r>
        <w:rPr>
          <w:rFonts w:hint="eastAsia" w:ascii="宋体" w:hAnsi="宋体" w:eastAsia="宋体" w:cs="宋体"/>
          <w:i w:val="0"/>
          <w:iCs w:val="0"/>
          <w:color w:val="auto"/>
          <w:sz w:val="24"/>
          <w:szCs w:val="24"/>
        </w:rPr>
        <w:t>一学年</w:t>
      </w:r>
    </w:p>
    <w:p w14:paraId="0AA4C3DD">
      <w:pPr>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color w:val="auto"/>
          <w:sz w:val="24"/>
          <w:szCs w:val="24"/>
          <w:lang w:val="en-US" w:eastAsia="zh-CN"/>
        </w:rPr>
      </w:pPr>
      <w:r>
        <w:rPr>
          <w:rFonts w:hint="eastAsia"/>
          <w:color w:val="auto"/>
          <w:sz w:val="24"/>
          <w:szCs w:val="24"/>
          <w:lang w:val="en-US" w:eastAsia="zh-CN"/>
        </w:rPr>
        <w:t>2.配送周期：米面油每两周配送一次；蔬菜、调味品每周配送两次（十人以下的教学点每周配送一次）；肉类每周两次（十人以下的教学点每周配送一次）、鸡蛋每周一次；城区及周边部分学校、幼儿园库房条件无法满足存储的，每日配送一次。</w:t>
      </w:r>
    </w:p>
    <w:p w14:paraId="7EEDBB18">
      <w:pPr>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color w:val="auto"/>
          <w:sz w:val="24"/>
          <w:szCs w:val="24"/>
          <w:lang w:val="en-US" w:eastAsia="zh-CN"/>
        </w:rPr>
      </w:pPr>
      <w:r>
        <w:rPr>
          <w:rFonts w:hint="eastAsia"/>
          <w:color w:val="auto"/>
          <w:sz w:val="24"/>
          <w:szCs w:val="24"/>
          <w:lang w:val="en-US" w:eastAsia="zh-CN"/>
        </w:rPr>
        <w:t xml:space="preserve">3.供货地点：采购单位指定的各学校。 </w:t>
      </w:r>
    </w:p>
    <w:p w14:paraId="7917B37F">
      <w:pPr>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color w:val="auto"/>
          <w:sz w:val="24"/>
          <w:szCs w:val="24"/>
          <w:lang w:val="en-US"/>
        </w:rPr>
      </w:pPr>
      <w:r>
        <w:rPr>
          <w:rFonts w:hint="eastAsia"/>
          <w:color w:val="auto"/>
          <w:sz w:val="24"/>
          <w:szCs w:val="24"/>
          <w:lang w:val="en-US" w:eastAsia="zh-CN"/>
        </w:rPr>
        <w:t>4.合同签订：</w:t>
      </w:r>
      <w:r>
        <w:rPr>
          <w:rFonts w:hint="eastAsia" w:ascii="宋体" w:hAnsi="宋体" w:eastAsia="宋体" w:cs="宋体"/>
          <w:i w:val="0"/>
          <w:iCs w:val="0"/>
          <w:color w:val="auto"/>
          <w:sz w:val="24"/>
          <w:szCs w:val="24"/>
        </w:rPr>
        <w:t>中标通知书发出后，中标人须按时与采购单位签订合同。中标人须对各类肉类食材各申报1个应急备选品牌，备选产品质量、检疫、验收标准及供货价格与中标品牌完全统一。履约过程中，中标品牌出现停产、断货等情况的，供应商应提交书面申请，采购人审批通过后方可使用备选品牌供货。</w:t>
      </w:r>
    </w:p>
    <w:p w14:paraId="7DDAB2BF">
      <w:pPr>
        <w:keepNext w:val="0"/>
        <w:keepLines w:val="0"/>
        <w:pageBreakBefore w:val="0"/>
        <w:widowControl/>
        <w:numPr>
          <w:ilvl w:val="0"/>
          <w:numId w:val="22"/>
        </w:numPr>
        <w:suppressLineNumbers w:val="0"/>
        <w:kinsoku/>
        <w:wordWrap/>
        <w:overflowPunct/>
        <w:topLinePunct w:val="0"/>
        <w:bidi w:val="0"/>
        <w:adjustRightInd/>
        <w:snapToGrid/>
        <w:spacing w:line="500" w:lineRule="exact"/>
        <w:ind w:left="0" w:leftChars="0" w:right="0" w:rightChars="0" w:firstLine="482" w:firstLineChars="200"/>
        <w:jc w:val="left"/>
        <w:textAlignment w:val="auto"/>
        <w:rPr>
          <w:rFonts w:hint="eastAsia"/>
          <w:b/>
          <w:bCs/>
          <w:color w:val="auto"/>
          <w:sz w:val="24"/>
          <w:szCs w:val="24"/>
          <w:lang w:val="en-US" w:eastAsia="zh-CN"/>
        </w:rPr>
      </w:pPr>
      <w:r>
        <w:rPr>
          <w:rFonts w:hint="eastAsia"/>
          <w:b/>
          <w:bCs/>
          <w:color w:val="auto"/>
          <w:sz w:val="24"/>
          <w:szCs w:val="24"/>
          <w:lang w:val="en-US" w:eastAsia="zh-CN"/>
        </w:rPr>
        <w:t>合同款的支付方式：</w:t>
      </w:r>
    </w:p>
    <w:p w14:paraId="435E1B84">
      <w:pPr>
        <w:pageBreakBefore w:val="0"/>
        <w:topLinePunct w:val="0"/>
        <w:bidi w:val="0"/>
        <w:spacing w:line="500" w:lineRule="exact"/>
        <w:ind w:left="0" w:leftChars="0" w:right="0" w:rightChars="0" w:firstLine="480" w:firstLineChars="200"/>
        <w:rPr>
          <w:rFonts w:hint="eastAsia"/>
          <w:color w:val="auto"/>
          <w:lang w:val="en-US" w:eastAsia="zh-CN"/>
        </w:rPr>
      </w:pPr>
      <w:r>
        <w:rPr>
          <w:rFonts w:hint="eastAsia" w:ascii="宋体" w:hAnsi="宋体" w:eastAsia="宋体" w:cs="宋体"/>
          <w:i w:val="0"/>
          <w:iCs w:val="0"/>
          <w:color w:val="auto"/>
          <w:sz w:val="24"/>
          <w:szCs w:val="24"/>
        </w:rPr>
        <w:t>付款方式为月结，即每月结算一次。乙方于当月供货期满后开出正式发票，由使用学校与中标单位结算。</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rPr>
        <w:t>镇办核心校负责辖区学校各相关票据、数据的审核和资金审查工作，区级相关部门负责实施工作督查和相关资金审计。</w:t>
      </w:r>
      <w:r>
        <w:rPr>
          <w:rFonts w:hint="eastAsia" w:cs="宋体"/>
          <w:i w:val="0"/>
          <w:iCs w:val="0"/>
          <w:color w:val="auto"/>
          <w:sz w:val="24"/>
          <w:szCs w:val="24"/>
          <w:lang w:eastAsia="zh-CN"/>
        </w:rPr>
        <w:t>）</w:t>
      </w:r>
    </w:p>
    <w:p w14:paraId="1425D251">
      <w:pPr>
        <w:pageBreakBefore w:val="0"/>
        <w:topLinePunct w:val="0"/>
        <w:bidi w:val="0"/>
        <w:spacing w:line="500" w:lineRule="exact"/>
        <w:ind w:left="0" w:leftChars="0" w:right="0" w:rightChars="0" w:firstLine="482" w:firstLineChars="200"/>
        <w:jc w:val="both"/>
        <w:rPr>
          <w:rFonts w:hint="eastAsia"/>
          <w:b/>
          <w:bCs/>
          <w:color w:val="auto"/>
          <w:sz w:val="24"/>
          <w:szCs w:val="24"/>
          <w:lang w:val="en-US" w:eastAsia="zh-CN"/>
        </w:rPr>
      </w:pPr>
      <w:r>
        <w:rPr>
          <w:rFonts w:hint="eastAsia"/>
          <w:b/>
          <w:bCs/>
          <w:color w:val="auto"/>
          <w:sz w:val="24"/>
          <w:szCs w:val="24"/>
          <w:lang w:val="en-US" w:eastAsia="zh-CN"/>
        </w:rPr>
        <w:t>三、报价要求：</w:t>
      </w:r>
    </w:p>
    <w:p w14:paraId="7A435D3F">
      <w:pPr>
        <w:pageBreakBefore w:val="0"/>
        <w:topLinePunct w:val="0"/>
        <w:bidi w:val="0"/>
        <w:spacing w:line="500" w:lineRule="exact"/>
        <w:ind w:right="0" w:rightChars="0" w:firstLine="480" w:firstLineChars="200"/>
        <w:rPr>
          <w:rFonts w:hint="eastAsia"/>
          <w:color w:val="auto"/>
          <w:spacing w:val="-2"/>
          <w:position w:val="15"/>
          <w:sz w:val="24"/>
          <w:szCs w:val="24"/>
          <w:lang w:val="en-US" w:eastAsia="zh-CN"/>
        </w:rPr>
      </w:pPr>
      <w:r>
        <w:rPr>
          <w:rFonts w:hint="eastAsia" w:ascii="宋体" w:hAnsi="宋体" w:eastAsia="宋体" w:cs="宋体"/>
          <w:i w:val="0"/>
          <w:iCs w:val="0"/>
          <w:color w:val="auto"/>
          <w:sz w:val="24"/>
          <w:szCs w:val="24"/>
          <w:lang w:val="en-US" w:eastAsia="zh-CN"/>
        </w:rPr>
        <w:t>1</w:t>
      </w:r>
      <w:r>
        <w:rPr>
          <w:rFonts w:hint="eastAsia" w:cs="宋体"/>
          <w:i w:val="0"/>
          <w:iCs w:val="0"/>
          <w:color w:val="auto"/>
          <w:sz w:val="24"/>
          <w:szCs w:val="24"/>
          <w:lang w:val="en-US" w:eastAsia="zh-CN"/>
        </w:rPr>
        <w:t>.</w:t>
      </w:r>
      <w:r>
        <w:rPr>
          <w:rFonts w:hint="eastAsia" w:ascii="宋体" w:hAnsi="宋体" w:eastAsia="宋体" w:cs="宋体"/>
          <w:i w:val="0"/>
          <w:iCs w:val="0"/>
          <w:color w:val="auto"/>
          <w:sz w:val="24"/>
          <w:szCs w:val="24"/>
          <w:lang w:val="en-US" w:eastAsia="zh-CN"/>
        </w:rPr>
        <w:t>投</w:t>
      </w:r>
      <w:r>
        <w:rPr>
          <w:rFonts w:hint="eastAsia" w:cs="宋体"/>
          <w:i w:val="0"/>
          <w:iCs w:val="0"/>
          <w:color w:val="auto"/>
          <w:sz w:val="24"/>
          <w:szCs w:val="24"/>
          <w:lang w:val="en-US" w:eastAsia="zh-CN"/>
        </w:rPr>
        <w:t>标</w:t>
      </w:r>
      <w:r>
        <w:rPr>
          <w:rFonts w:hint="eastAsia" w:ascii="宋体" w:hAnsi="宋体" w:eastAsia="宋体" w:cs="宋体"/>
          <w:i w:val="0"/>
          <w:iCs w:val="0"/>
          <w:color w:val="auto"/>
          <w:sz w:val="24"/>
          <w:szCs w:val="24"/>
          <w:lang w:val="en-US" w:eastAsia="zh-CN"/>
        </w:rPr>
        <w:t>单价应包括食品采购、包装、运输、装卸、加工、供货服务期限、配送</w:t>
      </w:r>
      <w:r>
        <w:rPr>
          <w:rFonts w:hint="eastAsia" w:cs="宋体"/>
          <w:i w:val="0"/>
          <w:iCs w:val="0"/>
          <w:color w:val="auto"/>
          <w:sz w:val="24"/>
          <w:szCs w:val="24"/>
          <w:lang w:val="en-US" w:eastAsia="zh-CN"/>
        </w:rPr>
        <w:t>（</w:t>
      </w:r>
      <w:r>
        <w:rPr>
          <w:rFonts w:hint="eastAsia" w:ascii="宋体" w:hAnsi="宋体" w:eastAsia="宋体" w:cs="宋体"/>
          <w:i w:val="0"/>
          <w:iCs w:val="0"/>
          <w:color w:val="auto"/>
          <w:sz w:val="24"/>
          <w:szCs w:val="24"/>
          <w:lang w:val="en-US" w:eastAsia="zh-CN"/>
        </w:rPr>
        <w:t>配送到指定学校地点</w:t>
      </w:r>
      <w:r>
        <w:rPr>
          <w:rFonts w:hint="eastAsia" w:cs="宋体"/>
          <w:i w:val="0"/>
          <w:iCs w:val="0"/>
          <w:color w:val="auto"/>
          <w:sz w:val="24"/>
          <w:szCs w:val="24"/>
          <w:lang w:val="en-US" w:eastAsia="zh-CN"/>
        </w:rPr>
        <w:t>）</w:t>
      </w:r>
      <w:r>
        <w:rPr>
          <w:rFonts w:hint="eastAsia" w:ascii="宋体" w:hAnsi="宋体" w:eastAsia="宋体" w:cs="宋体"/>
          <w:i w:val="0"/>
          <w:iCs w:val="0"/>
          <w:color w:val="auto"/>
          <w:sz w:val="24"/>
          <w:szCs w:val="24"/>
          <w:lang w:val="en-US" w:eastAsia="zh-CN"/>
        </w:rPr>
        <w:t>、</w:t>
      </w:r>
      <w:r>
        <w:rPr>
          <w:rFonts w:hint="eastAsia" w:ascii="宋体" w:hAnsi="宋体" w:eastAsia="宋体" w:cs="宋体"/>
          <w:i w:val="0"/>
          <w:iCs w:val="0"/>
          <w:color w:val="auto"/>
          <w:sz w:val="24"/>
          <w:szCs w:val="24"/>
        </w:rPr>
        <w:t>售后服务及国家按现行税收政策征收的一切税费等。</w:t>
      </w:r>
    </w:p>
    <w:p w14:paraId="2D382BBF">
      <w:pPr>
        <w:spacing w:line="360" w:lineRule="auto"/>
        <w:ind w:firstLine="480" w:firstLineChars="20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2</w:t>
      </w:r>
      <w:r>
        <w:rPr>
          <w:rFonts w:hint="eastAsia" w:cs="宋体"/>
          <w:i w:val="0"/>
          <w:iCs w:val="0"/>
          <w:color w:val="auto"/>
          <w:sz w:val="24"/>
          <w:szCs w:val="24"/>
          <w:lang w:val="en-US" w:eastAsia="zh-CN"/>
        </w:rPr>
        <w:t>.</w:t>
      </w:r>
      <w:r>
        <w:rPr>
          <w:rFonts w:hint="eastAsia" w:ascii="宋体" w:hAnsi="宋体" w:eastAsia="宋体" w:cs="宋体"/>
          <w:i w:val="0"/>
          <w:iCs w:val="0"/>
          <w:color w:val="auto"/>
          <w:sz w:val="24"/>
          <w:szCs w:val="24"/>
        </w:rPr>
        <w:t>合同包一</w:t>
      </w:r>
      <w:r>
        <w:rPr>
          <w:rFonts w:hint="eastAsia" w:ascii="宋体" w:hAnsi="宋体" w:eastAsia="宋体" w:cs="宋体"/>
          <w:i w:val="0"/>
          <w:iCs w:val="0"/>
          <w:color w:val="auto"/>
          <w:sz w:val="24"/>
          <w:szCs w:val="24"/>
          <w:lang w:eastAsia="zh-CN"/>
        </w:rPr>
        <w:t>、合同包</w:t>
      </w:r>
      <w:r>
        <w:rPr>
          <w:rFonts w:hint="eastAsia" w:cs="宋体"/>
          <w:i w:val="0"/>
          <w:iCs w:val="0"/>
          <w:color w:val="auto"/>
          <w:sz w:val="24"/>
          <w:szCs w:val="24"/>
          <w:lang w:val="en-US" w:eastAsia="zh-CN"/>
        </w:rPr>
        <w:t>四</w:t>
      </w:r>
      <w:r>
        <w:rPr>
          <w:rFonts w:hint="eastAsia" w:cs="宋体"/>
          <w:i w:val="0"/>
          <w:iCs w:val="0"/>
          <w:color w:val="auto"/>
          <w:sz w:val="24"/>
          <w:szCs w:val="24"/>
          <w:lang w:eastAsia="zh-CN"/>
        </w:rPr>
        <w:t>：</w:t>
      </w:r>
    </w:p>
    <w:p w14:paraId="52CDF5A5">
      <w:pPr>
        <w:numPr>
          <w:ilvl w:val="0"/>
          <w:numId w:val="0"/>
        </w:numPr>
        <w:spacing w:line="360" w:lineRule="auto"/>
        <w:ind w:firstLine="480" w:firstLineChars="20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投标报价表中</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大米、面粉</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菜籽油</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标明的价格应为履行合同的固定综合单价，合同有效期内合同单价一次包死。最终结算价格以固定综合单价乘以实际供货数量的合计为准。</w:t>
      </w:r>
    </w:p>
    <w:p w14:paraId="21B6156A">
      <w:pPr>
        <w:numPr>
          <w:ilvl w:val="0"/>
          <w:numId w:val="0"/>
        </w:numPr>
        <w:spacing w:line="360" w:lineRule="auto"/>
        <w:ind w:firstLine="480" w:firstLineChars="20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投标报价表中</w:t>
      </w:r>
      <w:r>
        <w:rPr>
          <w:rFonts w:hint="eastAsia" w:cs="宋体"/>
          <w:i w:val="0"/>
          <w:iCs w:val="0"/>
          <w:color w:val="auto"/>
          <w:sz w:val="24"/>
          <w:szCs w:val="24"/>
          <w:lang w:eastAsia="zh-CN"/>
        </w:rPr>
        <w:t>面制品</w:t>
      </w:r>
      <w:r>
        <w:rPr>
          <w:rFonts w:hint="eastAsia" w:ascii="宋体" w:hAnsi="宋体" w:eastAsia="宋体" w:cs="宋体"/>
          <w:i w:val="0"/>
          <w:iCs w:val="0"/>
          <w:color w:val="auto"/>
          <w:sz w:val="24"/>
          <w:szCs w:val="24"/>
        </w:rPr>
        <w:t>标明的价格为总价，最终结算价格单价因此类原辅料价格因市场行情波动较大，需采取市场采价确定。具体为汉滨区教体局联合区发改部门及各学校成立询价小组，选择在汉滨城区3家及以上大型商超及农贸市场进行询价。每月开展两次市场采价询价工作，将每次所取的市场均价作为后半月的结算价。故每</w:t>
      </w:r>
      <w:r>
        <w:rPr>
          <w:rFonts w:hint="eastAsia" w:cs="宋体"/>
          <w:i w:val="0"/>
          <w:iCs w:val="0"/>
          <w:color w:val="auto"/>
          <w:sz w:val="24"/>
          <w:szCs w:val="24"/>
          <w:lang w:val="en-US" w:eastAsia="zh-CN"/>
        </w:rPr>
        <w:t>次</w:t>
      </w:r>
      <w:r>
        <w:rPr>
          <w:rFonts w:hint="eastAsia" w:ascii="宋体" w:hAnsi="宋体" w:eastAsia="宋体" w:cs="宋体"/>
          <w:i w:val="0"/>
          <w:iCs w:val="0"/>
          <w:color w:val="auto"/>
          <w:sz w:val="24"/>
          <w:szCs w:val="24"/>
        </w:rPr>
        <w:t>结算单价的计算方式为：所取的市场均价为基准*（1－优惠率），依据实际供货量据实结算。</w:t>
      </w:r>
    </w:p>
    <w:p w14:paraId="6EB79CF0">
      <w:pPr>
        <w:numPr>
          <w:ilvl w:val="0"/>
          <w:numId w:val="0"/>
        </w:numPr>
        <w:spacing w:line="360" w:lineRule="auto"/>
        <w:ind w:firstLine="480" w:firstLineChars="200"/>
        <w:rPr>
          <w:rFonts w:hint="eastAsia"/>
          <w:color w:val="auto"/>
        </w:rPr>
      </w:pPr>
      <w:r>
        <w:rPr>
          <w:rFonts w:hint="eastAsia" w:ascii="宋体" w:hAnsi="宋体" w:eastAsia="宋体" w:cs="宋体"/>
          <w:i w:val="0"/>
          <w:iCs w:val="0"/>
          <w:color w:val="auto"/>
          <w:sz w:val="24"/>
          <w:szCs w:val="24"/>
        </w:rPr>
        <w:t>投标报价表中</w:t>
      </w:r>
      <w:r>
        <w:rPr>
          <w:rFonts w:hint="eastAsia" w:ascii="宋体" w:hAnsi="宋体" w:eastAsia="宋体" w:cs="宋体"/>
          <w:i w:val="0"/>
          <w:iCs w:val="0"/>
          <w:color w:val="auto"/>
          <w:sz w:val="24"/>
          <w:szCs w:val="24"/>
          <w:lang w:eastAsia="zh-CN"/>
        </w:rPr>
        <w:t>牛奶</w:t>
      </w:r>
      <w:r>
        <w:rPr>
          <w:rFonts w:hint="eastAsia" w:ascii="宋体" w:hAnsi="宋体" w:eastAsia="宋体" w:cs="宋体"/>
          <w:i w:val="0"/>
          <w:iCs w:val="0"/>
          <w:color w:val="auto"/>
          <w:sz w:val="24"/>
          <w:szCs w:val="24"/>
        </w:rPr>
        <w:t>标明的价格为总价，最终结算价格单价因此类原辅料价格因市场行情波动较大，需采取市场采价确定。具体为汉滨区教体局联合区发改部门及各学校成立询价小组，选择在汉滨城区3家及以上大型商超及农贸市场进行询价。每月开展两次市场采价询价工作，将每次所取的市场均价作为后半月的结算价。故每</w:t>
      </w:r>
      <w:r>
        <w:rPr>
          <w:rFonts w:hint="eastAsia" w:cs="宋体"/>
          <w:i w:val="0"/>
          <w:iCs w:val="0"/>
          <w:color w:val="auto"/>
          <w:sz w:val="24"/>
          <w:szCs w:val="24"/>
          <w:lang w:val="en-US" w:eastAsia="zh-CN"/>
        </w:rPr>
        <w:t>次</w:t>
      </w:r>
      <w:r>
        <w:rPr>
          <w:rFonts w:hint="eastAsia" w:ascii="宋体" w:hAnsi="宋体" w:eastAsia="宋体" w:cs="宋体"/>
          <w:i w:val="0"/>
          <w:iCs w:val="0"/>
          <w:color w:val="auto"/>
          <w:sz w:val="24"/>
          <w:szCs w:val="24"/>
        </w:rPr>
        <w:t>结算单价的计算方式为：所取的市场均价为基准*（1－优惠率），依据实际供货量据实结算。</w:t>
      </w:r>
    </w:p>
    <w:p w14:paraId="2C81630E">
      <w:pPr>
        <w:numPr>
          <w:ilvl w:val="0"/>
          <w:numId w:val="0"/>
        </w:numPr>
        <w:spacing w:line="360" w:lineRule="auto"/>
        <w:ind w:firstLine="480" w:firstLineChars="200"/>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投标报价表中</w:t>
      </w:r>
      <w:r>
        <w:rPr>
          <w:rFonts w:hint="eastAsia" w:ascii="宋体" w:hAnsi="宋体" w:eastAsia="宋体" w:cs="宋体"/>
          <w:i w:val="0"/>
          <w:iCs w:val="0"/>
          <w:color w:val="auto"/>
          <w:sz w:val="24"/>
          <w:szCs w:val="24"/>
          <w:lang w:eastAsia="zh-CN"/>
        </w:rPr>
        <w:t>（杂粮）</w:t>
      </w:r>
      <w:r>
        <w:rPr>
          <w:rFonts w:hint="eastAsia" w:ascii="宋体" w:hAnsi="宋体" w:eastAsia="宋体" w:cs="宋体"/>
          <w:i w:val="0"/>
          <w:iCs w:val="0"/>
          <w:color w:val="auto"/>
          <w:sz w:val="24"/>
          <w:szCs w:val="24"/>
        </w:rPr>
        <w:t>标明的价格为总价，最终结算价格单价</w:t>
      </w:r>
      <w:r>
        <w:rPr>
          <w:rFonts w:hint="eastAsia" w:ascii="宋体" w:hAnsi="宋体" w:eastAsia="宋体" w:cs="宋体"/>
          <w:i w:val="0"/>
          <w:iCs w:val="0"/>
          <w:color w:val="auto"/>
          <w:sz w:val="24"/>
          <w:szCs w:val="24"/>
          <w:lang w:eastAsia="zh-CN"/>
        </w:rPr>
        <w:t>因</w:t>
      </w:r>
      <w:r>
        <w:rPr>
          <w:rFonts w:hint="eastAsia" w:ascii="宋体" w:hAnsi="宋体" w:eastAsia="宋体" w:cs="宋体"/>
          <w:i w:val="0"/>
          <w:iCs w:val="0"/>
          <w:color w:val="auto"/>
          <w:sz w:val="24"/>
          <w:szCs w:val="24"/>
          <w:lang w:val="en-US" w:eastAsia="zh-CN"/>
        </w:rPr>
        <w:t>此类原辅料价格因市场行情波动较大，需采取市场采价确定。具体为汉滨区教体局联合区发改部门及各学校成立询价小组，选择在汉滨城区3家及以上大型商超及农贸市场进行询价。每月开展两次市场采价询价工作，将每次所取的市场均价作为后半月的结算价</w:t>
      </w:r>
      <w:r>
        <w:rPr>
          <w:rFonts w:hint="eastAsia" w:ascii="宋体" w:hAnsi="宋体" w:eastAsia="宋体" w:cs="宋体"/>
          <w:i w:val="0"/>
          <w:iCs w:val="0"/>
          <w:color w:val="auto"/>
          <w:sz w:val="24"/>
          <w:szCs w:val="24"/>
        </w:rPr>
        <w:t>。故每</w:t>
      </w:r>
      <w:r>
        <w:rPr>
          <w:rFonts w:hint="eastAsia" w:cs="宋体"/>
          <w:i w:val="0"/>
          <w:iCs w:val="0"/>
          <w:color w:val="auto"/>
          <w:sz w:val="24"/>
          <w:szCs w:val="24"/>
          <w:lang w:val="en-US" w:eastAsia="zh-CN"/>
        </w:rPr>
        <w:t>次</w:t>
      </w:r>
      <w:r>
        <w:rPr>
          <w:rFonts w:hint="eastAsia" w:ascii="宋体" w:hAnsi="宋体" w:eastAsia="宋体" w:cs="宋体"/>
          <w:i w:val="0"/>
          <w:iCs w:val="0"/>
          <w:color w:val="auto"/>
          <w:sz w:val="24"/>
          <w:szCs w:val="24"/>
        </w:rPr>
        <w:t>结算单价</w:t>
      </w:r>
      <w:r>
        <w:rPr>
          <w:rFonts w:hint="eastAsia" w:ascii="宋体" w:hAnsi="宋体" w:eastAsia="宋体" w:cs="宋体"/>
          <w:i w:val="0"/>
          <w:iCs w:val="0"/>
          <w:color w:val="auto"/>
          <w:sz w:val="24"/>
          <w:szCs w:val="24"/>
          <w:lang w:eastAsia="zh-CN"/>
        </w:rPr>
        <w:t>的</w:t>
      </w:r>
      <w:r>
        <w:rPr>
          <w:rFonts w:hint="eastAsia" w:ascii="宋体" w:hAnsi="宋体" w:eastAsia="宋体" w:cs="宋体"/>
          <w:i w:val="0"/>
          <w:iCs w:val="0"/>
          <w:color w:val="auto"/>
          <w:sz w:val="24"/>
          <w:szCs w:val="24"/>
        </w:rPr>
        <w:t>计算方式为</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lang w:val="en-US" w:eastAsia="zh-CN"/>
        </w:rPr>
        <w:t>所取的市场均价</w:t>
      </w:r>
      <w:r>
        <w:rPr>
          <w:rFonts w:hint="eastAsia" w:ascii="宋体" w:hAnsi="宋体" w:eastAsia="宋体" w:cs="宋体"/>
          <w:i w:val="0"/>
          <w:iCs w:val="0"/>
          <w:color w:val="auto"/>
          <w:sz w:val="24"/>
          <w:szCs w:val="24"/>
        </w:rPr>
        <w:t>为基准*</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1</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优惠率</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，依据实际供货量据实结算</w:t>
      </w:r>
      <w:r>
        <w:rPr>
          <w:rFonts w:hint="eastAsia" w:ascii="宋体" w:hAnsi="宋体" w:eastAsia="宋体" w:cs="宋体"/>
          <w:i w:val="0"/>
          <w:iCs w:val="0"/>
          <w:color w:val="auto"/>
          <w:sz w:val="24"/>
          <w:szCs w:val="24"/>
          <w:lang w:eastAsia="zh-CN"/>
        </w:rPr>
        <w:t>。</w:t>
      </w:r>
    </w:p>
    <w:p w14:paraId="7D22DFDE">
      <w:pPr>
        <w:numPr>
          <w:ilvl w:val="0"/>
          <w:numId w:val="0"/>
        </w:numPr>
        <w:spacing w:line="360" w:lineRule="auto"/>
        <w:ind w:firstLine="480" w:firstLineChars="200"/>
        <w:rPr>
          <w:rFonts w:hint="eastAsia" w:ascii="宋体" w:hAnsi="宋体" w:eastAsia="宋体" w:cs="宋体"/>
          <w:i w:val="0"/>
          <w:iCs w:val="0"/>
          <w:color w:val="auto"/>
          <w:sz w:val="24"/>
          <w:szCs w:val="24"/>
        </w:rPr>
      </w:pPr>
      <w:r>
        <w:rPr>
          <w:rFonts w:hint="eastAsia" w:cs="宋体"/>
          <w:i w:val="0"/>
          <w:iCs w:val="0"/>
          <w:color w:val="auto"/>
          <w:sz w:val="24"/>
          <w:szCs w:val="24"/>
          <w:lang w:val="en-US" w:eastAsia="zh-CN"/>
        </w:rPr>
        <w:t>3.</w:t>
      </w:r>
      <w:r>
        <w:rPr>
          <w:rFonts w:hint="eastAsia" w:ascii="宋体" w:hAnsi="宋体" w:eastAsia="宋体" w:cs="宋体"/>
          <w:i w:val="0"/>
          <w:iCs w:val="0"/>
          <w:color w:val="auto"/>
          <w:sz w:val="24"/>
          <w:szCs w:val="24"/>
        </w:rPr>
        <w:t>合同包二、合同包</w:t>
      </w:r>
      <w:r>
        <w:rPr>
          <w:rFonts w:hint="eastAsia" w:cs="宋体"/>
          <w:i w:val="0"/>
          <w:iCs w:val="0"/>
          <w:color w:val="auto"/>
          <w:sz w:val="24"/>
          <w:szCs w:val="24"/>
          <w:lang w:val="en-US" w:eastAsia="zh-CN"/>
        </w:rPr>
        <w:t>五</w:t>
      </w:r>
      <w:r>
        <w:rPr>
          <w:rFonts w:hint="eastAsia" w:cs="宋体"/>
          <w:i w:val="0"/>
          <w:iCs w:val="0"/>
          <w:color w:val="auto"/>
          <w:sz w:val="24"/>
          <w:szCs w:val="24"/>
          <w:lang w:eastAsia="zh-CN"/>
        </w:rPr>
        <w:t>：</w:t>
      </w:r>
    </w:p>
    <w:p w14:paraId="4B2D395B">
      <w:pPr>
        <w:numPr>
          <w:ilvl w:val="0"/>
          <w:numId w:val="0"/>
        </w:numPr>
        <w:spacing w:line="360" w:lineRule="auto"/>
        <w:ind w:firstLine="480" w:firstLineChars="200"/>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投标报价表中</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lang w:val="en-US" w:eastAsia="zh-CN"/>
        </w:rPr>
        <w:t>肉类食材和鸡蛋</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rPr>
        <w:t>标明的价格为总价，</w:t>
      </w:r>
      <w:r>
        <w:rPr>
          <w:rFonts w:hint="eastAsia" w:ascii="宋体" w:hAnsi="宋体" w:eastAsia="宋体" w:cs="宋体"/>
          <w:i w:val="0"/>
          <w:iCs w:val="0"/>
          <w:color w:val="auto"/>
          <w:sz w:val="24"/>
          <w:szCs w:val="24"/>
          <w:shd w:val="clear" w:color="auto" w:fill="auto"/>
        </w:rPr>
        <w:t>最终结算价格单价</w:t>
      </w:r>
      <w:r>
        <w:rPr>
          <w:rFonts w:hint="eastAsia" w:ascii="宋体" w:hAnsi="宋体" w:eastAsia="宋体" w:cs="宋体"/>
          <w:i w:val="0"/>
          <w:iCs w:val="0"/>
          <w:color w:val="auto"/>
          <w:sz w:val="24"/>
          <w:szCs w:val="24"/>
          <w:shd w:val="clear" w:color="auto" w:fill="auto"/>
          <w:lang w:eastAsia="zh-CN"/>
        </w:rPr>
        <w:t>因</w:t>
      </w:r>
      <w:r>
        <w:rPr>
          <w:rFonts w:hint="eastAsia" w:ascii="宋体" w:hAnsi="宋体" w:eastAsia="宋体" w:cs="宋体"/>
          <w:i w:val="0"/>
          <w:iCs w:val="0"/>
          <w:color w:val="auto"/>
          <w:sz w:val="24"/>
          <w:szCs w:val="24"/>
          <w:shd w:val="clear" w:color="auto" w:fill="auto"/>
          <w:lang w:val="en-US" w:eastAsia="zh-CN"/>
        </w:rPr>
        <w:t>此类原辅料价格因市场行情波动较大，需采取市场采价确定。</w:t>
      </w:r>
      <w:r>
        <w:rPr>
          <w:rFonts w:hint="eastAsia" w:ascii="宋体" w:hAnsi="宋体" w:eastAsia="宋体" w:cs="宋体"/>
          <w:i w:val="0"/>
          <w:iCs w:val="0"/>
          <w:color w:val="auto"/>
          <w:sz w:val="24"/>
          <w:szCs w:val="24"/>
          <w:highlight w:val="none"/>
          <w:u w:val="none"/>
          <w:lang w:val="en-US" w:eastAsia="zh-CN"/>
        </w:rPr>
        <w:t>具体为汉滨区教体局联合区发改部门及各学校成立询价小组，选择在汉滨城区3家及以上大型商超及农贸市场进行询价。每月开展两次市场采价询价工作（调味品可每学期采价1至2次），将每次所取的市场均价作为后半月的结算价</w:t>
      </w:r>
      <w:r>
        <w:rPr>
          <w:rFonts w:hint="eastAsia" w:ascii="宋体" w:hAnsi="宋体" w:eastAsia="宋体" w:cs="宋体"/>
          <w:i w:val="0"/>
          <w:iCs w:val="0"/>
          <w:color w:val="auto"/>
          <w:sz w:val="24"/>
          <w:szCs w:val="24"/>
          <w:u w:val="none"/>
          <w:shd w:val="clear" w:color="auto" w:fill="auto"/>
        </w:rPr>
        <w:t>。</w:t>
      </w:r>
      <w:r>
        <w:rPr>
          <w:rFonts w:hint="eastAsia" w:ascii="宋体" w:hAnsi="宋体" w:eastAsia="宋体" w:cs="宋体"/>
          <w:i w:val="0"/>
          <w:iCs w:val="0"/>
          <w:color w:val="auto"/>
          <w:sz w:val="24"/>
          <w:szCs w:val="24"/>
        </w:rPr>
        <w:t>故每</w:t>
      </w:r>
      <w:r>
        <w:rPr>
          <w:rFonts w:hint="eastAsia" w:cs="宋体"/>
          <w:i w:val="0"/>
          <w:iCs w:val="0"/>
          <w:color w:val="auto"/>
          <w:sz w:val="24"/>
          <w:szCs w:val="24"/>
          <w:lang w:val="en-US" w:eastAsia="zh-CN"/>
        </w:rPr>
        <w:t>次</w:t>
      </w:r>
      <w:r>
        <w:rPr>
          <w:rFonts w:hint="eastAsia" w:ascii="宋体" w:hAnsi="宋体" w:eastAsia="宋体" w:cs="宋体"/>
          <w:i w:val="0"/>
          <w:iCs w:val="0"/>
          <w:color w:val="auto"/>
          <w:sz w:val="24"/>
          <w:szCs w:val="24"/>
        </w:rPr>
        <w:t>结算单价</w:t>
      </w:r>
      <w:r>
        <w:rPr>
          <w:rFonts w:hint="eastAsia" w:cs="宋体"/>
          <w:i w:val="0"/>
          <w:iCs w:val="0"/>
          <w:color w:val="auto"/>
          <w:sz w:val="24"/>
          <w:szCs w:val="24"/>
          <w:lang w:eastAsia="zh-CN"/>
        </w:rPr>
        <w:t>的</w:t>
      </w:r>
      <w:r>
        <w:rPr>
          <w:rFonts w:hint="eastAsia" w:ascii="宋体" w:hAnsi="宋体" w:eastAsia="宋体" w:cs="宋体"/>
          <w:i w:val="0"/>
          <w:iCs w:val="0"/>
          <w:color w:val="auto"/>
          <w:sz w:val="24"/>
          <w:szCs w:val="24"/>
        </w:rPr>
        <w:t>计算方式为</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shd w:val="clear" w:color="auto" w:fill="auto"/>
          <w:lang w:val="en-US" w:eastAsia="zh-CN"/>
        </w:rPr>
        <w:t>所取的市场均价</w:t>
      </w:r>
      <w:r>
        <w:rPr>
          <w:rFonts w:hint="eastAsia" w:ascii="宋体" w:hAnsi="宋体" w:eastAsia="宋体" w:cs="宋体"/>
          <w:i w:val="0"/>
          <w:iCs w:val="0"/>
          <w:color w:val="auto"/>
          <w:sz w:val="24"/>
          <w:szCs w:val="24"/>
          <w:shd w:val="clear" w:color="auto" w:fill="auto"/>
        </w:rPr>
        <w:t>为基准*</w:t>
      </w:r>
      <w:r>
        <w:rPr>
          <w:rFonts w:hint="eastAsia"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1</w:t>
      </w:r>
      <w:r>
        <w:rPr>
          <w:rFonts w:hint="eastAsia"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优惠率</w:t>
      </w:r>
      <w:r>
        <w:rPr>
          <w:rFonts w:hint="eastAsia"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，依据实际供货量据实结</w:t>
      </w:r>
      <w:r>
        <w:rPr>
          <w:rFonts w:hint="eastAsia" w:ascii="宋体" w:hAnsi="宋体" w:eastAsia="宋体" w:cs="宋体"/>
          <w:i w:val="0"/>
          <w:iCs w:val="0"/>
          <w:color w:val="auto"/>
          <w:sz w:val="24"/>
          <w:szCs w:val="24"/>
        </w:rPr>
        <w:t>算</w:t>
      </w:r>
      <w:r>
        <w:rPr>
          <w:rFonts w:hint="eastAsia" w:ascii="宋体" w:hAnsi="宋体" w:eastAsia="宋体" w:cs="宋体"/>
          <w:i w:val="0"/>
          <w:iCs w:val="0"/>
          <w:color w:val="auto"/>
          <w:sz w:val="24"/>
          <w:szCs w:val="24"/>
          <w:lang w:eastAsia="zh-CN"/>
        </w:rPr>
        <w:t>。</w:t>
      </w:r>
    </w:p>
    <w:p w14:paraId="7CAAAE7F">
      <w:pPr>
        <w:numPr>
          <w:ilvl w:val="0"/>
          <w:numId w:val="0"/>
        </w:numPr>
        <w:spacing w:line="360" w:lineRule="auto"/>
        <w:ind w:firstLine="480" w:firstLineChars="200"/>
        <w:rPr>
          <w:rFonts w:hint="eastAsia" w:ascii="宋体" w:hAnsi="宋体" w:eastAsia="宋体" w:cs="宋体"/>
          <w:i w:val="0"/>
          <w:iCs w:val="0"/>
          <w:color w:val="auto"/>
          <w:sz w:val="24"/>
          <w:szCs w:val="24"/>
        </w:rPr>
      </w:pPr>
      <w:r>
        <w:rPr>
          <w:rFonts w:hint="eastAsia" w:cs="宋体"/>
          <w:i w:val="0"/>
          <w:iCs w:val="0"/>
          <w:color w:val="auto"/>
          <w:sz w:val="24"/>
          <w:szCs w:val="24"/>
          <w:lang w:val="en-US" w:eastAsia="zh-CN"/>
        </w:rPr>
        <w:t>4.</w:t>
      </w:r>
      <w:r>
        <w:rPr>
          <w:rFonts w:hint="eastAsia" w:ascii="宋体" w:hAnsi="宋体" w:eastAsia="宋体" w:cs="宋体"/>
          <w:i w:val="0"/>
          <w:iCs w:val="0"/>
          <w:color w:val="auto"/>
          <w:sz w:val="24"/>
          <w:szCs w:val="24"/>
        </w:rPr>
        <w:t>合同包</w:t>
      </w:r>
      <w:r>
        <w:rPr>
          <w:rFonts w:hint="eastAsia" w:cs="宋体"/>
          <w:i w:val="0"/>
          <w:iCs w:val="0"/>
          <w:color w:val="auto"/>
          <w:sz w:val="24"/>
          <w:szCs w:val="24"/>
          <w:lang w:val="en-US" w:eastAsia="zh-CN"/>
        </w:rPr>
        <w:t>三、合同包六</w:t>
      </w:r>
      <w:r>
        <w:rPr>
          <w:rFonts w:hint="eastAsia" w:cs="宋体"/>
          <w:i w:val="0"/>
          <w:iCs w:val="0"/>
          <w:color w:val="auto"/>
          <w:sz w:val="24"/>
          <w:szCs w:val="24"/>
          <w:lang w:eastAsia="zh-CN"/>
        </w:rPr>
        <w:t>：</w:t>
      </w:r>
    </w:p>
    <w:p w14:paraId="3956DC28">
      <w:pPr>
        <w:numPr>
          <w:ilvl w:val="0"/>
          <w:numId w:val="0"/>
        </w:numPr>
        <w:spacing w:line="360" w:lineRule="auto"/>
        <w:ind w:firstLine="480" w:firstLineChars="200"/>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投标报价表中</w:t>
      </w:r>
      <w:r>
        <w:rPr>
          <w:rFonts w:hint="eastAsia" w:cs="宋体"/>
          <w:i w:val="0"/>
          <w:iCs w:val="0"/>
          <w:color w:val="auto"/>
          <w:sz w:val="24"/>
          <w:szCs w:val="24"/>
          <w:lang w:eastAsia="zh-CN"/>
        </w:rPr>
        <w:t>（</w:t>
      </w:r>
      <w:r>
        <w:rPr>
          <w:rFonts w:hint="eastAsia" w:cs="宋体"/>
          <w:i w:val="0"/>
          <w:iCs w:val="0"/>
          <w:color w:val="auto"/>
          <w:sz w:val="24"/>
          <w:szCs w:val="24"/>
          <w:lang w:val="en-US" w:eastAsia="zh-CN"/>
        </w:rPr>
        <w:t>蔬菜、水果、干货及调味品</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rPr>
        <w:t>标明的价格为总价</w:t>
      </w:r>
      <w:r>
        <w:rPr>
          <w:rFonts w:hint="eastAsia" w:ascii="宋体" w:hAnsi="宋体" w:eastAsia="宋体" w:cs="宋体"/>
          <w:i w:val="0"/>
          <w:iCs w:val="0"/>
          <w:color w:val="auto"/>
          <w:sz w:val="24"/>
          <w:szCs w:val="24"/>
          <w:shd w:val="clear" w:color="auto" w:fill="auto"/>
        </w:rPr>
        <w:t>，最终结算价格单价</w:t>
      </w:r>
      <w:r>
        <w:rPr>
          <w:rFonts w:hint="eastAsia" w:ascii="宋体" w:hAnsi="宋体" w:eastAsia="宋体" w:cs="宋体"/>
          <w:i w:val="0"/>
          <w:iCs w:val="0"/>
          <w:color w:val="auto"/>
          <w:sz w:val="24"/>
          <w:szCs w:val="24"/>
          <w:shd w:val="clear" w:color="auto" w:fill="auto"/>
          <w:lang w:eastAsia="zh-CN"/>
        </w:rPr>
        <w:t>因</w:t>
      </w:r>
      <w:r>
        <w:rPr>
          <w:rFonts w:hint="eastAsia" w:ascii="宋体" w:hAnsi="宋体" w:eastAsia="宋体" w:cs="宋体"/>
          <w:i w:val="0"/>
          <w:iCs w:val="0"/>
          <w:color w:val="auto"/>
          <w:sz w:val="24"/>
          <w:szCs w:val="24"/>
          <w:shd w:val="clear" w:color="auto" w:fill="auto"/>
          <w:lang w:val="en-US" w:eastAsia="zh-CN"/>
        </w:rPr>
        <w:t>此类原辅料价格因市场行情波动较大，需采取市场采价确定。</w:t>
      </w:r>
      <w:r>
        <w:rPr>
          <w:rFonts w:hint="eastAsia" w:ascii="宋体" w:hAnsi="宋体" w:eastAsia="宋体" w:cs="宋体"/>
          <w:i w:val="0"/>
          <w:iCs w:val="0"/>
          <w:color w:val="auto"/>
          <w:sz w:val="24"/>
          <w:szCs w:val="24"/>
          <w:highlight w:val="none"/>
          <w:u w:val="none"/>
          <w:lang w:val="en-US" w:eastAsia="zh-CN"/>
        </w:rPr>
        <w:t>具体为汉滨区教体局联合区发改部门及各学校成立询价小组，选择在汉滨城区3家及以上大型商超及农贸市场进行询价。每月开展两次市场采价询价工作</w:t>
      </w:r>
      <w:r>
        <w:rPr>
          <w:rFonts w:hint="eastAsia" w:cs="宋体"/>
          <w:i w:val="0"/>
          <w:iCs w:val="0"/>
          <w:color w:val="auto"/>
          <w:sz w:val="24"/>
          <w:szCs w:val="24"/>
          <w:highlight w:val="none"/>
          <w:u w:val="none"/>
          <w:lang w:val="en-US" w:eastAsia="zh-CN"/>
        </w:rPr>
        <w:t>（调味品每学期采价一次）</w:t>
      </w:r>
      <w:r>
        <w:rPr>
          <w:rFonts w:hint="eastAsia" w:ascii="宋体" w:hAnsi="宋体" w:eastAsia="宋体" w:cs="宋体"/>
          <w:i w:val="0"/>
          <w:iCs w:val="0"/>
          <w:color w:val="auto"/>
          <w:sz w:val="24"/>
          <w:szCs w:val="24"/>
          <w:highlight w:val="none"/>
          <w:u w:val="none"/>
          <w:lang w:val="en-US" w:eastAsia="zh-CN"/>
        </w:rPr>
        <w:t>，将每次所取的市场均价作为后半月的结算价</w:t>
      </w:r>
      <w:r>
        <w:rPr>
          <w:rFonts w:hint="eastAsia" w:ascii="宋体" w:hAnsi="宋体" w:eastAsia="宋体" w:cs="宋体"/>
          <w:i w:val="0"/>
          <w:iCs w:val="0"/>
          <w:color w:val="auto"/>
          <w:sz w:val="24"/>
          <w:szCs w:val="24"/>
          <w:u w:val="none"/>
          <w:shd w:val="clear" w:color="auto" w:fill="auto"/>
        </w:rPr>
        <w:t>。</w:t>
      </w:r>
      <w:r>
        <w:rPr>
          <w:rFonts w:hint="eastAsia" w:ascii="宋体" w:hAnsi="宋体" w:eastAsia="宋体" w:cs="宋体"/>
          <w:i w:val="0"/>
          <w:iCs w:val="0"/>
          <w:color w:val="auto"/>
          <w:sz w:val="24"/>
          <w:szCs w:val="24"/>
        </w:rPr>
        <w:t>故每月结算单价</w:t>
      </w:r>
      <w:r>
        <w:rPr>
          <w:rFonts w:hint="eastAsia" w:cs="宋体"/>
          <w:i w:val="0"/>
          <w:iCs w:val="0"/>
          <w:color w:val="auto"/>
          <w:sz w:val="24"/>
          <w:szCs w:val="24"/>
          <w:lang w:eastAsia="zh-CN"/>
        </w:rPr>
        <w:t>的</w:t>
      </w:r>
      <w:r>
        <w:rPr>
          <w:rFonts w:hint="eastAsia" w:ascii="宋体" w:hAnsi="宋体" w:eastAsia="宋体" w:cs="宋体"/>
          <w:i w:val="0"/>
          <w:iCs w:val="0"/>
          <w:color w:val="auto"/>
          <w:sz w:val="24"/>
          <w:szCs w:val="24"/>
        </w:rPr>
        <w:t>计算方式为</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shd w:val="clear" w:color="auto" w:fill="auto"/>
          <w:lang w:val="en-US" w:eastAsia="zh-CN"/>
        </w:rPr>
        <w:t>所取的市场均价</w:t>
      </w:r>
      <w:r>
        <w:rPr>
          <w:rFonts w:hint="eastAsia" w:ascii="宋体" w:hAnsi="宋体" w:eastAsia="宋体" w:cs="宋体"/>
          <w:i w:val="0"/>
          <w:iCs w:val="0"/>
          <w:color w:val="auto"/>
          <w:sz w:val="24"/>
          <w:szCs w:val="24"/>
          <w:shd w:val="clear" w:color="auto" w:fill="auto"/>
        </w:rPr>
        <w:t>为基准*</w:t>
      </w:r>
      <w:r>
        <w:rPr>
          <w:rFonts w:hint="eastAsia"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1</w:t>
      </w:r>
      <w:r>
        <w:rPr>
          <w:rFonts w:hint="eastAsia"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优惠率</w:t>
      </w:r>
      <w:r>
        <w:rPr>
          <w:rFonts w:hint="eastAsia"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，依据实际供货量据实结</w:t>
      </w:r>
      <w:r>
        <w:rPr>
          <w:rFonts w:hint="eastAsia" w:ascii="宋体" w:hAnsi="宋体" w:eastAsia="宋体" w:cs="宋体"/>
          <w:i w:val="0"/>
          <w:iCs w:val="0"/>
          <w:color w:val="auto"/>
          <w:sz w:val="24"/>
          <w:szCs w:val="24"/>
        </w:rPr>
        <w:t>算</w:t>
      </w:r>
      <w:r>
        <w:rPr>
          <w:rFonts w:hint="eastAsia" w:ascii="宋体" w:hAnsi="宋体" w:eastAsia="宋体" w:cs="宋体"/>
          <w:i w:val="0"/>
          <w:iCs w:val="0"/>
          <w:color w:val="auto"/>
          <w:sz w:val="24"/>
          <w:szCs w:val="24"/>
          <w:lang w:eastAsia="zh-CN"/>
        </w:rPr>
        <w:t>。</w:t>
      </w:r>
    </w:p>
    <w:p w14:paraId="4612591D">
      <w:pPr>
        <w:pageBreakBefore w:val="0"/>
        <w:topLinePunct w:val="0"/>
        <w:bidi w:val="0"/>
        <w:spacing w:line="500" w:lineRule="exact"/>
        <w:ind w:left="0" w:leftChars="0" w:right="0" w:rightChars="0" w:firstLine="482" w:firstLineChars="200"/>
        <w:jc w:val="both"/>
        <w:rPr>
          <w:rFonts w:hint="eastAsia"/>
          <w:b/>
          <w:bCs/>
          <w:color w:val="auto"/>
          <w:sz w:val="24"/>
          <w:szCs w:val="24"/>
          <w:lang w:val="en-US" w:eastAsia="zh-CN"/>
        </w:rPr>
      </w:pPr>
      <w:r>
        <w:rPr>
          <w:rFonts w:hint="eastAsia"/>
          <w:b/>
          <w:bCs/>
          <w:color w:val="auto"/>
          <w:sz w:val="24"/>
          <w:szCs w:val="24"/>
          <w:lang w:val="en-US" w:eastAsia="zh-CN"/>
        </w:rPr>
        <w:t>四、包装、运输：</w:t>
      </w:r>
    </w:p>
    <w:p w14:paraId="152FB7D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1.包装</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rPr>
        <w:t>应采取防潮、防晒、防腐蚀、防震动及防止</w:t>
      </w:r>
      <w:r>
        <w:rPr>
          <w:rFonts w:hint="eastAsia" w:cs="宋体"/>
          <w:i w:val="0"/>
          <w:iCs w:val="0"/>
          <w:color w:val="auto"/>
          <w:sz w:val="24"/>
          <w:szCs w:val="24"/>
          <w:lang w:eastAsia="zh-CN"/>
        </w:rPr>
        <w:t>其他</w:t>
      </w:r>
      <w:r>
        <w:rPr>
          <w:rFonts w:hint="eastAsia" w:ascii="宋体" w:hAnsi="宋体" w:eastAsia="宋体" w:cs="宋体"/>
          <w:i w:val="0"/>
          <w:iCs w:val="0"/>
          <w:color w:val="auto"/>
          <w:sz w:val="24"/>
          <w:szCs w:val="24"/>
        </w:rPr>
        <w:t>损坏的必要措施。中标人应承担由于其包装或防护措施不妥而引起的货物锈蚀、损坏和丢失等任何损失造成的责任或费用。</w:t>
      </w:r>
    </w:p>
    <w:p w14:paraId="454D7FC6">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2.运输</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rPr>
        <w:t>中标人负责所有货物的运输。选择运输风险小、运费低、距离短的运输路线，确保货物安全、完整到达使用地点，运杂费用包含在总价内，包括货物从供货地点到使用地点的运输费、装卸费、搬运费等</w:t>
      </w:r>
      <w:r>
        <w:rPr>
          <w:rFonts w:hint="eastAsia" w:ascii="宋体" w:hAnsi="宋体" w:eastAsia="宋体" w:cs="宋体"/>
          <w:i w:val="0"/>
          <w:iCs w:val="0"/>
          <w:color w:val="auto"/>
          <w:sz w:val="24"/>
          <w:szCs w:val="24"/>
          <w:lang w:eastAsia="zh-CN"/>
        </w:rPr>
        <w:t>。</w:t>
      </w:r>
    </w:p>
    <w:p w14:paraId="0F907DE2">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3</w:t>
      </w:r>
      <w:r>
        <w:rPr>
          <w:rFonts w:hint="eastAsia" w:cs="宋体"/>
          <w:i w:val="0"/>
          <w:iCs w:val="0"/>
          <w:color w:val="auto"/>
          <w:sz w:val="24"/>
          <w:szCs w:val="24"/>
          <w:lang w:val="en-US" w:eastAsia="zh-CN"/>
        </w:rPr>
        <w:t>.</w:t>
      </w:r>
      <w:r>
        <w:rPr>
          <w:rFonts w:hint="eastAsia" w:ascii="宋体" w:hAnsi="宋体" w:eastAsia="宋体" w:cs="宋体"/>
          <w:i w:val="0"/>
          <w:iCs w:val="0"/>
          <w:color w:val="auto"/>
          <w:sz w:val="24"/>
          <w:szCs w:val="24"/>
        </w:rPr>
        <w:t>所有货物在运输、装卸、搬运的过程中，造成采购损失的，由中标人负责</w:t>
      </w:r>
      <w:r>
        <w:rPr>
          <w:rFonts w:hint="eastAsia" w:ascii="宋体" w:hAnsi="宋体" w:eastAsia="宋体" w:cs="宋体"/>
          <w:i w:val="0"/>
          <w:iCs w:val="0"/>
          <w:color w:val="auto"/>
          <w:sz w:val="24"/>
          <w:szCs w:val="24"/>
          <w:lang w:eastAsia="zh-CN"/>
        </w:rPr>
        <w:t>。</w:t>
      </w:r>
    </w:p>
    <w:p w14:paraId="3C2B218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lang w:val="en-US" w:eastAsia="zh-CN"/>
        </w:rPr>
        <w:t>4</w:t>
      </w:r>
      <w:r>
        <w:rPr>
          <w:rFonts w:hint="eastAsia" w:cs="宋体"/>
          <w:i w:val="0"/>
          <w:iCs w:val="0"/>
          <w:color w:val="auto"/>
          <w:sz w:val="24"/>
          <w:szCs w:val="24"/>
          <w:lang w:val="en-US" w:eastAsia="zh-CN"/>
        </w:rPr>
        <w:t>.</w:t>
      </w:r>
      <w:r>
        <w:rPr>
          <w:rFonts w:hint="eastAsia" w:ascii="宋体" w:hAnsi="宋体" w:eastAsia="宋体" w:cs="宋体"/>
          <w:i w:val="0"/>
          <w:iCs w:val="0"/>
          <w:color w:val="auto"/>
          <w:sz w:val="24"/>
          <w:szCs w:val="24"/>
          <w:lang w:eastAsia="zh-CN"/>
        </w:rPr>
        <w:t>中标人可根据交货期、运输条件自行选择运输方式</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lang w:eastAsia="zh-CN"/>
        </w:rPr>
        <w:t>另有规定的除外</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lang w:eastAsia="zh-CN"/>
        </w:rPr>
        <w:t>，承担一切运输费用。</w:t>
      </w:r>
    </w:p>
    <w:p w14:paraId="253F5BAD">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i w:val="0"/>
          <w:iCs w:val="0"/>
          <w:color w:val="auto"/>
          <w:sz w:val="32"/>
          <w:szCs w:val="32"/>
          <w:lang w:eastAsia="zh-CN"/>
        </w:rPr>
      </w:pPr>
      <w:r>
        <w:rPr>
          <w:rFonts w:hint="eastAsia" w:ascii="宋体" w:hAnsi="宋体" w:eastAsia="宋体" w:cs="宋体"/>
          <w:i w:val="0"/>
          <w:iCs w:val="0"/>
          <w:color w:val="auto"/>
          <w:sz w:val="24"/>
          <w:szCs w:val="24"/>
          <w:lang w:eastAsia="zh-CN"/>
        </w:rPr>
        <w:t>5</w:t>
      </w:r>
      <w:r>
        <w:rPr>
          <w:rFonts w:hint="eastAsia" w:cs="宋体"/>
          <w:i w:val="0"/>
          <w:iCs w:val="0"/>
          <w:color w:val="auto"/>
          <w:sz w:val="24"/>
          <w:szCs w:val="24"/>
          <w:lang w:val="en-US" w:eastAsia="zh-CN"/>
        </w:rPr>
        <w:t>.</w:t>
      </w:r>
      <w:r>
        <w:rPr>
          <w:rFonts w:hint="eastAsia" w:ascii="宋体" w:hAnsi="宋体" w:eastAsia="宋体" w:cs="宋体"/>
          <w:i w:val="0"/>
          <w:iCs w:val="0"/>
          <w:color w:val="auto"/>
          <w:sz w:val="24"/>
          <w:szCs w:val="24"/>
          <w:lang w:eastAsia="zh-CN"/>
        </w:rPr>
        <w:t>合同履行过程中，出现人身伤亡事故的，全部责任由供应商承担，采购人不承担任何经济及法律连带责任</w:t>
      </w:r>
      <w:r>
        <w:rPr>
          <w:rFonts w:hint="eastAsia" w:ascii="仿宋" w:hAnsi="仿宋" w:eastAsia="仿宋"/>
          <w:i w:val="0"/>
          <w:iCs w:val="0"/>
          <w:color w:val="auto"/>
          <w:sz w:val="32"/>
          <w:szCs w:val="32"/>
          <w:lang w:eastAsia="zh-CN"/>
        </w:rPr>
        <w:t>。</w:t>
      </w:r>
    </w:p>
    <w:p w14:paraId="3ACB9E1A">
      <w:pPr>
        <w:pageBreakBefore w:val="0"/>
        <w:topLinePunct w:val="0"/>
        <w:bidi w:val="0"/>
        <w:spacing w:line="500" w:lineRule="exact"/>
        <w:ind w:left="0" w:leftChars="0" w:right="0" w:rightChars="0" w:firstLine="482" w:firstLineChars="200"/>
        <w:jc w:val="both"/>
        <w:rPr>
          <w:rFonts w:hint="default"/>
          <w:b/>
          <w:bCs/>
          <w:color w:val="auto"/>
          <w:sz w:val="24"/>
          <w:szCs w:val="24"/>
          <w:lang w:val="en-US" w:eastAsia="zh-CN"/>
        </w:rPr>
      </w:pPr>
      <w:r>
        <w:rPr>
          <w:rFonts w:hint="eastAsia"/>
          <w:b/>
          <w:bCs/>
          <w:color w:val="auto"/>
          <w:sz w:val="24"/>
          <w:szCs w:val="24"/>
          <w:lang w:val="en-US" w:eastAsia="zh-CN"/>
        </w:rPr>
        <w:t>五、其他要求：</w:t>
      </w:r>
    </w:p>
    <w:p w14:paraId="500BA6DC">
      <w:pPr>
        <w:pStyle w:val="8"/>
        <w:keepNext w:val="0"/>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1.</w:t>
      </w:r>
      <w:r>
        <w:rPr>
          <w:rFonts w:hint="eastAsia" w:ascii="宋体" w:hAnsi="宋体" w:eastAsia="宋体" w:cs="宋体"/>
          <w:color w:val="auto"/>
          <w:sz w:val="24"/>
          <w:szCs w:val="24"/>
          <w:highlight w:val="none"/>
          <w:lang w:val="en-US" w:eastAsia="zh-CN" w:bidi="zh-CN"/>
        </w:rPr>
        <w:t>因运输装卸过程中造成的损耗（例如包装严重变形、破损、食品污染、变异等）、发现的破损、变异食品必须无条件一对一更换。</w:t>
      </w:r>
    </w:p>
    <w:p w14:paraId="119FD0D5">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2.</w:t>
      </w:r>
      <w:r>
        <w:rPr>
          <w:rFonts w:hint="eastAsia" w:ascii="宋体" w:hAnsi="宋体" w:eastAsia="宋体" w:cs="宋体"/>
          <w:color w:val="auto"/>
          <w:sz w:val="24"/>
          <w:szCs w:val="24"/>
          <w:highlight w:val="none"/>
          <w:lang w:val="en-US" w:eastAsia="zh-CN" w:bidi="zh-CN"/>
        </w:rPr>
        <w:t>保质期出现的质量问题由供应商负责解决并承担所有费用。如因质量问题意外食用，造成实际伤害及损失，将由供应商承担全部责任。供货商送货时应随货送上一式二联的送货清单，供货商一份、使用学校一份。</w:t>
      </w:r>
    </w:p>
    <w:p w14:paraId="24743472">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3.</w:t>
      </w:r>
      <w:r>
        <w:rPr>
          <w:rFonts w:hint="eastAsia" w:ascii="宋体" w:hAnsi="宋体" w:eastAsia="宋体" w:cs="宋体"/>
          <w:color w:val="auto"/>
          <w:sz w:val="24"/>
          <w:szCs w:val="24"/>
          <w:highlight w:val="none"/>
          <w:lang w:val="en-US" w:eastAsia="zh-CN" w:bidi="zh-CN"/>
        </w:rPr>
        <w:t>送货车辆及工用具必须保持清洁卫生。每次运输车辆前应进行清洗消毒并做好记录，在运输装卸过程中也应注意保持清洁，肉类有专用冷链车运输或在保证食材不变质、不污染条件下的其他无交叉污染冷鲜运输方式。</w:t>
      </w:r>
    </w:p>
    <w:p w14:paraId="05792331">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4.</w:t>
      </w:r>
      <w:r>
        <w:rPr>
          <w:rFonts w:hint="eastAsia" w:ascii="宋体" w:hAnsi="宋体" w:eastAsia="宋体" w:cs="宋体"/>
          <w:color w:val="auto"/>
          <w:sz w:val="24"/>
          <w:szCs w:val="24"/>
          <w:highlight w:val="none"/>
          <w:lang w:val="en-US" w:eastAsia="zh-CN" w:bidi="zh-CN"/>
        </w:rPr>
        <w:t>在执行合同期间，使用单位会不定时进行抽检考核，对存在提供劣质产品、违反</w:t>
      </w:r>
      <w:r>
        <w:rPr>
          <w:rFonts w:hint="eastAsia" w:cs="宋体"/>
          <w:color w:val="auto"/>
          <w:sz w:val="24"/>
          <w:szCs w:val="24"/>
          <w:highlight w:val="none"/>
          <w:lang w:val="en-US" w:eastAsia="zh-CN" w:bidi="zh-CN"/>
        </w:rPr>
        <w:t>合同</w:t>
      </w:r>
      <w:r>
        <w:rPr>
          <w:rFonts w:hint="eastAsia" w:ascii="宋体" w:hAnsi="宋体" w:eastAsia="宋体" w:cs="宋体"/>
          <w:color w:val="auto"/>
          <w:sz w:val="24"/>
          <w:szCs w:val="24"/>
          <w:highlight w:val="none"/>
          <w:lang w:val="en-US" w:eastAsia="zh-CN" w:bidi="zh-CN"/>
        </w:rPr>
        <w:t>造成恶劣影响的、供应过程中不积极配合，服务态度较差的中标供应商，采购人将会出具书面文件酌情对其进行终止合同或调整供应区域。所造成的损失供货商应负全部责任。</w:t>
      </w:r>
    </w:p>
    <w:p w14:paraId="5B968F7A">
      <w:pPr>
        <w:pStyle w:val="8"/>
        <w:keepNext w:val="0"/>
        <w:keepLines w:val="0"/>
        <w:pageBreakBefore w:val="0"/>
        <w:kinsoku/>
        <w:wordWrap/>
        <w:overflowPunct/>
        <w:topLinePunct w:val="0"/>
        <w:bidi w:val="0"/>
        <w:adjustRightInd/>
        <w:snapToGrid/>
        <w:spacing w:line="360" w:lineRule="auto"/>
        <w:ind w:left="0" w:leftChars="0" w:right="0" w:rightChars="0" w:firstLine="482" w:firstLineChars="200"/>
        <w:textAlignment w:val="auto"/>
        <w:rPr>
          <w:rFonts w:hint="eastAsia" w:ascii="宋体" w:hAnsi="宋体" w:eastAsia="宋体" w:cs="宋体"/>
          <w:color w:val="auto"/>
          <w:sz w:val="24"/>
          <w:szCs w:val="24"/>
          <w:highlight w:val="none"/>
          <w:lang w:val="en-US" w:eastAsia="zh-CN" w:bidi="zh-CN"/>
        </w:rPr>
      </w:pPr>
      <w:r>
        <w:rPr>
          <w:rFonts w:hint="eastAsia" w:cs="宋体"/>
          <w:b/>
          <w:bCs/>
          <w:color w:val="auto"/>
          <w:sz w:val="24"/>
          <w:szCs w:val="24"/>
          <w:highlight w:val="none"/>
          <w:lang w:val="en-US" w:eastAsia="zh-CN" w:bidi="zh-CN"/>
        </w:rPr>
        <w:t>5.</w:t>
      </w:r>
      <w:r>
        <w:rPr>
          <w:rFonts w:hint="eastAsia" w:ascii="宋体" w:hAnsi="宋体" w:eastAsia="宋体" w:cs="宋体"/>
          <w:b/>
          <w:bCs/>
          <w:color w:val="auto"/>
          <w:sz w:val="24"/>
          <w:szCs w:val="24"/>
          <w:highlight w:val="none"/>
          <w:lang w:val="en-US" w:eastAsia="zh-CN" w:bidi="zh-CN"/>
        </w:rPr>
        <w:t>乙方须向汉滨区教育体育局交纳</w:t>
      </w:r>
      <w:r>
        <w:rPr>
          <w:rFonts w:hint="eastAsia" w:ascii="宋体" w:hAnsi="宋体" w:eastAsia="宋体" w:cs="宋体"/>
          <w:b/>
          <w:bCs/>
          <w:color w:val="auto"/>
          <w:sz w:val="24"/>
          <w:szCs w:val="24"/>
          <w:highlight w:val="none"/>
          <w:u w:val="single"/>
          <w:lang w:val="en-US" w:eastAsia="zh-CN" w:bidi="zh-CN"/>
        </w:rPr>
        <w:t>（不超过</w:t>
      </w:r>
      <w:r>
        <w:rPr>
          <w:rFonts w:hint="eastAsia" w:cs="宋体"/>
          <w:b/>
          <w:bCs/>
          <w:color w:val="auto"/>
          <w:sz w:val="24"/>
          <w:szCs w:val="24"/>
          <w:highlight w:val="none"/>
          <w:u w:val="single"/>
          <w:lang w:val="en-US" w:eastAsia="zh-CN" w:bidi="zh-CN"/>
        </w:rPr>
        <w:t>10%</w:t>
      </w:r>
      <w:r>
        <w:rPr>
          <w:rFonts w:hint="eastAsia" w:ascii="宋体" w:hAnsi="宋体" w:eastAsia="宋体" w:cs="宋体"/>
          <w:b/>
          <w:bCs/>
          <w:color w:val="auto"/>
          <w:sz w:val="24"/>
          <w:szCs w:val="24"/>
          <w:highlight w:val="none"/>
          <w:u w:val="single"/>
          <w:lang w:val="en-US" w:eastAsia="zh-CN" w:bidi="zh-CN"/>
        </w:rPr>
        <w:t>）</w:t>
      </w:r>
      <w:r>
        <w:rPr>
          <w:rFonts w:hint="eastAsia" w:ascii="宋体" w:hAnsi="宋体" w:eastAsia="宋体" w:cs="宋体"/>
          <w:b/>
          <w:bCs/>
          <w:color w:val="auto"/>
          <w:sz w:val="24"/>
          <w:szCs w:val="24"/>
          <w:highlight w:val="none"/>
          <w:lang w:val="en-US" w:eastAsia="zh-CN" w:bidi="zh-CN"/>
        </w:rPr>
        <w:t>履约保证金，待合同期满后无息退回，如有违约责任将从履约保证金中扣取，具体标准详见合同。</w:t>
      </w:r>
    </w:p>
    <w:p w14:paraId="233ADEC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六、验收</w:t>
      </w:r>
      <w:r>
        <w:rPr>
          <w:rFonts w:hint="eastAsia" w:cs="宋体"/>
          <w:b/>
          <w:bCs/>
          <w:color w:val="auto"/>
          <w:sz w:val="24"/>
          <w:szCs w:val="24"/>
          <w:lang w:val="en-US" w:eastAsia="zh-CN" w:bidi="zh-CN"/>
        </w:rPr>
        <w:t>：</w:t>
      </w:r>
    </w:p>
    <w:p w14:paraId="2E846A40">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合同包一至合同包</w:t>
      </w:r>
      <w:r>
        <w:rPr>
          <w:rFonts w:hint="eastAsia" w:cs="宋体"/>
          <w:b/>
          <w:bCs/>
          <w:color w:val="auto"/>
          <w:sz w:val="24"/>
          <w:szCs w:val="24"/>
          <w:lang w:val="en-US" w:eastAsia="zh-CN" w:bidi="zh-CN"/>
        </w:rPr>
        <w:t>六</w:t>
      </w:r>
      <w:r>
        <w:rPr>
          <w:rFonts w:hint="eastAsia" w:ascii="宋体" w:hAnsi="宋体" w:eastAsia="宋体" w:cs="宋体"/>
          <w:b/>
          <w:bCs/>
          <w:color w:val="auto"/>
          <w:sz w:val="24"/>
          <w:szCs w:val="24"/>
          <w:lang w:val="en-US" w:eastAsia="zh-CN" w:bidi="zh-CN"/>
        </w:rPr>
        <w:t>：</w:t>
      </w:r>
    </w:p>
    <w:p w14:paraId="587FED2C">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1</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每次配送由使用学校和中标人共同对产品的外包装是否洁净、有无破损、规格、数量等进行验收。</w:t>
      </w:r>
    </w:p>
    <w:p w14:paraId="35A1E6E3">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2</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中标人每次供货须向使用学校提供“供货清单”（供货清单一式二份，中标人一份，学校一份）；经验收合格后，由学校单位2人以上验收小组人员在“供货清单”上签字。</w:t>
      </w:r>
    </w:p>
    <w:p w14:paraId="3F55200F">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3</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各学校及供货商须按照教育部办公厅、市场监管总局办公厅印发的《学校食堂大宗食材采购验收管理工作指引》相关规定采购验收。若验收不合格，中标人必须及时换货，保证学校的正常使用，否则采购人将终止其供货合同，并赔偿采购人的损失。</w:t>
      </w:r>
    </w:p>
    <w:p w14:paraId="15B366B5">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4</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各实施学校要根据相应的管理制度，落实专门的管理人员，在货送到后要履行严格的</w:t>
      </w:r>
      <w:r>
        <w:rPr>
          <w:rFonts w:hint="eastAsia" w:cs="宋体"/>
          <w:b w:val="0"/>
          <w:bCs w:val="0"/>
          <w:color w:val="auto"/>
          <w:sz w:val="24"/>
          <w:szCs w:val="24"/>
          <w:lang w:val="en-US" w:eastAsia="zh-CN" w:bidi="zh-CN"/>
        </w:rPr>
        <w:t>食材接收验收</w:t>
      </w:r>
      <w:r>
        <w:rPr>
          <w:rFonts w:hint="eastAsia" w:ascii="宋体" w:hAnsi="宋体" w:eastAsia="宋体" w:cs="宋体"/>
          <w:b w:val="0"/>
          <w:bCs w:val="0"/>
          <w:color w:val="auto"/>
          <w:sz w:val="24"/>
          <w:szCs w:val="24"/>
          <w:lang w:val="en-US" w:eastAsia="zh-CN" w:bidi="zh-CN"/>
        </w:rPr>
        <w:t>签字手续。随货通行票据必须标明批次和数量，建立配送</w:t>
      </w:r>
      <w:r>
        <w:rPr>
          <w:rFonts w:hint="eastAsia" w:cs="宋体"/>
          <w:b w:val="0"/>
          <w:bCs w:val="0"/>
          <w:color w:val="auto"/>
          <w:sz w:val="24"/>
          <w:szCs w:val="24"/>
          <w:lang w:val="en-US" w:eastAsia="zh-CN" w:bidi="zh-CN"/>
        </w:rPr>
        <w:t>台账</w:t>
      </w:r>
      <w:r>
        <w:rPr>
          <w:rFonts w:hint="eastAsia" w:ascii="宋体" w:hAnsi="宋体" w:eastAsia="宋体" w:cs="宋体"/>
          <w:b w:val="0"/>
          <w:bCs w:val="0"/>
          <w:color w:val="auto"/>
          <w:sz w:val="24"/>
          <w:szCs w:val="24"/>
          <w:lang w:val="en-US" w:eastAsia="zh-CN" w:bidi="zh-CN"/>
        </w:rPr>
        <w:t>。</w:t>
      </w:r>
    </w:p>
    <w:p w14:paraId="1BBE8D3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5</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留样与检查。中标人对所供食材进行留样，（留样食材的费用由中标人承担）由相关部门适时对所供产品进行抽样检查，并对检查情况建立档案，（抽检的费用由中标人承担）。抽样检查出现不合格产品的，采购单位有权终止合同，如出现因产品质量不合格发生的安全事故，由中标人负全权责任并承抯相应的经济和法律责任。</w:t>
      </w:r>
    </w:p>
    <w:p w14:paraId="5E357F3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6</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验收依据：</w:t>
      </w:r>
    </w:p>
    <w:p w14:paraId="76C0EAD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（1）合同文本及合同补充文件（条款）</w:t>
      </w:r>
    </w:p>
    <w:p w14:paraId="08F430D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（2）国家有关的验收标准及规范。</w:t>
      </w:r>
    </w:p>
    <w:p w14:paraId="220847F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（3）招标文件。</w:t>
      </w:r>
    </w:p>
    <w:p w14:paraId="34555AC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（4）中标人的投标文件</w:t>
      </w:r>
      <w:r>
        <w:rPr>
          <w:rFonts w:hint="eastAsia" w:cs="宋体"/>
          <w:color w:val="auto"/>
          <w:sz w:val="24"/>
          <w:szCs w:val="24"/>
          <w:lang w:val="en-US" w:eastAsia="zh-CN" w:bidi="zh-CN"/>
        </w:rPr>
        <w:t>。</w:t>
      </w:r>
    </w:p>
    <w:p w14:paraId="5356389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七、合同实施</w:t>
      </w:r>
      <w:r>
        <w:rPr>
          <w:rFonts w:hint="eastAsia" w:cs="宋体"/>
          <w:b/>
          <w:bCs/>
          <w:color w:val="auto"/>
          <w:sz w:val="24"/>
          <w:szCs w:val="24"/>
          <w:lang w:val="en-US" w:eastAsia="zh-CN" w:bidi="zh-CN"/>
        </w:rPr>
        <w:t>：</w:t>
      </w:r>
    </w:p>
    <w:p w14:paraId="7FC457F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中标人应在合同签订后3个工作日内安排人员与采购方就送货等工作进行交接安排。</w:t>
      </w:r>
    </w:p>
    <w:p w14:paraId="71E12F5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若未能在交货期内完成合同规定的义务，由此对采购人造成的延误和一切损失，由中标人承担和赔偿。</w:t>
      </w:r>
    </w:p>
    <w:p w14:paraId="2098179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八、违约责任</w:t>
      </w:r>
      <w:r>
        <w:rPr>
          <w:rFonts w:hint="eastAsia" w:cs="宋体"/>
          <w:b/>
          <w:bCs/>
          <w:color w:val="auto"/>
          <w:sz w:val="24"/>
          <w:szCs w:val="24"/>
          <w:lang w:val="en-US" w:eastAsia="zh-CN" w:bidi="zh-CN"/>
        </w:rPr>
        <w:t>：</w:t>
      </w:r>
    </w:p>
    <w:p w14:paraId="037B7E0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w:t>
      </w:r>
      <w:r>
        <w:rPr>
          <w:rFonts w:hint="eastAsia" w:cs="宋体"/>
          <w:color w:val="auto"/>
          <w:sz w:val="24"/>
          <w:szCs w:val="24"/>
          <w:lang w:val="en-US" w:eastAsia="zh-CN" w:bidi="zh-CN"/>
        </w:rPr>
        <w:t>.按照</w:t>
      </w:r>
      <w:r>
        <w:rPr>
          <w:rFonts w:hint="eastAsia" w:ascii="宋体" w:hAnsi="宋体" w:eastAsia="宋体" w:cs="宋体"/>
          <w:color w:val="auto"/>
          <w:sz w:val="24"/>
          <w:szCs w:val="24"/>
          <w:lang w:val="en-US" w:eastAsia="zh-CN" w:bidi="zh-CN"/>
        </w:rPr>
        <w:t>《中华人民共和国民法典》中的相关条款执行。</w:t>
      </w:r>
    </w:p>
    <w:p w14:paraId="7EF2FE69">
      <w:pPr>
        <w:keepNext w:val="0"/>
        <w:keepLines w:val="0"/>
        <w:pageBreakBefore w:val="0"/>
        <w:kinsoku/>
        <w:wordWrap/>
        <w:overflowPunct/>
        <w:topLinePunct w:val="0"/>
        <w:autoSpaceDE/>
        <w:autoSpaceDN/>
        <w:bidi w:val="0"/>
        <w:spacing w:line="500" w:lineRule="exact"/>
        <w:ind w:left="0" w:leftChars="0" w:right="0" w:rightChars="0" w:firstLine="480" w:firstLineChars="200"/>
        <w:jc w:val="both"/>
        <w:rPr>
          <w:rFonts w:hint="eastAsia" w:eastAsia="宋体"/>
          <w:color w:val="auto"/>
          <w:lang w:val="en-US" w:eastAsia="zh-CN"/>
        </w:rPr>
      </w:pPr>
      <w:r>
        <w:rPr>
          <w:rFonts w:hint="eastAsia" w:ascii="宋体" w:hAnsi="宋体" w:eastAsia="宋体" w:cs="宋体"/>
          <w:color w:val="auto"/>
          <w:sz w:val="24"/>
          <w:szCs w:val="24"/>
          <w:lang w:val="en-US" w:eastAsia="zh-CN" w:bidi="zh-CN"/>
        </w:rPr>
        <w:t>2</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未按合同要求提供产品或产品质量不能满足要求的，采购人有权终止合同，并对供方违约行为进行追究，同时</w:t>
      </w:r>
      <w:r>
        <w:rPr>
          <w:rFonts w:hint="eastAsia" w:cs="宋体"/>
          <w:color w:val="auto"/>
          <w:sz w:val="24"/>
          <w:szCs w:val="24"/>
          <w:lang w:val="en-US" w:eastAsia="zh-CN" w:bidi="zh-CN"/>
        </w:rPr>
        <w:t>上报同级监管部门</w:t>
      </w:r>
      <w:r>
        <w:rPr>
          <w:rFonts w:hint="eastAsia" w:ascii="宋体" w:hAnsi="宋体" w:eastAsia="宋体" w:cs="宋体"/>
          <w:color w:val="auto"/>
          <w:sz w:val="24"/>
          <w:szCs w:val="24"/>
          <w:lang w:val="en-US" w:eastAsia="zh-CN" w:bidi="zh-CN"/>
        </w:rPr>
        <w:t>按</w:t>
      </w:r>
      <w:r>
        <w:rPr>
          <w:rFonts w:hint="eastAsia" w:cs="宋体"/>
          <w:color w:val="auto"/>
          <w:sz w:val="24"/>
          <w:szCs w:val="24"/>
          <w:lang w:val="en-US" w:eastAsia="zh-CN" w:bidi="zh-CN"/>
        </w:rPr>
        <w:t>《中华人民共和国政府采购法》及其实施条例、《政府采购货物和服务招标投标管理办法》（财政部令第87号）</w:t>
      </w:r>
      <w:r>
        <w:rPr>
          <w:rFonts w:hint="eastAsia" w:ascii="宋体" w:hAnsi="宋体" w:eastAsia="宋体" w:cs="宋体"/>
          <w:color w:val="auto"/>
          <w:sz w:val="24"/>
          <w:szCs w:val="24"/>
          <w:lang w:val="en-US" w:eastAsia="zh-CN" w:bidi="zh-CN"/>
        </w:rPr>
        <w:t>的有关规定进行处罚。</w:t>
      </w:r>
    </w:p>
    <w:p w14:paraId="32755CB8">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30006E06">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3871CE18">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117E962C">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056C6804">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1D0B3EC9">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72609A5D">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3A208250">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23E6CF1C">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13EADF13">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0ABD9DB0">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4245D3DC">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545C20E3">
      <w:pPr>
        <w:rPr>
          <w:rFonts w:hint="eastAsia"/>
          <w:color w:val="auto"/>
          <w:lang w:val="en-US"/>
        </w:rPr>
      </w:pPr>
    </w:p>
    <w:p w14:paraId="30A3609D">
      <w:pPr>
        <w:rPr>
          <w:rFonts w:hint="eastAsia"/>
          <w:color w:val="auto"/>
          <w:lang w:val="en-US"/>
        </w:rPr>
      </w:pPr>
    </w:p>
    <w:p w14:paraId="29A7D203">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2A2FF5F3">
      <w:pPr>
        <w:pStyle w:val="2"/>
        <w:pageBreakBefore w:val="0"/>
        <w:topLinePunct w:val="0"/>
        <w:bidi w:val="0"/>
        <w:spacing w:before="0" w:line="500" w:lineRule="exact"/>
        <w:ind w:right="0" w:rightChars="0"/>
        <w:jc w:val="both"/>
        <w:rPr>
          <w:rFonts w:hint="eastAsia"/>
          <w:color w:val="auto"/>
          <w:lang w:val="en-US"/>
        </w:rPr>
      </w:pPr>
    </w:p>
    <w:p w14:paraId="752110E1">
      <w:pPr>
        <w:pStyle w:val="2"/>
        <w:pageBreakBefore w:val="0"/>
        <w:topLinePunct w:val="0"/>
        <w:bidi w:val="0"/>
        <w:spacing w:before="0" w:line="500" w:lineRule="exact"/>
        <w:ind w:left="0" w:leftChars="0" w:right="0" w:rightChars="0" w:firstLine="723" w:firstLineChars="200"/>
        <w:jc w:val="center"/>
        <w:rPr>
          <w:color w:val="auto"/>
          <w:lang w:val="en-US"/>
        </w:rPr>
      </w:pPr>
      <w:r>
        <w:rPr>
          <w:rFonts w:hint="eastAsia"/>
          <w:color w:val="auto"/>
          <w:lang w:val="en-US"/>
        </w:rPr>
        <w:t>第五章 合同主要条款</w:t>
      </w:r>
      <w:bookmarkStart w:id="20" w:name="_Toc32431"/>
    </w:p>
    <w:p w14:paraId="434EEE85">
      <w:pPr>
        <w:pStyle w:val="11"/>
      </w:pPr>
    </w:p>
    <w:p w14:paraId="64A2AFD8">
      <w:pPr>
        <w:keepNext w:val="0"/>
        <w:keepLines w:val="0"/>
        <w:pageBreakBefore w:val="0"/>
        <w:widowControl/>
        <w:suppressLineNumbers w:val="0"/>
        <w:topLinePunct w:val="0"/>
        <w:bidi w:val="0"/>
        <w:spacing w:line="500" w:lineRule="exact"/>
        <w:ind w:left="0" w:leftChars="0" w:right="0" w:rightChars="0" w:firstLine="562" w:firstLineChars="200"/>
        <w:jc w:val="center"/>
        <w:rPr>
          <w:color w:val="auto"/>
        </w:rPr>
      </w:pPr>
      <w:r>
        <w:rPr>
          <w:rFonts w:hint="eastAsia" w:ascii="宋体" w:hAnsi="宋体" w:eastAsia="宋体" w:cs="宋体"/>
          <w:b/>
          <w:bCs/>
          <w:color w:val="auto"/>
          <w:kern w:val="0"/>
          <w:sz w:val="28"/>
          <w:szCs w:val="28"/>
          <w:lang w:val="en-US" w:eastAsia="zh-CN" w:bidi="ar"/>
        </w:rPr>
        <w:t>（本合同为样稿，部分内容可由双方协商后确定）</w:t>
      </w:r>
    </w:p>
    <w:p w14:paraId="7EF96878">
      <w:pPr>
        <w:keepNext w:val="0"/>
        <w:keepLines w:val="0"/>
        <w:pageBreakBefore w:val="0"/>
        <w:widowControl/>
        <w:suppressLineNumbers w:val="0"/>
        <w:topLinePunct w:val="0"/>
        <w:bidi w:val="0"/>
        <w:spacing w:line="500" w:lineRule="exact"/>
        <w:ind w:left="0" w:leftChars="0" w:right="0" w:rightChars="0" w:firstLine="482" w:firstLineChars="200"/>
        <w:jc w:val="left"/>
        <w:rPr>
          <w:color w:val="auto"/>
        </w:rPr>
      </w:pPr>
      <w:r>
        <w:rPr>
          <w:rFonts w:hint="eastAsia" w:ascii="宋体" w:hAnsi="宋体" w:eastAsia="宋体" w:cs="宋体"/>
          <w:b/>
          <w:bCs/>
          <w:color w:val="auto"/>
          <w:kern w:val="0"/>
          <w:sz w:val="24"/>
          <w:szCs w:val="24"/>
          <w:lang w:val="en-US" w:eastAsia="zh-CN" w:bidi="ar"/>
        </w:rPr>
        <w:t xml:space="preserve">一、合同格式 </w:t>
      </w:r>
    </w:p>
    <w:p w14:paraId="03593ED1">
      <w:pPr>
        <w:pageBreakBefore w:val="0"/>
        <w:topLinePunct w:val="0"/>
        <w:bidi w:val="0"/>
        <w:spacing w:line="500" w:lineRule="exact"/>
        <w:ind w:left="0" w:leftChars="0" w:right="0" w:rightChars="0" w:firstLine="472" w:firstLineChars="200"/>
        <w:jc w:val="both"/>
        <w:rPr>
          <w:rFonts w:hint="eastAsia" w:cs="宋体"/>
          <w:color w:val="auto"/>
          <w:spacing w:val="-2"/>
          <w:position w:val="15"/>
          <w:sz w:val="24"/>
          <w:szCs w:val="24"/>
          <w:u w:val="none"/>
          <w:lang w:val="en-US" w:eastAsia="zh-CN"/>
        </w:rPr>
      </w:pPr>
      <w:r>
        <w:rPr>
          <w:rFonts w:hint="eastAsia" w:cs="宋体"/>
          <w:color w:val="auto"/>
          <w:spacing w:val="-2"/>
          <w:position w:val="15"/>
          <w:sz w:val="24"/>
          <w:szCs w:val="24"/>
          <w:u w:val="none"/>
          <w:lang w:val="en-US" w:eastAsia="zh-CN"/>
        </w:rPr>
        <w:t>采购方（以下简称甲方）：</w:t>
      </w:r>
      <w:r>
        <w:rPr>
          <w:rFonts w:hint="eastAsia" w:cs="宋体"/>
          <w:color w:val="auto"/>
          <w:spacing w:val="-2"/>
          <w:position w:val="15"/>
          <w:sz w:val="24"/>
          <w:szCs w:val="24"/>
          <w:u w:val="single"/>
          <w:lang w:val="en-US" w:eastAsia="zh-CN"/>
        </w:rPr>
        <w:t>汉滨区教育体育局</w:t>
      </w:r>
    </w:p>
    <w:p w14:paraId="7CBB3743">
      <w:pPr>
        <w:pageBreakBefore w:val="0"/>
        <w:topLinePunct w:val="0"/>
        <w:bidi w:val="0"/>
        <w:spacing w:line="500" w:lineRule="exact"/>
        <w:ind w:left="0" w:leftChars="0" w:right="0" w:rightChars="0" w:firstLine="472" w:firstLineChars="200"/>
        <w:jc w:val="both"/>
        <w:rPr>
          <w:rFonts w:hint="default" w:cs="宋体"/>
          <w:color w:val="auto"/>
          <w:spacing w:val="-2"/>
          <w:position w:val="15"/>
          <w:sz w:val="24"/>
          <w:szCs w:val="24"/>
          <w:u w:val="single"/>
          <w:lang w:val="en-US" w:eastAsia="zh-CN"/>
        </w:rPr>
      </w:pPr>
      <w:r>
        <w:rPr>
          <w:rFonts w:hint="eastAsia" w:cs="宋体"/>
          <w:color w:val="auto"/>
          <w:spacing w:val="-2"/>
          <w:position w:val="15"/>
          <w:sz w:val="24"/>
          <w:szCs w:val="24"/>
          <w:u w:val="none"/>
          <w:lang w:val="en-US" w:eastAsia="zh-CN"/>
        </w:rPr>
        <w:t>供货方（以下简称乙方）：</w:t>
      </w:r>
      <w:r>
        <w:rPr>
          <w:rFonts w:hint="eastAsia" w:cs="宋体"/>
          <w:color w:val="auto"/>
          <w:spacing w:val="-2"/>
          <w:position w:val="15"/>
          <w:sz w:val="24"/>
          <w:szCs w:val="24"/>
          <w:u w:val="single"/>
          <w:lang w:val="en-US" w:eastAsia="zh-CN"/>
        </w:rPr>
        <w:t xml:space="preserve">                 </w:t>
      </w:r>
    </w:p>
    <w:p w14:paraId="1B1D76BE">
      <w:pPr>
        <w:pageBreakBefore w:val="0"/>
        <w:topLinePunct w:val="0"/>
        <w:bidi w:val="0"/>
        <w:spacing w:line="500" w:lineRule="exact"/>
        <w:ind w:right="0" w:rightChars="0" w:firstLine="472" w:firstLineChars="200"/>
        <w:jc w:val="both"/>
        <w:rPr>
          <w:rFonts w:hint="default" w:cs="宋体"/>
          <w:color w:val="auto"/>
          <w:spacing w:val="-2"/>
          <w:position w:val="15"/>
          <w:sz w:val="24"/>
          <w:szCs w:val="24"/>
          <w:u w:val="single"/>
          <w:lang w:val="en-US" w:eastAsia="zh-CN"/>
        </w:rPr>
      </w:pPr>
      <w:r>
        <w:rPr>
          <w:rFonts w:hint="eastAsia" w:cs="宋体"/>
          <w:color w:val="auto"/>
          <w:spacing w:val="-2"/>
          <w:position w:val="15"/>
          <w:sz w:val="24"/>
          <w:szCs w:val="24"/>
          <w:u w:val="none"/>
          <w:lang w:val="en-US" w:eastAsia="zh-CN"/>
        </w:rPr>
        <w:t>确认方：</w:t>
      </w:r>
      <w:r>
        <w:rPr>
          <w:rFonts w:hint="eastAsia" w:cs="宋体"/>
          <w:color w:val="auto"/>
          <w:spacing w:val="-2"/>
          <w:position w:val="15"/>
          <w:sz w:val="24"/>
          <w:szCs w:val="24"/>
          <w:u w:val="single"/>
          <w:lang w:val="en-US" w:eastAsia="zh-CN"/>
        </w:rPr>
        <w:t xml:space="preserve">                </w:t>
      </w:r>
    </w:p>
    <w:p w14:paraId="2F633380">
      <w:pPr>
        <w:pageBreakBefore w:val="0"/>
        <w:topLinePunct w:val="0"/>
        <w:bidi w:val="0"/>
        <w:spacing w:line="500" w:lineRule="exact"/>
        <w:ind w:left="0" w:leftChars="0" w:right="0" w:rightChars="0" w:firstLine="472" w:firstLineChars="200"/>
        <w:jc w:val="both"/>
        <w:rPr>
          <w:rFonts w:hint="eastAsia" w:ascii="宋体" w:hAnsi="宋体" w:eastAsia="宋体" w:cs="宋体"/>
          <w:color w:val="auto"/>
          <w:spacing w:val="-2"/>
          <w:position w:val="15"/>
          <w:sz w:val="24"/>
          <w:szCs w:val="24"/>
          <w:lang w:val="en-US" w:eastAsia="zh-CN"/>
        </w:rPr>
      </w:pPr>
      <w:r>
        <w:rPr>
          <w:rFonts w:hint="eastAsia" w:cs="宋体"/>
          <w:color w:val="auto"/>
          <w:spacing w:val="-2"/>
          <w:position w:val="15"/>
          <w:sz w:val="24"/>
          <w:szCs w:val="24"/>
          <w:u w:val="none"/>
          <w:lang w:val="en-US" w:eastAsia="zh-CN"/>
        </w:rPr>
        <w:t>甲、乙双方根据《中华人民共和国政府采购法》及其实施条例、《政府采购货物和服务招标投标管理办法》（财政部令第87号）《中华人民共和国民法典》等相关法律、法规规定，在平等、自愿原则下，现就</w:t>
      </w:r>
      <w:r>
        <w:rPr>
          <w:rFonts w:hint="eastAsia" w:cs="宋体"/>
          <w:color w:val="auto"/>
          <w:spacing w:val="-2"/>
          <w:position w:val="15"/>
          <w:sz w:val="24"/>
          <w:szCs w:val="24"/>
          <w:u w:val="single"/>
          <w:lang w:val="en-US" w:eastAsia="zh-CN"/>
        </w:rPr>
        <w:t>汉滨区2026－2027学年度中小学幼儿园大宗食材及原辅材料配送项目招标采购</w:t>
      </w:r>
      <w:r>
        <w:rPr>
          <w:rFonts w:hint="eastAsia" w:ascii="宋体" w:hAnsi="宋体" w:eastAsia="宋体" w:cs="宋体"/>
          <w:color w:val="auto"/>
          <w:spacing w:val="-2"/>
          <w:position w:val="15"/>
          <w:sz w:val="24"/>
          <w:szCs w:val="24"/>
          <w:u w:val="single"/>
          <w:lang w:val="en-US" w:eastAsia="zh-CN"/>
        </w:rPr>
        <w:t>第一/二/三/四/五</w:t>
      </w:r>
      <w:r>
        <w:rPr>
          <w:rFonts w:hint="eastAsia" w:cs="宋体"/>
          <w:color w:val="auto"/>
          <w:spacing w:val="-2"/>
          <w:position w:val="15"/>
          <w:sz w:val="24"/>
          <w:szCs w:val="24"/>
          <w:u w:val="single"/>
          <w:lang w:val="en-US" w:eastAsia="zh-CN"/>
        </w:rPr>
        <w:t>/六</w:t>
      </w:r>
      <w:r>
        <w:rPr>
          <w:rFonts w:hint="eastAsia" w:ascii="宋体" w:hAnsi="宋体" w:eastAsia="宋体" w:cs="宋体"/>
          <w:color w:val="auto"/>
          <w:spacing w:val="-2"/>
          <w:position w:val="15"/>
          <w:sz w:val="24"/>
          <w:szCs w:val="24"/>
          <w:u w:val="single"/>
          <w:lang w:val="en-US" w:eastAsia="zh-CN"/>
        </w:rPr>
        <w:t>包</w:t>
      </w:r>
      <w:r>
        <w:rPr>
          <w:rFonts w:hint="eastAsia" w:cs="宋体"/>
          <w:color w:val="auto"/>
          <w:spacing w:val="-2"/>
          <w:position w:val="15"/>
          <w:sz w:val="24"/>
          <w:szCs w:val="24"/>
          <w:u w:val="single"/>
          <w:lang w:val="en-US" w:eastAsia="zh-CN"/>
        </w:rPr>
        <w:t>达成以下协议：</w:t>
      </w:r>
    </w:p>
    <w:p w14:paraId="66E52D06">
      <w:pPr>
        <w:pageBreakBefore w:val="0"/>
        <w:topLinePunct w:val="0"/>
        <w:bidi w:val="0"/>
        <w:spacing w:line="500" w:lineRule="exact"/>
        <w:ind w:left="0" w:leftChars="0" w:right="0" w:rightChars="0" w:firstLine="472" w:firstLineChars="200"/>
        <w:jc w:val="both"/>
        <w:rPr>
          <w:rFonts w:hint="eastAsia"/>
          <w:color w:val="auto"/>
          <w:spacing w:val="-2"/>
          <w:position w:val="15"/>
          <w:sz w:val="24"/>
          <w:szCs w:val="24"/>
          <w:lang w:val="en-US" w:eastAsia="zh-CN"/>
        </w:rPr>
      </w:pPr>
      <w:r>
        <w:rPr>
          <w:rFonts w:hint="eastAsia"/>
          <w:color w:val="auto"/>
          <w:spacing w:val="-2"/>
          <w:position w:val="15"/>
          <w:sz w:val="24"/>
          <w:szCs w:val="24"/>
          <w:lang w:val="en-US" w:eastAsia="zh-CN"/>
        </w:rPr>
        <w:t>甲方通过公开招标采购，并接受了乙方以价格（或优惠率）</w:t>
      </w:r>
      <w:r>
        <w:rPr>
          <w:rFonts w:hint="eastAsia"/>
          <w:color w:val="auto"/>
          <w:spacing w:val="-2"/>
          <w:position w:val="15"/>
          <w:sz w:val="24"/>
          <w:szCs w:val="24"/>
          <w:u w:val="single"/>
          <w:lang w:val="en-US" w:eastAsia="zh-CN"/>
        </w:rPr>
        <w:t xml:space="preserve">        （</w:t>
      </w:r>
      <w:r>
        <w:rPr>
          <w:rFonts w:hint="eastAsia"/>
          <w:color w:val="auto"/>
          <w:spacing w:val="-2"/>
          <w:position w:val="15"/>
          <w:sz w:val="24"/>
          <w:szCs w:val="24"/>
          <w:lang w:val="en-US" w:eastAsia="zh-CN"/>
        </w:rPr>
        <w:t>中标金额大写）提供的产品及服务。</w:t>
      </w:r>
    </w:p>
    <w:p w14:paraId="31D5A05C">
      <w:pPr>
        <w:keepNext w:val="0"/>
        <w:keepLines w:val="0"/>
        <w:pageBreakBefore w:val="0"/>
        <w:widowControl/>
        <w:suppressLineNumbers w:val="0"/>
        <w:topLinePunct w:val="0"/>
        <w:bidi w:val="0"/>
        <w:spacing w:line="500" w:lineRule="exact"/>
        <w:ind w:left="0" w:leftChars="0" w:right="0" w:rightChars="0" w:firstLine="482" w:firstLineChars="200"/>
        <w:jc w:val="left"/>
        <w:rPr>
          <w:color w:val="auto"/>
        </w:rPr>
      </w:pPr>
      <w:r>
        <w:rPr>
          <w:rFonts w:hint="eastAsia" w:ascii="宋体" w:hAnsi="宋体" w:eastAsia="宋体" w:cs="宋体"/>
          <w:b/>
          <w:bCs/>
          <w:color w:val="auto"/>
          <w:kern w:val="0"/>
          <w:sz w:val="24"/>
          <w:szCs w:val="24"/>
          <w:lang w:val="en-US" w:eastAsia="zh-CN" w:bidi="ar"/>
        </w:rPr>
        <w:t>二、乙方向甲方所指定的学校提供食品：</w:t>
      </w:r>
    </w:p>
    <w:tbl>
      <w:tblPr>
        <w:tblStyle w:val="24"/>
        <w:tblW w:w="100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8"/>
        <w:gridCol w:w="1287"/>
        <w:gridCol w:w="1584"/>
        <w:gridCol w:w="1272"/>
        <w:gridCol w:w="732"/>
        <w:gridCol w:w="1896"/>
        <w:gridCol w:w="1857"/>
      </w:tblGrid>
      <w:tr w14:paraId="71E9F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38" w:type="dxa"/>
            <w:vAlign w:val="center"/>
          </w:tcPr>
          <w:p w14:paraId="2ADAEF63">
            <w:pPr>
              <w:pStyle w:val="8"/>
              <w:pageBreakBefore w:val="0"/>
              <w:topLinePunct w:val="0"/>
              <w:bidi w:val="0"/>
              <w:spacing w:line="500" w:lineRule="exact"/>
              <w:ind w:left="0" w:leftChars="0" w:right="0" w:rightChars="0" w:firstLine="402" w:firstLineChars="200"/>
              <w:jc w:val="both"/>
              <w:rPr>
                <w:rFonts w:hint="default"/>
                <w:b/>
                <w:bCs/>
                <w:color w:val="auto"/>
                <w:vertAlign w:val="baseline"/>
                <w:lang w:val="en-US" w:eastAsia="zh-CN"/>
              </w:rPr>
            </w:pPr>
            <w:r>
              <w:rPr>
                <w:rFonts w:hint="eastAsia"/>
                <w:b/>
                <w:bCs/>
                <w:color w:val="auto"/>
                <w:vertAlign w:val="baseline"/>
                <w:lang w:val="en-US" w:eastAsia="zh-CN"/>
              </w:rPr>
              <w:t>序号</w:t>
            </w:r>
          </w:p>
        </w:tc>
        <w:tc>
          <w:tcPr>
            <w:tcW w:w="1287" w:type="dxa"/>
            <w:vAlign w:val="center"/>
          </w:tcPr>
          <w:p w14:paraId="1D0E5C7E">
            <w:pPr>
              <w:pStyle w:val="8"/>
              <w:pageBreakBefore w:val="0"/>
              <w:topLinePunct w:val="0"/>
              <w:bidi w:val="0"/>
              <w:spacing w:line="500" w:lineRule="exact"/>
              <w:ind w:left="0" w:leftChars="0" w:right="0" w:rightChars="0" w:firstLine="402" w:firstLineChars="200"/>
              <w:jc w:val="both"/>
              <w:rPr>
                <w:rFonts w:hint="default"/>
                <w:b/>
                <w:bCs/>
                <w:color w:val="auto"/>
                <w:vertAlign w:val="baseline"/>
                <w:lang w:val="en-US" w:eastAsia="zh-CN"/>
              </w:rPr>
            </w:pPr>
            <w:r>
              <w:rPr>
                <w:rFonts w:hint="eastAsia"/>
                <w:b/>
                <w:bCs/>
                <w:color w:val="auto"/>
                <w:vertAlign w:val="baseline"/>
                <w:lang w:val="en-US" w:eastAsia="zh-CN"/>
              </w:rPr>
              <w:t>名称</w:t>
            </w:r>
          </w:p>
        </w:tc>
        <w:tc>
          <w:tcPr>
            <w:tcW w:w="1584" w:type="dxa"/>
            <w:vAlign w:val="center"/>
          </w:tcPr>
          <w:p w14:paraId="30DEDD3D">
            <w:pPr>
              <w:pStyle w:val="8"/>
              <w:pageBreakBefore w:val="0"/>
              <w:topLinePunct w:val="0"/>
              <w:bidi w:val="0"/>
              <w:spacing w:line="500" w:lineRule="exact"/>
              <w:ind w:left="0" w:leftChars="0" w:right="0" w:rightChars="0" w:firstLine="402" w:firstLineChars="200"/>
              <w:jc w:val="both"/>
              <w:rPr>
                <w:rFonts w:hint="default"/>
                <w:b/>
                <w:bCs/>
                <w:color w:val="auto"/>
                <w:vertAlign w:val="baseline"/>
                <w:lang w:val="en-US" w:eastAsia="zh-CN"/>
              </w:rPr>
            </w:pPr>
            <w:r>
              <w:rPr>
                <w:rFonts w:hint="eastAsia"/>
                <w:b/>
                <w:bCs/>
                <w:color w:val="auto"/>
                <w:vertAlign w:val="baseline"/>
                <w:lang w:val="en-US" w:eastAsia="zh-CN"/>
              </w:rPr>
              <w:t>规格</w:t>
            </w:r>
          </w:p>
        </w:tc>
        <w:tc>
          <w:tcPr>
            <w:tcW w:w="1272" w:type="dxa"/>
            <w:vAlign w:val="center"/>
          </w:tcPr>
          <w:p w14:paraId="11A8FC66">
            <w:pPr>
              <w:pStyle w:val="8"/>
              <w:pageBreakBefore w:val="0"/>
              <w:topLinePunct w:val="0"/>
              <w:bidi w:val="0"/>
              <w:spacing w:line="500" w:lineRule="exact"/>
              <w:ind w:left="0" w:leftChars="0" w:right="0" w:rightChars="0" w:firstLine="402" w:firstLineChars="200"/>
              <w:jc w:val="both"/>
              <w:rPr>
                <w:rFonts w:hint="default"/>
                <w:b/>
                <w:bCs/>
                <w:color w:val="auto"/>
                <w:vertAlign w:val="baseline"/>
                <w:lang w:val="en-US" w:eastAsia="zh-CN"/>
              </w:rPr>
            </w:pPr>
            <w:r>
              <w:rPr>
                <w:rFonts w:hint="eastAsia"/>
                <w:b/>
                <w:bCs/>
                <w:color w:val="auto"/>
                <w:vertAlign w:val="baseline"/>
                <w:lang w:val="en-US" w:eastAsia="zh-CN"/>
              </w:rPr>
              <w:t>品牌</w:t>
            </w:r>
          </w:p>
        </w:tc>
        <w:tc>
          <w:tcPr>
            <w:tcW w:w="732" w:type="dxa"/>
            <w:vAlign w:val="center"/>
          </w:tcPr>
          <w:p w14:paraId="422E2B15">
            <w:pPr>
              <w:pStyle w:val="8"/>
              <w:pageBreakBefore w:val="0"/>
              <w:topLinePunct w:val="0"/>
              <w:bidi w:val="0"/>
              <w:spacing w:line="500" w:lineRule="exact"/>
              <w:ind w:left="0" w:leftChars="0" w:right="0" w:rightChars="0" w:firstLine="0" w:firstLineChars="0"/>
              <w:jc w:val="both"/>
              <w:rPr>
                <w:rFonts w:hint="default"/>
                <w:b/>
                <w:bCs/>
                <w:color w:val="auto"/>
                <w:vertAlign w:val="baseline"/>
                <w:lang w:val="en-US" w:eastAsia="zh-CN"/>
              </w:rPr>
            </w:pPr>
            <w:r>
              <w:rPr>
                <w:rFonts w:hint="eastAsia"/>
                <w:b/>
                <w:bCs/>
                <w:color w:val="auto"/>
                <w:vertAlign w:val="baseline"/>
                <w:lang w:val="en-US" w:eastAsia="zh-CN"/>
              </w:rPr>
              <w:t>数量</w:t>
            </w:r>
          </w:p>
        </w:tc>
        <w:tc>
          <w:tcPr>
            <w:tcW w:w="1896" w:type="dxa"/>
            <w:vAlign w:val="center"/>
          </w:tcPr>
          <w:p w14:paraId="0121E1CE">
            <w:pPr>
              <w:pStyle w:val="8"/>
              <w:pageBreakBefore w:val="0"/>
              <w:topLinePunct w:val="0"/>
              <w:bidi w:val="0"/>
              <w:spacing w:line="500" w:lineRule="exact"/>
              <w:ind w:left="0" w:leftChars="0" w:right="0" w:rightChars="0" w:firstLine="0" w:firstLineChars="0"/>
              <w:jc w:val="both"/>
              <w:rPr>
                <w:rFonts w:hint="default"/>
                <w:b/>
                <w:bCs/>
                <w:color w:val="auto"/>
                <w:vertAlign w:val="baseline"/>
                <w:lang w:val="en-US" w:eastAsia="zh-CN"/>
              </w:rPr>
            </w:pPr>
            <w:r>
              <w:rPr>
                <w:rFonts w:hint="eastAsia"/>
                <w:b/>
                <w:bCs/>
                <w:color w:val="auto"/>
                <w:vertAlign w:val="baseline"/>
                <w:lang w:val="en-US" w:eastAsia="zh-CN"/>
              </w:rPr>
              <w:t>单价（或优惠率）</w:t>
            </w:r>
          </w:p>
        </w:tc>
        <w:tc>
          <w:tcPr>
            <w:tcW w:w="1857" w:type="dxa"/>
            <w:vAlign w:val="center"/>
          </w:tcPr>
          <w:p w14:paraId="7C247D5A">
            <w:pPr>
              <w:pStyle w:val="8"/>
              <w:pageBreakBefore w:val="0"/>
              <w:topLinePunct w:val="0"/>
              <w:bidi w:val="0"/>
              <w:spacing w:line="500" w:lineRule="exact"/>
              <w:ind w:left="0" w:leftChars="0" w:right="0" w:rightChars="0" w:firstLine="0" w:firstLineChars="0"/>
              <w:jc w:val="both"/>
              <w:rPr>
                <w:rFonts w:hint="default"/>
                <w:b/>
                <w:bCs/>
                <w:color w:val="auto"/>
                <w:vertAlign w:val="baseline"/>
                <w:lang w:val="en-US" w:eastAsia="zh-CN"/>
              </w:rPr>
            </w:pPr>
            <w:r>
              <w:rPr>
                <w:rFonts w:hint="eastAsia"/>
                <w:b/>
                <w:bCs/>
                <w:color w:val="auto"/>
                <w:vertAlign w:val="baseline"/>
                <w:lang w:val="en-US" w:eastAsia="zh-CN"/>
              </w:rPr>
              <w:t>总价（或优惠率）</w:t>
            </w:r>
          </w:p>
        </w:tc>
      </w:tr>
      <w:tr w14:paraId="40C8C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438" w:type="dxa"/>
            <w:vAlign w:val="center"/>
          </w:tcPr>
          <w:p w14:paraId="19D98673">
            <w:pPr>
              <w:pStyle w:val="8"/>
              <w:pageBreakBefore w:val="0"/>
              <w:topLinePunct w:val="0"/>
              <w:bidi w:val="0"/>
              <w:spacing w:line="500" w:lineRule="exact"/>
              <w:ind w:left="0" w:leftChars="0" w:right="0" w:rightChars="0" w:firstLine="402" w:firstLineChars="200"/>
              <w:jc w:val="center"/>
              <w:rPr>
                <w:rFonts w:hint="default"/>
                <w:b/>
                <w:bCs/>
                <w:color w:val="auto"/>
                <w:vertAlign w:val="baseline"/>
                <w:lang w:val="en-US" w:eastAsia="zh-CN"/>
              </w:rPr>
            </w:pPr>
            <w:r>
              <w:rPr>
                <w:rFonts w:hint="eastAsia"/>
                <w:b/>
                <w:bCs/>
                <w:color w:val="auto"/>
                <w:vertAlign w:val="baseline"/>
                <w:lang w:val="en-US" w:eastAsia="zh-CN"/>
              </w:rPr>
              <w:t>1</w:t>
            </w:r>
          </w:p>
        </w:tc>
        <w:tc>
          <w:tcPr>
            <w:tcW w:w="1287" w:type="dxa"/>
          </w:tcPr>
          <w:p w14:paraId="730579F4">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584" w:type="dxa"/>
          </w:tcPr>
          <w:p w14:paraId="26A5366A">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272" w:type="dxa"/>
          </w:tcPr>
          <w:p w14:paraId="0466968C">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732" w:type="dxa"/>
          </w:tcPr>
          <w:p w14:paraId="4AD8DED1">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896" w:type="dxa"/>
          </w:tcPr>
          <w:p w14:paraId="0037A538">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857" w:type="dxa"/>
          </w:tcPr>
          <w:p w14:paraId="79E0C5EF">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r>
      <w:tr w14:paraId="4A035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438" w:type="dxa"/>
            <w:vAlign w:val="center"/>
          </w:tcPr>
          <w:p w14:paraId="26152056">
            <w:pPr>
              <w:pStyle w:val="8"/>
              <w:pageBreakBefore w:val="0"/>
              <w:topLinePunct w:val="0"/>
              <w:bidi w:val="0"/>
              <w:spacing w:line="500" w:lineRule="exact"/>
              <w:ind w:left="0" w:leftChars="0" w:right="0" w:rightChars="0" w:firstLine="402" w:firstLineChars="200"/>
              <w:jc w:val="center"/>
              <w:rPr>
                <w:rFonts w:hint="default"/>
                <w:b/>
                <w:bCs/>
                <w:color w:val="auto"/>
                <w:vertAlign w:val="baseline"/>
                <w:lang w:val="en-US" w:eastAsia="zh-CN"/>
              </w:rPr>
            </w:pPr>
            <w:r>
              <w:rPr>
                <w:rFonts w:hint="eastAsia"/>
                <w:b/>
                <w:bCs/>
                <w:color w:val="auto"/>
                <w:vertAlign w:val="baseline"/>
                <w:lang w:val="en-US" w:eastAsia="zh-CN"/>
              </w:rPr>
              <w:t>2</w:t>
            </w:r>
          </w:p>
        </w:tc>
        <w:tc>
          <w:tcPr>
            <w:tcW w:w="1287" w:type="dxa"/>
          </w:tcPr>
          <w:p w14:paraId="190FCFDE">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584" w:type="dxa"/>
          </w:tcPr>
          <w:p w14:paraId="3975D4F3">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272" w:type="dxa"/>
          </w:tcPr>
          <w:p w14:paraId="78505F02">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732" w:type="dxa"/>
          </w:tcPr>
          <w:p w14:paraId="146AB65D">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896" w:type="dxa"/>
          </w:tcPr>
          <w:p w14:paraId="54DE2C85">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857" w:type="dxa"/>
          </w:tcPr>
          <w:p w14:paraId="64A8061A">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r>
      <w:tr w14:paraId="6A066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1438" w:type="dxa"/>
            <w:vAlign w:val="center"/>
          </w:tcPr>
          <w:p w14:paraId="75B758A4">
            <w:pPr>
              <w:pStyle w:val="8"/>
              <w:pageBreakBefore w:val="0"/>
              <w:topLinePunct w:val="0"/>
              <w:bidi w:val="0"/>
              <w:spacing w:line="500" w:lineRule="exact"/>
              <w:ind w:left="0" w:leftChars="0" w:right="0" w:rightChars="0" w:firstLine="402" w:firstLineChars="200"/>
              <w:jc w:val="center"/>
              <w:rPr>
                <w:rFonts w:hint="default"/>
                <w:b/>
                <w:bCs/>
                <w:color w:val="auto"/>
                <w:vertAlign w:val="baseline"/>
                <w:lang w:val="en-US" w:eastAsia="zh-CN"/>
              </w:rPr>
            </w:pPr>
            <w:r>
              <w:rPr>
                <w:rFonts w:hint="eastAsia"/>
                <w:b/>
                <w:bCs/>
                <w:color w:val="auto"/>
                <w:vertAlign w:val="baseline"/>
                <w:lang w:val="en-US" w:eastAsia="zh-CN"/>
              </w:rPr>
              <w:t>...</w:t>
            </w:r>
          </w:p>
        </w:tc>
        <w:tc>
          <w:tcPr>
            <w:tcW w:w="1287" w:type="dxa"/>
          </w:tcPr>
          <w:p w14:paraId="1F9CB7B7">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584" w:type="dxa"/>
          </w:tcPr>
          <w:p w14:paraId="10B3EA64">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272" w:type="dxa"/>
          </w:tcPr>
          <w:p w14:paraId="31141670">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732" w:type="dxa"/>
          </w:tcPr>
          <w:p w14:paraId="7F712171">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896" w:type="dxa"/>
          </w:tcPr>
          <w:p w14:paraId="0D1EDCAC">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857" w:type="dxa"/>
          </w:tcPr>
          <w:p w14:paraId="5BD21F08">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r>
      <w:tr w14:paraId="1484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1438" w:type="dxa"/>
            <w:vAlign w:val="center"/>
          </w:tcPr>
          <w:p w14:paraId="184C2542">
            <w:pPr>
              <w:pStyle w:val="8"/>
              <w:pageBreakBefore w:val="0"/>
              <w:topLinePunct w:val="0"/>
              <w:bidi w:val="0"/>
              <w:spacing w:line="500" w:lineRule="exact"/>
              <w:ind w:left="0" w:leftChars="0" w:right="0" w:rightChars="0" w:firstLine="402" w:firstLineChars="200"/>
              <w:jc w:val="center"/>
              <w:rPr>
                <w:rFonts w:hint="default"/>
                <w:b/>
                <w:bCs/>
                <w:color w:val="auto"/>
                <w:vertAlign w:val="baseline"/>
                <w:lang w:val="en-US" w:eastAsia="zh-CN"/>
              </w:rPr>
            </w:pPr>
            <w:r>
              <w:rPr>
                <w:rFonts w:hint="eastAsia"/>
                <w:b/>
                <w:bCs/>
                <w:color w:val="auto"/>
                <w:vertAlign w:val="baseline"/>
                <w:lang w:val="en-US" w:eastAsia="zh-CN"/>
              </w:rPr>
              <w:t>合计</w:t>
            </w:r>
          </w:p>
        </w:tc>
        <w:tc>
          <w:tcPr>
            <w:tcW w:w="1287" w:type="dxa"/>
          </w:tcPr>
          <w:p w14:paraId="5A755297">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584" w:type="dxa"/>
          </w:tcPr>
          <w:p w14:paraId="7DDC3664">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272" w:type="dxa"/>
          </w:tcPr>
          <w:p w14:paraId="3320E071">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732" w:type="dxa"/>
          </w:tcPr>
          <w:p w14:paraId="293473B9">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896" w:type="dxa"/>
          </w:tcPr>
          <w:p w14:paraId="0D42791F">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857" w:type="dxa"/>
          </w:tcPr>
          <w:p w14:paraId="1A32EB23">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r>
    </w:tbl>
    <w:p w14:paraId="772787F5">
      <w:pPr>
        <w:keepNext w:val="0"/>
        <w:keepLines w:val="0"/>
        <w:pageBreakBefore w:val="0"/>
        <w:widowControl/>
        <w:suppressLineNumbers w:val="0"/>
        <w:topLinePunct w:val="0"/>
        <w:bidi w:val="0"/>
        <w:spacing w:line="500" w:lineRule="exact"/>
        <w:ind w:right="0" w:rightChars="0" w:firstLine="241" w:firstLineChars="100"/>
        <w:jc w:val="left"/>
        <w:rPr>
          <w:color w:val="auto"/>
        </w:rPr>
      </w:pPr>
      <w:r>
        <w:rPr>
          <w:rFonts w:hint="eastAsia" w:ascii="宋体" w:hAnsi="宋体" w:eastAsia="宋体" w:cs="宋体"/>
          <w:b/>
          <w:bCs/>
          <w:color w:val="auto"/>
          <w:kern w:val="0"/>
          <w:sz w:val="24"/>
          <w:szCs w:val="24"/>
          <w:lang w:val="en-US" w:eastAsia="zh-CN" w:bidi="ar"/>
        </w:rPr>
        <w:t>三、合同价款</w:t>
      </w:r>
    </w:p>
    <w:p w14:paraId="29CCA548">
      <w:pPr>
        <w:pageBreakBefore w:val="0"/>
        <w:topLinePunct w:val="0"/>
        <w:bidi w:val="0"/>
        <w:spacing w:line="500" w:lineRule="exact"/>
        <w:ind w:left="0" w:leftChars="0" w:right="0" w:rightChars="0" w:firstLine="472" w:firstLineChars="200"/>
        <w:jc w:val="both"/>
        <w:rPr>
          <w:rFonts w:hint="eastAsia"/>
          <w:color w:val="auto"/>
          <w:spacing w:val="-2"/>
          <w:position w:val="15"/>
          <w:sz w:val="24"/>
          <w:szCs w:val="24"/>
          <w:lang w:val="en-US" w:eastAsia="zh-CN"/>
        </w:rPr>
      </w:pPr>
      <w:r>
        <w:rPr>
          <w:rFonts w:hint="eastAsia"/>
          <w:color w:val="auto"/>
          <w:spacing w:val="-2"/>
          <w:position w:val="15"/>
          <w:sz w:val="24"/>
          <w:szCs w:val="24"/>
          <w:lang w:val="en-US" w:eastAsia="zh-CN"/>
        </w:rPr>
        <w:t>1.投标单价应包括食品采购、包装、运输、装卸、加工、供货服务期限、配送（配送到指定学校地点）、售后服务及国家按现行税收政策征收的一切税费等。（镇办核心校负责辖区学校各相关票据、数据的审核和资金审查工作，区级相关部门负责实施工作督查和相关资金审计。）</w:t>
      </w:r>
    </w:p>
    <w:p w14:paraId="2E5E0FBB">
      <w:pPr>
        <w:spacing w:line="360" w:lineRule="auto"/>
        <w:ind w:firstLine="480" w:firstLineChars="20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2</w:t>
      </w:r>
      <w:r>
        <w:rPr>
          <w:rFonts w:hint="eastAsia" w:cs="宋体"/>
          <w:i w:val="0"/>
          <w:iCs w:val="0"/>
          <w:color w:val="auto"/>
          <w:sz w:val="24"/>
          <w:szCs w:val="24"/>
          <w:lang w:val="en-US" w:eastAsia="zh-CN"/>
        </w:rPr>
        <w:t>.</w:t>
      </w:r>
      <w:r>
        <w:rPr>
          <w:rFonts w:hint="eastAsia" w:ascii="宋体" w:hAnsi="宋体" w:eastAsia="宋体" w:cs="宋体"/>
          <w:i w:val="0"/>
          <w:iCs w:val="0"/>
          <w:color w:val="auto"/>
          <w:sz w:val="24"/>
          <w:szCs w:val="24"/>
        </w:rPr>
        <w:t>合同包一</w:t>
      </w:r>
      <w:r>
        <w:rPr>
          <w:rFonts w:hint="eastAsia" w:ascii="宋体" w:hAnsi="宋体" w:eastAsia="宋体" w:cs="宋体"/>
          <w:i w:val="0"/>
          <w:iCs w:val="0"/>
          <w:color w:val="auto"/>
          <w:sz w:val="24"/>
          <w:szCs w:val="24"/>
          <w:lang w:eastAsia="zh-CN"/>
        </w:rPr>
        <w:t>、合同包</w:t>
      </w:r>
      <w:r>
        <w:rPr>
          <w:rFonts w:hint="eastAsia" w:cs="宋体"/>
          <w:i w:val="0"/>
          <w:iCs w:val="0"/>
          <w:color w:val="auto"/>
          <w:sz w:val="24"/>
          <w:szCs w:val="24"/>
          <w:lang w:val="en-US" w:eastAsia="zh-CN"/>
        </w:rPr>
        <w:t>四</w:t>
      </w:r>
      <w:r>
        <w:rPr>
          <w:rFonts w:hint="eastAsia" w:cs="宋体"/>
          <w:i w:val="0"/>
          <w:iCs w:val="0"/>
          <w:color w:val="auto"/>
          <w:sz w:val="24"/>
          <w:szCs w:val="24"/>
          <w:lang w:eastAsia="zh-CN"/>
        </w:rPr>
        <w:t>：</w:t>
      </w:r>
    </w:p>
    <w:p w14:paraId="6E60C2A7">
      <w:pPr>
        <w:numPr>
          <w:ilvl w:val="0"/>
          <w:numId w:val="0"/>
        </w:numPr>
        <w:spacing w:line="360" w:lineRule="auto"/>
        <w:ind w:firstLine="480" w:firstLineChars="20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投标报价表中</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大米、面粉</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菜籽油</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标明的价格应为履行合同的固定综合单价，合同有效期内合同单价一次包死。最终结算价格以固定综合单价乘以实际供货数量的合计为准。</w:t>
      </w:r>
    </w:p>
    <w:p w14:paraId="5F0FC59F">
      <w:pPr>
        <w:numPr>
          <w:ilvl w:val="0"/>
          <w:numId w:val="0"/>
        </w:numPr>
        <w:spacing w:line="360" w:lineRule="auto"/>
        <w:ind w:firstLine="480" w:firstLineChars="20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投标报价表中</w:t>
      </w:r>
      <w:r>
        <w:rPr>
          <w:rFonts w:hint="eastAsia" w:cs="宋体"/>
          <w:i w:val="0"/>
          <w:iCs w:val="0"/>
          <w:color w:val="auto"/>
          <w:sz w:val="24"/>
          <w:szCs w:val="24"/>
          <w:lang w:eastAsia="zh-CN"/>
        </w:rPr>
        <w:t>面制品</w:t>
      </w:r>
      <w:r>
        <w:rPr>
          <w:rFonts w:hint="eastAsia" w:ascii="宋体" w:hAnsi="宋体" w:eastAsia="宋体" w:cs="宋体"/>
          <w:i w:val="0"/>
          <w:iCs w:val="0"/>
          <w:color w:val="auto"/>
          <w:sz w:val="24"/>
          <w:szCs w:val="24"/>
        </w:rPr>
        <w:t>标明的价格为总价，最终结算价格单价因此类原辅料价格因市场行情波动较大，需采取市场采价确定。具体为汉滨区教体局联合区发改部门及各学校成立询价小组，选择在汉滨城区3家及以上大型商超及农贸市场进行询价。每月开展两次市场采价询价工作，将每次所取的市场均价作为后半月的结算价。故每</w:t>
      </w:r>
      <w:r>
        <w:rPr>
          <w:rFonts w:hint="eastAsia" w:cs="宋体"/>
          <w:i w:val="0"/>
          <w:iCs w:val="0"/>
          <w:color w:val="auto"/>
          <w:sz w:val="24"/>
          <w:szCs w:val="24"/>
          <w:lang w:val="en-US" w:eastAsia="zh-CN"/>
        </w:rPr>
        <w:t>次</w:t>
      </w:r>
      <w:r>
        <w:rPr>
          <w:rFonts w:hint="eastAsia" w:ascii="宋体" w:hAnsi="宋体" w:eastAsia="宋体" w:cs="宋体"/>
          <w:i w:val="0"/>
          <w:iCs w:val="0"/>
          <w:color w:val="auto"/>
          <w:sz w:val="24"/>
          <w:szCs w:val="24"/>
        </w:rPr>
        <w:t>结算单价的计算方式为：所取的市场均价为基准*（1－优惠率），依据实际供货量据实结算。</w:t>
      </w:r>
    </w:p>
    <w:p w14:paraId="60603200">
      <w:pPr>
        <w:numPr>
          <w:ilvl w:val="0"/>
          <w:numId w:val="0"/>
        </w:numPr>
        <w:spacing w:line="360" w:lineRule="auto"/>
        <w:ind w:firstLine="480" w:firstLineChars="200"/>
        <w:rPr>
          <w:rFonts w:hint="eastAsia"/>
          <w:color w:val="auto"/>
        </w:rPr>
      </w:pPr>
      <w:r>
        <w:rPr>
          <w:rFonts w:hint="eastAsia" w:ascii="宋体" w:hAnsi="宋体" w:eastAsia="宋体" w:cs="宋体"/>
          <w:i w:val="0"/>
          <w:iCs w:val="0"/>
          <w:color w:val="auto"/>
          <w:sz w:val="24"/>
          <w:szCs w:val="24"/>
        </w:rPr>
        <w:t>投标报价表中</w:t>
      </w:r>
      <w:r>
        <w:rPr>
          <w:rFonts w:hint="eastAsia" w:ascii="宋体" w:hAnsi="宋体" w:eastAsia="宋体" w:cs="宋体"/>
          <w:i w:val="0"/>
          <w:iCs w:val="0"/>
          <w:color w:val="auto"/>
          <w:sz w:val="24"/>
          <w:szCs w:val="24"/>
          <w:lang w:eastAsia="zh-CN"/>
        </w:rPr>
        <w:t>牛奶</w:t>
      </w:r>
      <w:r>
        <w:rPr>
          <w:rFonts w:hint="eastAsia" w:ascii="宋体" w:hAnsi="宋体" w:eastAsia="宋体" w:cs="宋体"/>
          <w:i w:val="0"/>
          <w:iCs w:val="0"/>
          <w:color w:val="auto"/>
          <w:sz w:val="24"/>
          <w:szCs w:val="24"/>
        </w:rPr>
        <w:t>标明的价格为总价，最终结算价格单价因此类原辅料价格因市场行情波动较大，需采取市场采价确定。具体为汉滨区教体局联合区发改部门及各学校成立询价小组，选择在汉滨城区3家及以上大型商超及农贸市场进行询价。每月开展两次市场采价询价工作，将每次所取的市场均价作为后半月的结算价。故每</w:t>
      </w:r>
      <w:r>
        <w:rPr>
          <w:rFonts w:hint="eastAsia" w:cs="宋体"/>
          <w:i w:val="0"/>
          <w:iCs w:val="0"/>
          <w:color w:val="auto"/>
          <w:sz w:val="24"/>
          <w:szCs w:val="24"/>
          <w:lang w:val="en-US" w:eastAsia="zh-CN"/>
        </w:rPr>
        <w:t>次</w:t>
      </w:r>
      <w:r>
        <w:rPr>
          <w:rFonts w:hint="eastAsia" w:ascii="宋体" w:hAnsi="宋体" w:eastAsia="宋体" w:cs="宋体"/>
          <w:i w:val="0"/>
          <w:iCs w:val="0"/>
          <w:color w:val="auto"/>
          <w:sz w:val="24"/>
          <w:szCs w:val="24"/>
        </w:rPr>
        <w:t>结算单价的计算方式为：所取的市场均价为基准*（1－优惠率），依据实际供货量据实结算。</w:t>
      </w:r>
    </w:p>
    <w:p w14:paraId="35D3CCBA">
      <w:pPr>
        <w:numPr>
          <w:ilvl w:val="0"/>
          <w:numId w:val="0"/>
        </w:numPr>
        <w:spacing w:line="360" w:lineRule="auto"/>
        <w:ind w:firstLine="480" w:firstLineChars="200"/>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投标报价表中</w:t>
      </w:r>
      <w:r>
        <w:rPr>
          <w:rFonts w:hint="eastAsia" w:ascii="宋体" w:hAnsi="宋体" w:eastAsia="宋体" w:cs="宋体"/>
          <w:i w:val="0"/>
          <w:iCs w:val="0"/>
          <w:color w:val="auto"/>
          <w:sz w:val="24"/>
          <w:szCs w:val="24"/>
          <w:lang w:eastAsia="zh-CN"/>
        </w:rPr>
        <w:t>（杂粮）</w:t>
      </w:r>
      <w:r>
        <w:rPr>
          <w:rFonts w:hint="eastAsia" w:ascii="宋体" w:hAnsi="宋体" w:eastAsia="宋体" w:cs="宋体"/>
          <w:i w:val="0"/>
          <w:iCs w:val="0"/>
          <w:color w:val="auto"/>
          <w:sz w:val="24"/>
          <w:szCs w:val="24"/>
        </w:rPr>
        <w:t>标明的价格为总价，最终结算价格单价</w:t>
      </w:r>
      <w:r>
        <w:rPr>
          <w:rFonts w:hint="eastAsia" w:ascii="宋体" w:hAnsi="宋体" w:eastAsia="宋体" w:cs="宋体"/>
          <w:i w:val="0"/>
          <w:iCs w:val="0"/>
          <w:color w:val="auto"/>
          <w:sz w:val="24"/>
          <w:szCs w:val="24"/>
          <w:lang w:eastAsia="zh-CN"/>
        </w:rPr>
        <w:t>因</w:t>
      </w:r>
      <w:r>
        <w:rPr>
          <w:rFonts w:hint="eastAsia" w:ascii="宋体" w:hAnsi="宋体" w:eastAsia="宋体" w:cs="宋体"/>
          <w:i w:val="0"/>
          <w:iCs w:val="0"/>
          <w:color w:val="auto"/>
          <w:sz w:val="24"/>
          <w:szCs w:val="24"/>
          <w:lang w:val="en-US" w:eastAsia="zh-CN"/>
        </w:rPr>
        <w:t>此类原辅料价格因市场行情波动较大，需采取市场采价确定。具体为汉滨区教体局联合区发改部门及各学校成立询价小组，选择在汉滨城区3家及以上大型商超及农贸市场进行询价。每月开展两次市场采价询价工作，将每次所取的市场均价作为后半月的结算价</w:t>
      </w:r>
      <w:r>
        <w:rPr>
          <w:rFonts w:hint="eastAsia" w:ascii="宋体" w:hAnsi="宋体" w:eastAsia="宋体" w:cs="宋体"/>
          <w:i w:val="0"/>
          <w:iCs w:val="0"/>
          <w:color w:val="auto"/>
          <w:sz w:val="24"/>
          <w:szCs w:val="24"/>
        </w:rPr>
        <w:t>。故每</w:t>
      </w:r>
      <w:r>
        <w:rPr>
          <w:rFonts w:hint="eastAsia" w:cs="宋体"/>
          <w:i w:val="0"/>
          <w:iCs w:val="0"/>
          <w:color w:val="auto"/>
          <w:sz w:val="24"/>
          <w:szCs w:val="24"/>
          <w:lang w:val="en-US" w:eastAsia="zh-CN"/>
        </w:rPr>
        <w:t>次</w:t>
      </w:r>
      <w:r>
        <w:rPr>
          <w:rFonts w:hint="eastAsia" w:ascii="宋体" w:hAnsi="宋体" w:eastAsia="宋体" w:cs="宋体"/>
          <w:i w:val="0"/>
          <w:iCs w:val="0"/>
          <w:color w:val="auto"/>
          <w:sz w:val="24"/>
          <w:szCs w:val="24"/>
        </w:rPr>
        <w:t>结算单价</w:t>
      </w:r>
      <w:r>
        <w:rPr>
          <w:rFonts w:hint="eastAsia" w:ascii="宋体" w:hAnsi="宋体" w:eastAsia="宋体" w:cs="宋体"/>
          <w:i w:val="0"/>
          <w:iCs w:val="0"/>
          <w:color w:val="auto"/>
          <w:sz w:val="24"/>
          <w:szCs w:val="24"/>
          <w:lang w:eastAsia="zh-CN"/>
        </w:rPr>
        <w:t>的</w:t>
      </w:r>
      <w:r>
        <w:rPr>
          <w:rFonts w:hint="eastAsia" w:ascii="宋体" w:hAnsi="宋体" w:eastAsia="宋体" w:cs="宋体"/>
          <w:i w:val="0"/>
          <w:iCs w:val="0"/>
          <w:color w:val="auto"/>
          <w:sz w:val="24"/>
          <w:szCs w:val="24"/>
        </w:rPr>
        <w:t>计算方式为</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lang w:val="en-US" w:eastAsia="zh-CN"/>
        </w:rPr>
        <w:t>所取的市场均价</w:t>
      </w:r>
      <w:r>
        <w:rPr>
          <w:rFonts w:hint="eastAsia" w:ascii="宋体" w:hAnsi="宋体" w:eastAsia="宋体" w:cs="宋体"/>
          <w:i w:val="0"/>
          <w:iCs w:val="0"/>
          <w:color w:val="auto"/>
          <w:sz w:val="24"/>
          <w:szCs w:val="24"/>
        </w:rPr>
        <w:t>为基准*</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1</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优惠率</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，依据实际供货量据实结算</w:t>
      </w:r>
      <w:r>
        <w:rPr>
          <w:rFonts w:hint="eastAsia" w:ascii="宋体" w:hAnsi="宋体" w:eastAsia="宋体" w:cs="宋体"/>
          <w:i w:val="0"/>
          <w:iCs w:val="0"/>
          <w:color w:val="auto"/>
          <w:sz w:val="24"/>
          <w:szCs w:val="24"/>
          <w:lang w:eastAsia="zh-CN"/>
        </w:rPr>
        <w:t>。</w:t>
      </w:r>
    </w:p>
    <w:p w14:paraId="0455AD1D">
      <w:pPr>
        <w:numPr>
          <w:ilvl w:val="0"/>
          <w:numId w:val="0"/>
        </w:numPr>
        <w:spacing w:line="360" w:lineRule="auto"/>
        <w:ind w:firstLine="480" w:firstLineChars="200"/>
        <w:rPr>
          <w:rFonts w:hint="eastAsia" w:ascii="宋体" w:hAnsi="宋体" w:eastAsia="宋体" w:cs="宋体"/>
          <w:i w:val="0"/>
          <w:iCs w:val="0"/>
          <w:color w:val="auto"/>
          <w:sz w:val="24"/>
          <w:szCs w:val="24"/>
        </w:rPr>
      </w:pPr>
      <w:r>
        <w:rPr>
          <w:rFonts w:hint="eastAsia" w:cs="宋体"/>
          <w:i w:val="0"/>
          <w:iCs w:val="0"/>
          <w:color w:val="auto"/>
          <w:sz w:val="24"/>
          <w:szCs w:val="24"/>
          <w:lang w:val="en-US" w:eastAsia="zh-CN"/>
        </w:rPr>
        <w:t>3.</w:t>
      </w:r>
      <w:r>
        <w:rPr>
          <w:rFonts w:hint="eastAsia" w:ascii="宋体" w:hAnsi="宋体" w:eastAsia="宋体" w:cs="宋体"/>
          <w:i w:val="0"/>
          <w:iCs w:val="0"/>
          <w:color w:val="auto"/>
          <w:sz w:val="24"/>
          <w:szCs w:val="24"/>
        </w:rPr>
        <w:t>合同包二、合同包</w:t>
      </w:r>
      <w:r>
        <w:rPr>
          <w:rFonts w:hint="eastAsia" w:cs="宋体"/>
          <w:i w:val="0"/>
          <w:iCs w:val="0"/>
          <w:color w:val="auto"/>
          <w:sz w:val="24"/>
          <w:szCs w:val="24"/>
          <w:lang w:val="en-US" w:eastAsia="zh-CN"/>
        </w:rPr>
        <w:t>五</w:t>
      </w:r>
      <w:r>
        <w:rPr>
          <w:rFonts w:hint="eastAsia" w:cs="宋体"/>
          <w:i w:val="0"/>
          <w:iCs w:val="0"/>
          <w:color w:val="auto"/>
          <w:sz w:val="24"/>
          <w:szCs w:val="24"/>
          <w:lang w:eastAsia="zh-CN"/>
        </w:rPr>
        <w:t>：</w:t>
      </w:r>
    </w:p>
    <w:p w14:paraId="3AA04D05">
      <w:pPr>
        <w:numPr>
          <w:ilvl w:val="0"/>
          <w:numId w:val="0"/>
        </w:numPr>
        <w:spacing w:line="360" w:lineRule="auto"/>
        <w:ind w:firstLine="480" w:firstLineChars="200"/>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投标报价表中</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lang w:val="en-US" w:eastAsia="zh-CN"/>
        </w:rPr>
        <w:t>肉类食材和鸡蛋</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rPr>
        <w:t>标明的价格为总价，</w:t>
      </w:r>
      <w:r>
        <w:rPr>
          <w:rFonts w:hint="eastAsia" w:ascii="宋体" w:hAnsi="宋体" w:eastAsia="宋体" w:cs="宋体"/>
          <w:i w:val="0"/>
          <w:iCs w:val="0"/>
          <w:color w:val="auto"/>
          <w:sz w:val="24"/>
          <w:szCs w:val="24"/>
          <w:shd w:val="clear" w:color="auto" w:fill="auto"/>
        </w:rPr>
        <w:t>最终结算价格单价</w:t>
      </w:r>
      <w:r>
        <w:rPr>
          <w:rFonts w:hint="eastAsia" w:ascii="宋体" w:hAnsi="宋体" w:eastAsia="宋体" w:cs="宋体"/>
          <w:i w:val="0"/>
          <w:iCs w:val="0"/>
          <w:color w:val="auto"/>
          <w:sz w:val="24"/>
          <w:szCs w:val="24"/>
          <w:shd w:val="clear" w:color="auto" w:fill="auto"/>
          <w:lang w:eastAsia="zh-CN"/>
        </w:rPr>
        <w:t>因</w:t>
      </w:r>
      <w:r>
        <w:rPr>
          <w:rFonts w:hint="eastAsia" w:ascii="宋体" w:hAnsi="宋体" w:eastAsia="宋体" w:cs="宋体"/>
          <w:i w:val="0"/>
          <w:iCs w:val="0"/>
          <w:color w:val="auto"/>
          <w:sz w:val="24"/>
          <w:szCs w:val="24"/>
          <w:shd w:val="clear" w:color="auto" w:fill="auto"/>
          <w:lang w:val="en-US" w:eastAsia="zh-CN"/>
        </w:rPr>
        <w:t>此类原辅料价格因市场行情波动较大，需采取市场采价确定。</w:t>
      </w:r>
      <w:r>
        <w:rPr>
          <w:rFonts w:hint="eastAsia" w:ascii="宋体" w:hAnsi="宋体" w:eastAsia="宋体" w:cs="宋体"/>
          <w:i w:val="0"/>
          <w:iCs w:val="0"/>
          <w:color w:val="auto"/>
          <w:sz w:val="24"/>
          <w:szCs w:val="24"/>
          <w:highlight w:val="none"/>
          <w:u w:val="none"/>
          <w:lang w:val="en-US" w:eastAsia="zh-CN"/>
        </w:rPr>
        <w:t>具体为汉滨区教体局联合区发改部门及各学校成立询价小组，选择在汉滨城区3家及以上大型商超及农贸市场进行询价。每月开展两次市场采价询价工作，将每次所取的市场均价作为后半月的结算价</w:t>
      </w:r>
      <w:r>
        <w:rPr>
          <w:rFonts w:hint="eastAsia" w:ascii="宋体" w:hAnsi="宋体" w:eastAsia="宋体" w:cs="宋体"/>
          <w:i w:val="0"/>
          <w:iCs w:val="0"/>
          <w:color w:val="auto"/>
          <w:sz w:val="24"/>
          <w:szCs w:val="24"/>
          <w:u w:val="none"/>
          <w:shd w:val="clear" w:color="auto" w:fill="auto"/>
        </w:rPr>
        <w:t>。</w:t>
      </w:r>
      <w:r>
        <w:rPr>
          <w:rFonts w:hint="eastAsia" w:ascii="宋体" w:hAnsi="宋体" w:eastAsia="宋体" w:cs="宋体"/>
          <w:i w:val="0"/>
          <w:iCs w:val="0"/>
          <w:color w:val="auto"/>
          <w:sz w:val="24"/>
          <w:szCs w:val="24"/>
        </w:rPr>
        <w:t>故每</w:t>
      </w:r>
      <w:r>
        <w:rPr>
          <w:rFonts w:hint="eastAsia" w:cs="宋体"/>
          <w:i w:val="0"/>
          <w:iCs w:val="0"/>
          <w:color w:val="auto"/>
          <w:sz w:val="24"/>
          <w:szCs w:val="24"/>
          <w:lang w:val="en-US" w:eastAsia="zh-CN"/>
        </w:rPr>
        <w:t>次</w:t>
      </w:r>
      <w:r>
        <w:rPr>
          <w:rFonts w:hint="eastAsia" w:ascii="宋体" w:hAnsi="宋体" w:eastAsia="宋体" w:cs="宋体"/>
          <w:i w:val="0"/>
          <w:iCs w:val="0"/>
          <w:color w:val="auto"/>
          <w:sz w:val="24"/>
          <w:szCs w:val="24"/>
        </w:rPr>
        <w:t>结算单价</w:t>
      </w:r>
      <w:r>
        <w:rPr>
          <w:rFonts w:hint="eastAsia" w:cs="宋体"/>
          <w:i w:val="0"/>
          <w:iCs w:val="0"/>
          <w:color w:val="auto"/>
          <w:sz w:val="24"/>
          <w:szCs w:val="24"/>
          <w:lang w:eastAsia="zh-CN"/>
        </w:rPr>
        <w:t>的</w:t>
      </w:r>
      <w:r>
        <w:rPr>
          <w:rFonts w:hint="eastAsia" w:ascii="宋体" w:hAnsi="宋体" w:eastAsia="宋体" w:cs="宋体"/>
          <w:i w:val="0"/>
          <w:iCs w:val="0"/>
          <w:color w:val="auto"/>
          <w:sz w:val="24"/>
          <w:szCs w:val="24"/>
        </w:rPr>
        <w:t>计算方式为</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shd w:val="clear" w:color="auto" w:fill="auto"/>
          <w:lang w:val="en-US" w:eastAsia="zh-CN"/>
        </w:rPr>
        <w:t>所取的市场均价</w:t>
      </w:r>
      <w:r>
        <w:rPr>
          <w:rFonts w:hint="eastAsia" w:ascii="宋体" w:hAnsi="宋体" w:eastAsia="宋体" w:cs="宋体"/>
          <w:i w:val="0"/>
          <w:iCs w:val="0"/>
          <w:color w:val="auto"/>
          <w:sz w:val="24"/>
          <w:szCs w:val="24"/>
          <w:shd w:val="clear" w:color="auto" w:fill="auto"/>
        </w:rPr>
        <w:t>为基准*</w:t>
      </w:r>
      <w:r>
        <w:rPr>
          <w:rFonts w:hint="eastAsia"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1</w:t>
      </w:r>
      <w:r>
        <w:rPr>
          <w:rFonts w:hint="eastAsia"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优惠率</w:t>
      </w:r>
      <w:r>
        <w:rPr>
          <w:rFonts w:hint="eastAsia"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，依据实际供货量据实结</w:t>
      </w:r>
      <w:r>
        <w:rPr>
          <w:rFonts w:hint="eastAsia" w:ascii="宋体" w:hAnsi="宋体" w:eastAsia="宋体" w:cs="宋体"/>
          <w:i w:val="0"/>
          <w:iCs w:val="0"/>
          <w:color w:val="auto"/>
          <w:sz w:val="24"/>
          <w:szCs w:val="24"/>
        </w:rPr>
        <w:t>算</w:t>
      </w:r>
      <w:r>
        <w:rPr>
          <w:rFonts w:hint="eastAsia" w:ascii="宋体" w:hAnsi="宋体" w:eastAsia="宋体" w:cs="宋体"/>
          <w:i w:val="0"/>
          <w:iCs w:val="0"/>
          <w:color w:val="auto"/>
          <w:sz w:val="24"/>
          <w:szCs w:val="24"/>
          <w:lang w:eastAsia="zh-CN"/>
        </w:rPr>
        <w:t>。</w:t>
      </w:r>
    </w:p>
    <w:p w14:paraId="3D7D3881">
      <w:pPr>
        <w:numPr>
          <w:ilvl w:val="0"/>
          <w:numId w:val="0"/>
        </w:numPr>
        <w:spacing w:line="360" w:lineRule="auto"/>
        <w:ind w:firstLine="480" w:firstLineChars="200"/>
        <w:rPr>
          <w:rFonts w:hint="eastAsia" w:ascii="宋体" w:hAnsi="宋体" w:eastAsia="宋体" w:cs="宋体"/>
          <w:i w:val="0"/>
          <w:iCs w:val="0"/>
          <w:color w:val="auto"/>
          <w:sz w:val="24"/>
          <w:szCs w:val="24"/>
        </w:rPr>
      </w:pPr>
      <w:r>
        <w:rPr>
          <w:rFonts w:hint="eastAsia" w:cs="宋体"/>
          <w:i w:val="0"/>
          <w:iCs w:val="0"/>
          <w:color w:val="auto"/>
          <w:sz w:val="24"/>
          <w:szCs w:val="24"/>
          <w:lang w:val="en-US" w:eastAsia="zh-CN"/>
        </w:rPr>
        <w:t>4.</w:t>
      </w:r>
      <w:r>
        <w:rPr>
          <w:rFonts w:hint="eastAsia" w:ascii="宋体" w:hAnsi="宋体" w:eastAsia="宋体" w:cs="宋体"/>
          <w:i w:val="0"/>
          <w:iCs w:val="0"/>
          <w:color w:val="auto"/>
          <w:sz w:val="24"/>
          <w:szCs w:val="24"/>
        </w:rPr>
        <w:t>合同包</w:t>
      </w:r>
      <w:r>
        <w:rPr>
          <w:rFonts w:hint="eastAsia" w:cs="宋体"/>
          <w:i w:val="0"/>
          <w:iCs w:val="0"/>
          <w:color w:val="auto"/>
          <w:sz w:val="24"/>
          <w:szCs w:val="24"/>
          <w:lang w:val="en-US" w:eastAsia="zh-CN"/>
        </w:rPr>
        <w:t>三、合同包六</w:t>
      </w:r>
      <w:r>
        <w:rPr>
          <w:rFonts w:hint="eastAsia" w:cs="宋体"/>
          <w:i w:val="0"/>
          <w:iCs w:val="0"/>
          <w:color w:val="auto"/>
          <w:sz w:val="24"/>
          <w:szCs w:val="24"/>
          <w:lang w:eastAsia="zh-CN"/>
        </w:rPr>
        <w:t>：</w:t>
      </w:r>
    </w:p>
    <w:p w14:paraId="138EF92A">
      <w:pPr>
        <w:numPr>
          <w:ilvl w:val="0"/>
          <w:numId w:val="0"/>
        </w:numPr>
        <w:spacing w:line="360" w:lineRule="auto"/>
        <w:ind w:firstLine="480" w:firstLineChars="200"/>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投标报价表中</w:t>
      </w:r>
      <w:r>
        <w:rPr>
          <w:rFonts w:hint="eastAsia" w:cs="宋体"/>
          <w:i w:val="0"/>
          <w:iCs w:val="0"/>
          <w:color w:val="auto"/>
          <w:sz w:val="24"/>
          <w:szCs w:val="24"/>
          <w:lang w:eastAsia="zh-CN"/>
        </w:rPr>
        <w:t>（</w:t>
      </w:r>
      <w:r>
        <w:rPr>
          <w:rFonts w:hint="eastAsia" w:cs="宋体"/>
          <w:i w:val="0"/>
          <w:iCs w:val="0"/>
          <w:color w:val="auto"/>
          <w:sz w:val="24"/>
          <w:szCs w:val="24"/>
          <w:lang w:val="en-US" w:eastAsia="zh-CN"/>
        </w:rPr>
        <w:t>蔬菜、水果、干货及调味品</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rPr>
        <w:t>标明的价格为总价</w:t>
      </w:r>
      <w:r>
        <w:rPr>
          <w:rFonts w:hint="eastAsia" w:ascii="宋体" w:hAnsi="宋体" w:eastAsia="宋体" w:cs="宋体"/>
          <w:i w:val="0"/>
          <w:iCs w:val="0"/>
          <w:color w:val="auto"/>
          <w:sz w:val="24"/>
          <w:szCs w:val="24"/>
          <w:shd w:val="clear" w:color="auto" w:fill="auto"/>
        </w:rPr>
        <w:t>，最终结算价格单价</w:t>
      </w:r>
      <w:r>
        <w:rPr>
          <w:rFonts w:hint="eastAsia" w:ascii="宋体" w:hAnsi="宋体" w:eastAsia="宋体" w:cs="宋体"/>
          <w:i w:val="0"/>
          <w:iCs w:val="0"/>
          <w:color w:val="auto"/>
          <w:sz w:val="24"/>
          <w:szCs w:val="24"/>
          <w:shd w:val="clear" w:color="auto" w:fill="auto"/>
          <w:lang w:eastAsia="zh-CN"/>
        </w:rPr>
        <w:t>因</w:t>
      </w:r>
      <w:r>
        <w:rPr>
          <w:rFonts w:hint="eastAsia" w:ascii="宋体" w:hAnsi="宋体" w:eastAsia="宋体" w:cs="宋体"/>
          <w:i w:val="0"/>
          <w:iCs w:val="0"/>
          <w:color w:val="auto"/>
          <w:sz w:val="24"/>
          <w:szCs w:val="24"/>
          <w:shd w:val="clear" w:color="auto" w:fill="auto"/>
          <w:lang w:val="en-US" w:eastAsia="zh-CN"/>
        </w:rPr>
        <w:t>此类原辅料价格因市场行情波动较大，需采取市场采价确定。</w:t>
      </w:r>
      <w:r>
        <w:rPr>
          <w:rFonts w:hint="eastAsia" w:ascii="宋体" w:hAnsi="宋体" w:eastAsia="宋体" w:cs="宋体"/>
          <w:i w:val="0"/>
          <w:iCs w:val="0"/>
          <w:color w:val="auto"/>
          <w:sz w:val="24"/>
          <w:szCs w:val="24"/>
          <w:highlight w:val="none"/>
          <w:u w:val="none"/>
          <w:lang w:val="en-US" w:eastAsia="zh-CN"/>
        </w:rPr>
        <w:t>具体为汉滨区教体局联合区发改部门及各学校成立询价小组，选择在汉滨城区3家及以上大型商超及农贸市场进行询价。每月开展两次市场采价询价工作</w:t>
      </w:r>
      <w:r>
        <w:rPr>
          <w:rFonts w:hint="eastAsia" w:cs="宋体"/>
          <w:i w:val="0"/>
          <w:iCs w:val="0"/>
          <w:color w:val="auto"/>
          <w:sz w:val="24"/>
          <w:szCs w:val="24"/>
          <w:highlight w:val="none"/>
          <w:u w:val="none"/>
          <w:lang w:val="en-US" w:eastAsia="zh-CN"/>
        </w:rPr>
        <w:t>（调味品每学期采价一次）</w:t>
      </w:r>
      <w:r>
        <w:rPr>
          <w:rFonts w:hint="eastAsia" w:ascii="宋体" w:hAnsi="宋体" w:eastAsia="宋体" w:cs="宋体"/>
          <w:i w:val="0"/>
          <w:iCs w:val="0"/>
          <w:color w:val="auto"/>
          <w:sz w:val="24"/>
          <w:szCs w:val="24"/>
          <w:highlight w:val="none"/>
          <w:u w:val="none"/>
          <w:lang w:val="en-US" w:eastAsia="zh-CN"/>
        </w:rPr>
        <w:t>，将每次所取的市场均价作为后半月的结算价</w:t>
      </w:r>
      <w:r>
        <w:rPr>
          <w:rFonts w:hint="eastAsia" w:ascii="宋体" w:hAnsi="宋体" w:eastAsia="宋体" w:cs="宋体"/>
          <w:i w:val="0"/>
          <w:iCs w:val="0"/>
          <w:color w:val="auto"/>
          <w:sz w:val="24"/>
          <w:szCs w:val="24"/>
          <w:u w:val="none"/>
          <w:shd w:val="clear" w:color="auto" w:fill="auto"/>
        </w:rPr>
        <w:t>。</w:t>
      </w:r>
      <w:r>
        <w:rPr>
          <w:rFonts w:hint="eastAsia" w:ascii="宋体" w:hAnsi="宋体" w:eastAsia="宋体" w:cs="宋体"/>
          <w:i w:val="0"/>
          <w:iCs w:val="0"/>
          <w:color w:val="auto"/>
          <w:sz w:val="24"/>
          <w:szCs w:val="24"/>
        </w:rPr>
        <w:t>故每</w:t>
      </w:r>
      <w:r>
        <w:rPr>
          <w:rFonts w:hint="eastAsia" w:cs="宋体"/>
          <w:i w:val="0"/>
          <w:iCs w:val="0"/>
          <w:color w:val="auto"/>
          <w:sz w:val="24"/>
          <w:szCs w:val="24"/>
          <w:lang w:val="en-US" w:eastAsia="zh-CN"/>
        </w:rPr>
        <w:t>次</w:t>
      </w:r>
      <w:r>
        <w:rPr>
          <w:rFonts w:hint="eastAsia" w:ascii="宋体" w:hAnsi="宋体" w:eastAsia="宋体" w:cs="宋体"/>
          <w:i w:val="0"/>
          <w:iCs w:val="0"/>
          <w:color w:val="auto"/>
          <w:sz w:val="24"/>
          <w:szCs w:val="24"/>
        </w:rPr>
        <w:t>结算单价</w:t>
      </w:r>
      <w:r>
        <w:rPr>
          <w:rFonts w:hint="eastAsia" w:cs="宋体"/>
          <w:i w:val="0"/>
          <w:iCs w:val="0"/>
          <w:color w:val="auto"/>
          <w:sz w:val="24"/>
          <w:szCs w:val="24"/>
          <w:lang w:eastAsia="zh-CN"/>
        </w:rPr>
        <w:t>的</w:t>
      </w:r>
      <w:r>
        <w:rPr>
          <w:rFonts w:hint="eastAsia" w:ascii="宋体" w:hAnsi="宋体" w:eastAsia="宋体" w:cs="宋体"/>
          <w:i w:val="0"/>
          <w:iCs w:val="0"/>
          <w:color w:val="auto"/>
          <w:sz w:val="24"/>
          <w:szCs w:val="24"/>
        </w:rPr>
        <w:t>计算方式为</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shd w:val="clear" w:color="auto" w:fill="auto"/>
          <w:lang w:val="en-US" w:eastAsia="zh-CN"/>
        </w:rPr>
        <w:t>所取的市场均价</w:t>
      </w:r>
      <w:r>
        <w:rPr>
          <w:rFonts w:hint="eastAsia" w:ascii="宋体" w:hAnsi="宋体" w:eastAsia="宋体" w:cs="宋体"/>
          <w:i w:val="0"/>
          <w:iCs w:val="0"/>
          <w:color w:val="auto"/>
          <w:sz w:val="24"/>
          <w:szCs w:val="24"/>
          <w:shd w:val="clear" w:color="auto" w:fill="auto"/>
        </w:rPr>
        <w:t>为基准*</w:t>
      </w:r>
      <w:r>
        <w:rPr>
          <w:rFonts w:hint="eastAsia"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1</w:t>
      </w:r>
      <w:r>
        <w:rPr>
          <w:rFonts w:hint="eastAsia"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优惠率</w:t>
      </w:r>
      <w:r>
        <w:rPr>
          <w:rFonts w:hint="eastAsia"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，依据实际供货量据实结</w:t>
      </w:r>
      <w:r>
        <w:rPr>
          <w:rFonts w:hint="eastAsia" w:ascii="宋体" w:hAnsi="宋体" w:eastAsia="宋体" w:cs="宋体"/>
          <w:i w:val="0"/>
          <w:iCs w:val="0"/>
          <w:color w:val="auto"/>
          <w:sz w:val="24"/>
          <w:szCs w:val="24"/>
        </w:rPr>
        <w:t>算</w:t>
      </w:r>
      <w:r>
        <w:rPr>
          <w:rFonts w:hint="eastAsia" w:ascii="宋体" w:hAnsi="宋体" w:eastAsia="宋体" w:cs="宋体"/>
          <w:i w:val="0"/>
          <w:iCs w:val="0"/>
          <w:color w:val="auto"/>
          <w:sz w:val="24"/>
          <w:szCs w:val="24"/>
          <w:lang w:eastAsia="zh-CN"/>
        </w:rPr>
        <w:t>。</w:t>
      </w:r>
    </w:p>
    <w:p w14:paraId="7673B634">
      <w:pPr>
        <w:keepNext w:val="0"/>
        <w:keepLines w:val="0"/>
        <w:pageBreakBefore w:val="0"/>
        <w:widowControl/>
        <w:suppressLineNumbers w:val="0"/>
        <w:topLinePunct w:val="0"/>
        <w:bidi w:val="0"/>
        <w:spacing w:line="500" w:lineRule="exact"/>
        <w:ind w:left="0" w:leftChars="0" w:right="0" w:rightChars="0" w:firstLine="482" w:firstLineChars="200"/>
        <w:jc w:val="left"/>
        <w:rPr>
          <w:color w:val="auto"/>
        </w:rPr>
      </w:pPr>
      <w:r>
        <w:rPr>
          <w:rFonts w:hint="eastAsia" w:ascii="宋体" w:hAnsi="宋体" w:eastAsia="宋体" w:cs="宋体"/>
          <w:b/>
          <w:bCs/>
          <w:color w:val="auto"/>
          <w:kern w:val="0"/>
          <w:sz w:val="24"/>
          <w:szCs w:val="24"/>
          <w:lang w:val="en-US" w:eastAsia="zh-CN" w:bidi="ar"/>
        </w:rPr>
        <w:t xml:space="preserve">四、合同结算 </w:t>
      </w:r>
    </w:p>
    <w:p w14:paraId="1CE5DAB5">
      <w:pPr>
        <w:pageBreakBefore w:val="0"/>
        <w:topLinePunct w:val="0"/>
        <w:bidi w:val="0"/>
        <w:spacing w:line="500" w:lineRule="exact"/>
        <w:ind w:left="0" w:leftChars="0" w:right="0" w:rightChars="0" w:firstLine="472" w:firstLineChars="200"/>
        <w:jc w:val="both"/>
        <w:rPr>
          <w:rFonts w:hint="eastAsia" w:ascii="宋体" w:hAnsi="宋体" w:eastAsia="宋体" w:cs="宋体"/>
          <w:color w:val="auto"/>
          <w:spacing w:val="-2"/>
          <w:position w:val="15"/>
          <w:sz w:val="24"/>
          <w:szCs w:val="24"/>
          <w:lang w:val="en-US" w:eastAsia="zh-CN"/>
        </w:rPr>
      </w:pPr>
      <w:r>
        <w:rPr>
          <w:rFonts w:hint="eastAsia" w:ascii="宋体" w:hAnsi="宋体" w:eastAsia="宋体" w:cs="宋体"/>
          <w:color w:val="auto"/>
          <w:spacing w:val="-2"/>
          <w:position w:val="15"/>
          <w:sz w:val="24"/>
          <w:szCs w:val="24"/>
          <w:lang w:val="en-US" w:eastAsia="zh-CN"/>
        </w:rPr>
        <w:t>1</w:t>
      </w:r>
      <w:r>
        <w:rPr>
          <w:rFonts w:hint="eastAsia" w:cs="宋体"/>
          <w:color w:val="auto"/>
          <w:spacing w:val="-2"/>
          <w:position w:val="15"/>
          <w:sz w:val="24"/>
          <w:szCs w:val="24"/>
          <w:lang w:val="en-US" w:eastAsia="zh-CN"/>
        </w:rPr>
        <w:t>.</w:t>
      </w:r>
      <w:r>
        <w:rPr>
          <w:rFonts w:hint="eastAsia" w:ascii="宋体" w:hAnsi="宋体" w:eastAsia="宋体" w:cs="宋体"/>
          <w:color w:val="auto"/>
          <w:spacing w:val="-2"/>
          <w:position w:val="15"/>
          <w:sz w:val="24"/>
          <w:szCs w:val="24"/>
          <w:lang w:val="en-US" w:eastAsia="zh-CN"/>
        </w:rPr>
        <w:t>结算方式：月结，即每月结算一次。乙方于当月供货期满后开出正式发票，由实施学校与中标单位结算。（供货方、合同方、收款方名称应一致）</w:t>
      </w:r>
    </w:p>
    <w:p w14:paraId="204E6CE1">
      <w:pPr>
        <w:pageBreakBefore w:val="0"/>
        <w:topLinePunct w:val="0"/>
        <w:bidi w:val="0"/>
        <w:spacing w:line="500" w:lineRule="exact"/>
        <w:ind w:left="0" w:leftChars="0" w:right="0" w:rightChars="0" w:firstLine="472" w:firstLineChars="200"/>
        <w:jc w:val="both"/>
        <w:rPr>
          <w:rFonts w:hint="eastAsia" w:ascii="宋体" w:hAnsi="宋体" w:eastAsia="宋体" w:cs="宋体"/>
          <w:color w:val="auto"/>
          <w:spacing w:val="-2"/>
          <w:position w:val="15"/>
          <w:sz w:val="24"/>
          <w:szCs w:val="24"/>
          <w:lang w:val="en-US" w:eastAsia="zh-CN"/>
        </w:rPr>
      </w:pPr>
      <w:r>
        <w:rPr>
          <w:rFonts w:hint="eastAsia" w:ascii="宋体" w:hAnsi="宋体" w:eastAsia="宋体" w:cs="宋体"/>
          <w:color w:val="auto"/>
          <w:spacing w:val="-2"/>
          <w:position w:val="15"/>
          <w:sz w:val="24"/>
          <w:szCs w:val="24"/>
          <w:lang w:val="en-US" w:eastAsia="zh-CN"/>
        </w:rPr>
        <w:t>1.1 支付单位为：</w:t>
      </w:r>
      <w:r>
        <w:rPr>
          <w:rFonts w:hint="eastAsia" w:ascii="宋体" w:hAnsi="宋体" w:eastAsia="宋体" w:cs="宋体"/>
          <w:color w:val="auto"/>
          <w:spacing w:val="-2"/>
          <w:position w:val="15"/>
          <w:sz w:val="24"/>
          <w:szCs w:val="24"/>
          <w:u w:val="single"/>
          <w:lang w:val="en-US" w:eastAsia="zh-CN"/>
        </w:rPr>
        <w:t xml:space="preserve">           </w:t>
      </w:r>
    </w:p>
    <w:p w14:paraId="46F2E6A4">
      <w:pPr>
        <w:pageBreakBefore w:val="0"/>
        <w:topLinePunct w:val="0"/>
        <w:bidi w:val="0"/>
        <w:spacing w:line="500" w:lineRule="exact"/>
        <w:ind w:left="0" w:leftChars="0" w:right="0" w:rightChars="0" w:firstLine="472" w:firstLineChars="200"/>
        <w:jc w:val="both"/>
        <w:rPr>
          <w:rFonts w:hint="eastAsia" w:ascii="宋体" w:hAnsi="宋体" w:eastAsia="宋体" w:cs="宋体"/>
          <w:color w:val="auto"/>
          <w:spacing w:val="-2"/>
          <w:position w:val="15"/>
          <w:sz w:val="24"/>
          <w:szCs w:val="24"/>
          <w:u w:val="single"/>
          <w:lang w:val="en-US" w:eastAsia="zh-CN"/>
        </w:rPr>
      </w:pPr>
      <w:r>
        <w:rPr>
          <w:rFonts w:hint="eastAsia" w:ascii="宋体" w:hAnsi="宋体" w:eastAsia="宋体" w:cs="宋体"/>
          <w:color w:val="auto"/>
          <w:spacing w:val="-2"/>
          <w:position w:val="15"/>
          <w:sz w:val="24"/>
          <w:szCs w:val="24"/>
          <w:lang w:val="en-US" w:eastAsia="zh-CN"/>
        </w:rPr>
        <w:t>2</w:t>
      </w:r>
      <w:r>
        <w:rPr>
          <w:rFonts w:hint="eastAsia" w:cs="宋体"/>
          <w:color w:val="auto"/>
          <w:spacing w:val="-2"/>
          <w:position w:val="15"/>
          <w:sz w:val="24"/>
          <w:szCs w:val="24"/>
          <w:lang w:val="en-US" w:eastAsia="zh-CN"/>
        </w:rPr>
        <w:t>.</w:t>
      </w:r>
      <w:r>
        <w:rPr>
          <w:rFonts w:hint="eastAsia" w:ascii="宋体" w:hAnsi="宋体" w:eastAsia="宋体" w:cs="宋体"/>
          <w:color w:val="auto"/>
          <w:spacing w:val="-2"/>
          <w:position w:val="15"/>
          <w:sz w:val="24"/>
          <w:szCs w:val="24"/>
          <w:lang w:val="en-US" w:eastAsia="zh-CN"/>
        </w:rPr>
        <w:t>发票开具的“购货单位（人）名称”为：</w:t>
      </w:r>
      <w:r>
        <w:rPr>
          <w:rFonts w:hint="eastAsia" w:ascii="宋体" w:hAnsi="宋体" w:eastAsia="宋体" w:cs="宋体"/>
          <w:color w:val="auto"/>
          <w:spacing w:val="-2"/>
          <w:position w:val="15"/>
          <w:sz w:val="24"/>
          <w:szCs w:val="24"/>
          <w:u w:val="single"/>
          <w:lang w:val="en-US" w:eastAsia="zh-CN"/>
        </w:rPr>
        <w:t xml:space="preserve">             </w:t>
      </w:r>
    </w:p>
    <w:p w14:paraId="41A1ED28">
      <w:pPr>
        <w:keepNext w:val="0"/>
        <w:keepLines w:val="0"/>
        <w:pageBreakBefore w:val="0"/>
        <w:widowControl/>
        <w:suppressLineNumbers w:val="0"/>
        <w:topLinePunct w:val="0"/>
        <w:bidi w:val="0"/>
        <w:spacing w:line="500" w:lineRule="exact"/>
        <w:ind w:left="0" w:leftChars="0" w:right="0" w:rightChars="0" w:firstLine="482" w:firstLineChars="200"/>
        <w:jc w:val="left"/>
        <w:rPr>
          <w:rFonts w:hint="default" w:ascii="宋体" w:hAnsi="宋体" w:eastAsia="宋体" w:cs="宋体"/>
          <w:b/>
          <w:bCs/>
          <w:color w:val="auto"/>
          <w:kern w:val="0"/>
          <w:sz w:val="24"/>
          <w:szCs w:val="24"/>
          <w:lang w:val="en-US" w:eastAsia="zh-CN" w:bidi="ar"/>
        </w:rPr>
      </w:pPr>
      <w:r>
        <w:rPr>
          <w:rFonts w:hint="default" w:ascii="宋体" w:hAnsi="宋体" w:eastAsia="宋体" w:cs="宋体"/>
          <w:b/>
          <w:bCs/>
          <w:color w:val="auto"/>
          <w:kern w:val="0"/>
          <w:sz w:val="24"/>
          <w:szCs w:val="24"/>
          <w:lang w:val="en-US" w:eastAsia="zh-CN" w:bidi="ar"/>
        </w:rPr>
        <w:t>五、交货条件</w:t>
      </w:r>
      <w:r>
        <w:rPr>
          <w:rFonts w:hint="eastAsia" w:cs="宋体"/>
          <w:b/>
          <w:bCs/>
          <w:color w:val="auto"/>
          <w:kern w:val="0"/>
          <w:sz w:val="24"/>
          <w:szCs w:val="24"/>
          <w:lang w:val="en-US" w:eastAsia="zh-CN" w:bidi="ar"/>
        </w:rPr>
        <w:t>：</w:t>
      </w:r>
      <w:r>
        <w:rPr>
          <w:rFonts w:hint="default" w:ascii="宋体" w:hAnsi="宋体" w:eastAsia="宋体" w:cs="宋体"/>
          <w:b/>
          <w:bCs/>
          <w:color w:val="auto"/>
          <w:kern w:val="0"/>
          <w:sz w:val="24"/>
          <w:szCs w:val="24"/>
          <w:lang w:val="en-US" w:eastAsia="zh-CN" w:bidi="ar"/>
        </w:rPr>
        <w:t xml:space="preserve"> </w:t>
      </w:r>
    </w:p>
    <w:p w14:paraId="23113FFD">
      <w:pPr>
        <w:pageBreakBefore w:val="0"/>
        <w:topLinePunct w:val="0"/>
        <w:bidi w:val="0"/>
        <w:spacing w:line="500" w:lineRule="exact"/>
        <w:ind w:left="0" w:leftChars="0" w:right="0" w:rightChars="0" w:firstLine="472" w:firstLineChars="200"/>
        <w:jc w:val="both"/>
        <w:rPr>
          <w:rFonts w:hint="default"/>
          <w:color w:val="auto"/>
          <w:spacing w:val="-2"/>
          <w:position w:val="15"/>
          <w:sz w:val="24"/>
          <w:szCs w:val="24"/>
          <w:lang w:val="en-US" w:eastAsia="zh-CN"/>
        </w:rPr>
      </w:pPr>
      <w:r>
        <w:rPr>
          <w:rFonts w:hint="default"/>
          <w:color w:val="auto"/>
          <w:spacing w:val="-2"/>
          <w:position w:val="15"/>
          <w:sz w:val="24"/>
          <w:szCs w:val="24"/>
          <w:lang w:val="en-US" w:eastAsia="zh-CN"/>
        </w:rPr>
        <w:t>1</w:t>
      </w:r>
      <w:r>
        <w:rPr>
          <w:rFonts w:hint="eastAsia"/>
          <w:color w:val="auto"/>
          <w:spacing w:val="-2"/>
          <w:position w:val="15"/>
          <w:sz w:val="24"/>
          <w:szCs w:val="24"/>
          <w:lang w:val="en-US" w:eastAsia="zh-CN"/>
        </w:rPr>
        <w:t>.</w:t>
      </w:r>
      <w:r>
        <w:rPr>
          <w:rFonts w:hint="default"/>
          <w:color w:val="auto"/>
          <w:spacing w:val="-2"/>
          <w:position w:val="15"/>
          <w:sz w:val="24"/>
          <w:szCs w:val="24"/>
          <w:lang w:val="en-US" w:eastAsia="zh-CN"/>
        </w:rPr>
        <w:t>供货地点：</w:t>
      </w:r>
      <w:r>
        <w:rPr>
          <w:rFonts w:hint="default"/>
          <w:color w:val="auto"/>
          <w:spacing w:val="-2"/>
          <w:position w:val="15"/>
          <w:sz w:val="24"/>
          <w:szCs w:val="24"/>
          <w:u w:val="single"/>
          <w:lang w:val="en-US" w:eastAsia="zh-CN"/>
        </w:rPr>
        <w:t>采购单位指定地点</w:t>
      </w:r>
      <w:r>
        <w:rPr>
          <w:rFonts w:hint="default"/>
          <w:color w:val="auto"/>
          <w:spacing w:val="-2"/>
          <w:position w:val="15"/>
          <w:sz w:val="24"/>
          <w:szCs w:val="24"/>
          <w:lang w:val="en-US" w:eastAsia="zh-CN"/>
        </w:rPr>
        <w:t xml:space="preserve">。 </w:t>
      </w:r>
    </w:p>
    <w:p w14:paraId="521E7447">
      <w:pPr>
        <w:pageBreakBefore w:val="0"/>
        <w:topLinePunct w:val="0"/>
        <w:bidi w:val="0"/>
        <w:spacing w:line="500" w:lineRule="exact"/>
        <w:ind w:left="0" w:leftChars="0" w:right="0" w:rightChars="0" w:firstLine="472" w:firstLineChars="200"/>
        <w:jc w:val="both"/>
        <w:rPr>
          <w:rFonts w:hint="default"/>
          <w:color w:val="auto"/>
          <w:spacing w:val="-2"/>
          <w:position w:val="15"/>
          <w:sz w:val="24"/>
          <w:szCs w:val="24"/>
          <w:lang w:val="en-US" w:eastAsia="zh-CN"/>
        </w:rPr>
      </w:pPr>
      <w:r>
        <w:rPr>
          <w:rFonts w:hint="default"/>
          <w:color w:val="auto"/>
          <w:spacing w:val="-2"/>
          <w:position w:val="15"/>
          <w:sz w:val="24"/>
          <w:szCs w:val="24"/>
          <w:lang w:val="en-US" w:eastAsia="zh-CN"/>
        </w:rPr>
        <w:t>2</w:t>
      </w:r>
      <w:r>
        <w:rPr>
          <w:rFonts w:hint="eastAsia"/>
          <w:color w:val="auto"/>
          <w:spacing w:val="-2"/>
          <w:position w:val="15"/>
          <w:sz w:val="24"/>
          <w:szCs w:val="24"/>
          <w:lang w:val="en-US" w:eastAsia="zh-CN"/>
        </w:rPr>
        <w:t>.</w:t>
      </w:r>
      <w:r>
        <w:rPr>
          <w:rFonts w:hint="default"/>
          <w:color w:val="auto"/>
          <w:spacing w:val="-2"/>
          <w:position w:val="15"/>
          <w:sz w:val="24"/>
          <w:szCs w:val="24"/>
          <w:lang w:val="en-US" w:eastAsia="zh-CN"/>
        </w:rPr>
        <w:t>供货方式、时间：</w:t>
      </w:r>
      <w:r>
        <w:rPr>
          <w:rFonts w:hint="eastAsia"/>
          <w:color w:val="auto"/>
          <w:spacing w:val="-2"/>
          <w:position w:val="15"/>
          <w:sz w:val="24"/>
          <w:szCs w:val="24"/>
          <w:u w:val="single"/>
          <w:lang w:val="en-US" w:eastAsia="zh-CN"/>
        </w:rPr>
        <w:t xml:space="preserve">                            </w:t>
      </w:r>
      <w:r>
        <w:rPr>
          <w:rFonts w:hint="default"/>
          <w:color w:val="auto"/>
          <w:spacing w:val="-2"/>
          <w:position w:val="15"/>
          <w:sz w:val="24"/>
          <w:szCs w:val="24"/>
          <w:lang w:val="en-US" w:eastAsia="zh-CN"/>
        </w:rPr>
        <w:t xml:space="preserve"> </w:t>
      </w:r>
      <w:r>
        <w:rPr>
          <w:rFonts w:hint="eastAsia"/>
          <w:color w:val="auto"/>
          <w:spacing w:val="-2"/>
          <w:position w:val="15"/>
          <w:sz w:val="24"/>
          <w:szCs w:val="24"/>
          <w:lang w:val="en-US" w:eastAsia="zh-CN"/>
        </w:rPr>
        <w:t>。</w:t>
      </w:r>
    </w:p>
    <w:p w14:paraId="07A6D4D5">
      <w:pPr>
        <w:pageBreakBefore w:val="0"/>
        <w:topLinePunct w:val="0"/>
        <w:bidi w:val="0"/>
        <w:spacing w:line="500" w:lineRule="exact"/>
        <w:ind w:left="0" w:leftChars="0" w:right="0" w:rightChars="0" w:firstLine="472" w:firstLineChars="200"/>
        <w:jc w:val="both"/>
        <w:rPr>
          <w:rFonts w:hint="eastAsia"/>
          <w:color w:val="auto"/>
          <w:spacing w:val="-2"/>
          <w:position w:val="15"/>
          <w:sz w:val="24"/>
          <w:szCs w:val="24"/>
          <w:lang w:val="en-US" w:eastAsia="zh-CN"/>
        </w:rPr>
      </w:pPr>
      <w:r>
        <w:rPr>
          <w:rFonts w:hint="default"/>
          <w:color w:val="auto"/>
          <w:spacing w:val="-2"/>
          <w:position w:val="15"/>
          <w:sz w:val="24"/>
          <w:szCs w:val="24"/>
          <w:lang w:val="en-US" w:eastAsia="zh-CN"/>
        </w:rPr>
        <w:t>3</w:t>
      </w:r>
      <w:r>
        <w:rPr>
          <w:rFonts w:hint="eastAsia"/>
          <w:color w:val="auto"/>
          <w:spacing w:val="-2"/>
          <w:position w:val="15"/>
          <w:sz w:val="24"/>
          <w:szCs w:val="24"/>
          <w:lang w:val="en-US" w:eastAsia="zh-CN"/>
        </w:rPr>
        <w:t>.</w:t>
      </w:r>
      <w:r>
        <w:rPr>
          <w:rFonts w:hint="default"/>
          <w:color w:val="auto"/>
          <w:spacing w:val="-2"/>
          <w:position w:val="15"/>
          <w:sz w:val="24"/>
          <w:szCs w:val="24"/>
          <w:lang w:val="en-US" w:eastAsia="zh-CN"/>
        </w:rPr>
        <w:t>合同履行期限：</w:t>
      </w:r>
      <w:r>
        <w:rPr>
          <w:rFonts w:hint="eastAsia"/>
          <w:color w:val="auto"/>
          <w:spacing w:val="-2"/>
          <w:position w:val="15"/>
          <w:sz w:val="24"/>
          <w:szCs w:val="24"/>
          <w:u w:val="single"/>
          <w:lang w:val="en-US" w:eastAsia="zh-CN"/>
        </w:rPr>
        <w:t xml:space="preserve">                              </w:t>
      </w:r>
      <w:r>
        <w:rPr>
          <w:rFonts w:hint="default"/>
          <w:color w:val="auto"/>
          <w:spacing w:val="-2"/>
          <w:position w:val="15"/>
          <w:sz w:val="24"/>
          <w:szCs w:val="24"/>
          <w:lang w:val="en-US" w:eastAsia="zh-CN"/>
        </w:rPr>
        <w:t xml:space="preserve"> </w:t>
      </w:r>
      <w:r>
        <w:rPr>
          <w:rFonts w:hint="eastAsia"/>
          <w:color w:val="auto"/>
          <w:spacing w:val="-2"/>
          <w:position w:val="15"/>
          <w:sz w:val="24"/>
          <w:szCs w:val="24"/>
          <w:lang w:val="en-US" w:eastAsia="zh-CN"/>
        </w:rPr>
        <w:t>。</w:t>
      </w:r>
    </w:p>
    <w:p w14:paraId="791BF60D">
      <w:pPr>
        <w:pageBreakBefore w:val="0"/>
        <w:topLinePunct w:val="0"/>
        <w:bidi w:val="0"/>
        <w:spacing w:line="500" w:lineRule="exact"/>
        <w:ind w:left="0" w:leftChars="0" w:right="0" w:rightChars="0" w:firstLine="472" w:firstLineChars="200"/>
        <w:jc w:val="both"/>
        <w:rPr>
          <w:rFonts w:hint="default"/>
          <w:color w:val="auto"/>
          <w:spacing w:val="-2"/>
          <w:position w:val="15"/>
          <w:sz w:val="24"/>
          <w:szCs w:val="24"/>
          <w:lang w:val="en-US" w:eastAsia="zh-CN"/>
        </w:rPr>
      </w:pPr>
      <w:r>
        <w:rPr>
          <w:rFonts w:hint="eastAsia"/>
          <w:color w:val="auto"/>
          <w:spacing w:val="-2"/>
          <w:position w:val="15"/>
          <w:sz w:val="24"/>
          <w:szCs w:val="24"/>
          <w:lang w:val="en-US" w:eastAsia="zh-CN"/>
        </w:rPr>
        <w:t>4.</w:t>
      </w:r>
      <w:r>
        <w:rPr>
          <w:rFonts w:hint="default"/>
          <w:color w:val="auto"/>
          <w:spacing w:val="-2"/>
          <w:position w:val="15"/>
          <w:sz w:val="24"/>
          <w:szCs w:val="24"/>
          <w:lang w:val="en-US" w:eastAsia="zh-CN"/>
        </w:rPr>
        <w:t>中标通知书发出后，中标人须按时与采购单位签订合同。中标人须对各类肉类食材各申报1个应急备选品牌，备选产品质量、检疫、验收标准及供货价格与中标品牌完全统一。履约过程中，中标品牌出现停产、断货等情况的，供应商应提交书面申请，采购人审批通过后方可使用备选品牌供货。</w:t>
      </w:r>
    </w:p>
    <w:p w14:paraId="7A827EF9">
      <w:pPr>
        <w:keepNext w:val="0"/>
        <w:keepLines w:val="0"/>
        <w:pageBreakBefore w:val="0"/>
        <w:widowControl/>
        <w:suppressLineNumbers w:val="0"/>
        <w:topLinePunct w:val="0"/>
        <w:bidi w:val="0"/>
        <w:spacing w:line="500" w:lineRule="exact"/>
        <w:ind w:left="0" w:leftChars="0" w:right="0" w:rightChars="0" w:firstLine="482" w:firstLineChars="200"/>
        <w:jc w:val="left"/>
        <w:rPr>
          <w:rFonts w:hint="default"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六、质量保证</w:t>
      </w:r>
      <w:r>
        <w:rPr>
          <w:rFonts w:hint="eastAsia" w:cs="宋体"/>
          <w:b/>
          <w:bCs/>
          <w:color w:val="auto"/>
          <w:kern w:val="0"/>
          <w:sz w:val="24"/>
          <w:szCs w:val="24"/>
          <w:lang w:val="en-US" w:eastAsia="zh-CN" w:bidi="ar"/>
        </w:rPr>
        <w:t>（按招标文件第三章招标采购内容及服务要求执行）</w:t>
      </w:r>
    </w:p>
    <w:p w14:paraId="7C6AA1D2">
      <w:pPr>
        <w:pStyle w:val="8"/>
        <w:keepNext w:val="0"/>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1.</w:t>
      </w:r>
      <w:r>
        <w:rPr>
          <w:rFonts w:hint="eastAsia" w:ascii="宋体" w:hAnsi="宋体" w:eastAsia="宋体" w:cs="宋体"/>
          <w:color w:val="auto"/>
          <w:sz w:val="24"/>
          <w:szCs w:val="24"/>
          <w:highlight w:val="none"/>
          <w:lang w:val="en-US" w:eastAsia="zh-CN" w:bidi="zh-CN"/>
        </w:rPr>
        <w:t>因运输装卸过程中造成的损耗（例如包装严重变形、破损、食品污染、变异等）、发现的破损、变异食品必须无条件一对一更换。</w:t>
      </w:r>
    </w:p>
    <w:p w14:paraId="7F425D4B">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2.</w:t>
      </w:r>
      <w:r>
        <w:rPr>
          <w:rFonts w:hint="eastAsia" w:ascii="宋体" w:hAnsi="宋体" w:eastAsia="宋体" w:cs="宋体"/>
          <w:color w:val="auto"/>
          <w:sz w:val="24"/>
          <w:szCs w:val="24"/>
          <w:highlight w:val="none"/>
          <w:lang w:val="en-US" w:eastAsia="zh-CN" w:bidi="zh-CN"/>
        </w:rPr>
        <w:t>保质期出现的质量问题由供应商负责解决并承担所有费用。如因质量问题意外食用，造成实际伤害及损失，将由供应商承担全部责任。供货商送货时应随货送上一式二联的送货清单，供货商一份、使用学校一份。</w:t>
      </w:r>
    </w:p>
    <w:p w14:paraId="78930B15">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3.</w:t>
      </w:r>
      <w:r>
        <w:rPr>
          <w:rFonts w:hint="eastAsia" w:ascii="宋体" w:hAnsi="宋体" w:eastAsia="宋体" w:cs="宋体"/>
          <w:color w:val="auto"/>
          <w:sz w:val="24"/>
          <w:szCs w:val="24"/>
          <w:highlight w:val="none"/>
          <w:lang w:val="en-US" w:eastAsia="zh-CN" w:bidi="zh-CN"/>
        </w:rPr>
        <w:t>送货车辆及工用具必须保持清洁卫生。每次运输车辆前应进行清洗消毒并做好记录，在运输装卸过程中也应注意保持清洁，肉类有专用冷链车运输或在保证食材不变质、不污染条件下的其他无交叉污染冷鲜运输方式。</w:t>
      </w:r>
    </w:p>
    <w:p w14:paraId="2D03A1E1">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4.</w:t>
      </w:r>
      <w:r>
        <w:rPr>
          <w:rFonts w:hint="eastAsia" w:ascii="宋体" w:hAnsi="宋体" w:eastAsia="宋体" w:cs="宋体"/>
          <w:color w:val="auto"/>
          <w:sz w:val="24"/>
          <w:szCs w:val="24"/>
          <w:highlight w:val="none"/>
          <w:lang w:val="en-US" w:eastAsia="zh-CN" w:bidi="zh-CN"/>
        </w:rPr>
        <w:t>在执行合同期间，使用单位会不定时进行抽检考核，对存在提供劣质产品、违反</w:t>
      </w:r>
      <w:r>
        <w:rPr>
          <w:rFonts w:hint="eastAsia" w:cs="宋体"/>
          <w:color w:val="auto"/>
          <w:sz w:val="24"/>
          <w:szCs w:val="24"/>
          <w:highlight w:val="none"/>
          <w:lang w:val="en-US" w:eastAsia="zh-CN" w:bidi="zh-CN"/>
        </w:rPr>
        <w:t>合同</w:t>
      </w:r>
      <w:r>
        <w:rPr>
          <w:rFonts w:hint="eastAsia" w:ascii="宋体" w:hAnsi="宋体" w:eastAsia="宋体" w:cs="宋体"/>
          <w:color w:val="auto"/>
          <w:sz w:val="24"/>
          <w:szCs w:val="24"/>
          <w:highlight w:val="none"/>
          <w:lang w:val="en-US" w:eastAsia="zh-CN" w:bidi="zh-CN"/>
        </w:rPr>
        <w:t>造成恶劣影响的、供应过程中不积极配合，服务态度较差的中标供应商，采购人将会出具书面文件酌情对其进行终止合同或调整供应区域。所造成的损失供货商应负全部责任。</w:t>
      </w:r>
    </w:p>
    <w:p w14:paraId="31322F2D">
      <w:pPr>
        <w:keepNext w:val="0"/>
        <w:keepLines w:val="0"/>
        <w:pageBreakBefore w:val="0"/>
        <w:kinsoku/>
        <w:wordWrap/>
        <w:overflowPunct/>
        <w:topLinePunct w:val="0"/>
        <w:autoSpaceDE/>
        <w:autoSpaceDN/>
        <w:bidi w:val="0"/>
        <w:adjustRightInd/>
        <w:snapToGrid/>
        <w:spacing w:line="500" w:lineRule="exact"/>
        <w:ind w:left="0" w:leftChars="0" w:right="0" w:rightChars="0" w:firstLine="482" w:firstLineChars="200"/>
        <w:textAlignment w:val="auto"/>
        <w:rPr>
          <w:rFonts w:hint="eastAsia" w:ascii="宋体" w:hAnsi="宋体" w:eastAsia="宋体" w:cs="宋体"/>
          <w:b/>
          <w:bCs/>
          <w:color w:val="auto"/>
          <w:sz w:val="24"/>
          <w:szCs w:val="24"/>
          <w:lang w:val="en-US" w:eastAsia="zh-CN" w:bidi="zh-CN"/>
        </w:rPr>
      </w:pPr>
      <w:r>
        <w:rPr>
          <w:rFonts w:hint="eastAsia" w:cs="宋体"/>
          <w:b/>
          <w:bCs/>
          <w:color w:val="auto"/>
          <w:sz w:val="24"/>
          <w:szCs w:val="24"/>
          <w:lang w:val="en-US" w:eastAsia="zh-CN" w:bidi="zh-CN"/>
        </w:rPr>
        <w:t>七</w:t>
      </w:r>
      <w:r>
        <w:rPr>
          <w:rFonts w:hint="eastAsia" w:ascii="宋体" w:hAnsi="宋体" w:eastAsia="宋体" w:cs="宋体"/>
          <w:b/>
          <w:bCs/>
          <w:color w:val="auto"/>
          <w:sz w:val="24"/>
          <w:szCs w:val="24"/>
          <w:lang w:val="en-US" w:eastAsia="zh-CN" w:bidi="zh-CN"/>
        </w:rPr>
        <w:t>、验收</w:t>
      </w:r>
      <w:r>
        <w:rPr>
          <w:rFonts w:hint="eastAsia" w:cs="宋体"/>
          <w:b/>
          <w:bCs/>
          <w:color w:val="auto"/>
          <w:sz w:val="24"/>
          <w:szCs w:val="24"/>
          <w:lang w:val="en-US" w:eastAsia="zh-CN" w:bidi="zh-CN"/>
        </w:rPr>
        <w:t>：</w:t>
      </w:r>
    </w:p>
    <w:p w14:paraId="60619AF1">
      <w:pPr>
        <w:keepNext w:val="0"/>
        <w:keepLines w:val="0"/>
        <w:pageBreakBefore w:val="0"/>
        <w:kinsoku/>
        <w:wordWrap/>
        <w:overflowPunct/>
        <w:topLinePunct w:val="0"/>
        <w:autoSpaceDE/>
        <w:autoSpaceDN/>
        <w:bidi w:val="0"/>
        <w:adjustRightInd/>
        <w:snapToGrid/>
        <w:spacing w:line="500" w:lineRule="exact"/>
        <w:ind w:left="0" w:leftChars="0" w:right="0" w:rightChars="0" w:firstLine="482" w:firstLineChars="200"/>
        <w:textAlignment w:val="auto"/>
        <w:rPr>
          <w:rFonts w:hint="eastAsia" w:cs="宋体"/>
          <w:b/>
          <w:bCs/>
          <w:color w:val="auto"/>
          <w:sz w:val="24"/>
          <w:szCs w:val="24"/>
          <w:lang w:val="en-US" w:eastAsia="zh-CN" w:bidi="zh-CN"/>
        </w:rPr>
      </w:pPr>
      <w:r>
        <w:rPr>
          <w:rFonts w:hint="eastAsia" w:cs="宋体"/>
          <w:b/>
          <w:bCs/>
          <w:color w:val="auto"/>
          <w:sz w:val="24"/>
          <w:szCs w:val="24"/>
          <w:lang w:val="en-US" w:eastAsia="zh-CN" w:bidi="zh-CN"/>
        </w:rPr>
        <w:t>合同包一至合同包六：</w:t>
      </w:r>
    </w:p>
    <w:p w14:paraId="4B6C1282">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1</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每次配送由使用学校和中标人共同对产品的外包装是否洁净、有无破损、规格、数量等进行验收。</w:t>
      </w:r>
    </w:p>
    <w:p w14:paraId="11EEFCC2">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2</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中标人每次供货须向使用学校提供“供货清单”（供货清单一式二份，中标人一份，学校一份）；经验收合格后，由学校单位2人以上验收小组人员在“供货清单”上签字。</w:t>
      </w:r>
    </w:p>
    <w:p w14:paraId="6A9D577C">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3</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若验收不合格，中标人必须及时换货，保证使用单位</w:t>
      </w:r>
      <w:r>
        <w:rPr>
          <w:rFonts w:hint="eastAsia" w:cs="宋体"/>
          <w:b w:val="0"/>
          <w:bCs w:val="0"/>
          <w:color w:val="auto"/>
          <w:sz w:val="24"/>
          <w:szCs w:val="24"/>
          <w:lang w:val="en-US" w:eastAsia="zh-CN" w:bidi="zh-CN"/>
        </w:rPr>
        <w:t>的</w:t>
      </w:r>
      <w:r>
        <w:rPr>
          <w:rFonts w:hint="eastAsia" w:ascii="宋体" w:hAnsi="宋体" w:eastAsia="宋体" w:cs="宋体"/>
          <w:b w:val="0"/>
          <w:bCs w:val="0"/>
          <w:color w:val="auto"/>
          <w:sz w:val="24"/>
          <w:szCs w:val="24"/>
          <w:lang w:val="en-US" w:eastAsia="zh-CN" w:bidi="zh-CN"/>
        </w:rPr>
        <w:t>正常使用，</w:t>
      </w:r>
      <w:r>
        <w:rPr>
          <w:rFonts w:hint="eastAsia" w:cs="宋体"/>
          <w:b w:val="0"/>
          <w:bCs w:val="0"/>
          <w:color w:val="auto"/>
          <w:sz w:val="24"/>
          <w:szCs w:val="24"/>
          <w:lang w:val="en-US" w:eastAsia="zh-CN" w:bidi="zh-CN"/>
        </w:rPr>
        <w:t>否则</w:t>
      </w:r>
      <w:r>
        <w:rPr>
          <w:rFonts w:hint="eastAsia" w:ascii="宋体" w:hAnsi="宋体" w:eastAsia="宋体" w:cs="宋体"/>
          <w:b w:val="0"/>
          <w:bCs w:val="0"/>
          <w:color w:val="auto"/>
          <w:sz w:val="24"/>
          <w:szCs w:val="24"/>
          <w:lang w:val="en-US" w:eastAsia="zh-CN" w:bidi="zh-CN"/>
        </w:rPr>
        <w:t>采购人将终止其供货合同，并赔偿采购人的损失。</w:t>
      </w:r>
    </w:p>
    <w:p w14:paraId="1FCAF9C2">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4</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各实施学校要根据相应的管理制度，落实专门的管理人员，在货送到后要履行严格的食材接收验收签字手续。随货通行票据必须标明批次和数量，建立配送</w:t>
      </w:r>
      <w:r>
        <w:rPr>
          <w:rFonts w:hint="eastAsia" w:cs="宋体"/>
          <w:b w:val="0"/>
          <w:bCs w:val="0"/>
          <w:color w:val="auto"/>
          <w:sz w:val="24"/>
          <w:szCs w:val="24"/>
          <w:lang w:val="en-US" w:eastAsia="zh-CN" w:bidi="zh-CN"/>
        </w:rPr>
        <w:t>台账</w:t>
      </w:r>
      <w:r>
        <w:rPr>
          <w:rFonts w:hint="eastAsia" w:ascii="宋体" w:hAnsi="宋体" w:eastAsia="宋体" w:cs="宋体"/>
          <w:b w:val="0"/>
          <w:bCs w:val="0"/>
          <w:color w:val="auto"/>
          <w:sz w:val="24"/>
          <w:szCs w:val="24"/>
          <w:lang w:val="en-US" w:eastAsia="zh-CN" w:bidi="zh-CN"/>
        </w:rPr>
        <w:t>。</w:t>
      </w:r>
    </w:p>
    <w:p w14:paraId="5B84956D">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5</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留样与检查。中标人对所供食材进行留样，（留样食材的费用由中标人承担）由相关部门适时对所供产品进行抽样检查，并对检查情况建立档案，（抽检的费用由中标人承担）。抽样检查出现不合格产品的，采购单位有权终止合同，如出现因产品质量不合格发生的安全事故，由中标人负全权责任并承抯相应的经济和法律责任。</w:t>
      </w:r>
    </w:p>
    <w:p w14:paraId="5652AA8A">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6</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验收依据：</w:t>
      </w:r>
    </w:p>
    <w:p w14:paraId="0E2FCE29">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（1）合同文本及合同补充文件（条款）</w:t>
      </w:r>
    </w:p>
    <w:p w14:paraId="2931A916">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（2）国家有关的验收标准及规范。</w:t>
      </w:r>
    </w:p>
    <w:p w14:paraId="1B84F5AE">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（3）招标文件。</w:t>
      </w:r>
    </w:p>
    <w:p w14:paraId="738F1557">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color w:val="auto"/>
          <w:sz w:val="24"/>
          <w:szCs w:val="24"/>
          <w:lang w:val="en-US" w:eastAsia="zh-CN" w:bidi="zh-CN"/>
        </w:rPr>
        <w:t>（4）中标人的投标文件</w:t>
      </w:r>
    </w:p>
    <w:p w14:paraId="623CBB91">
      <w:pPr>
        <w:keepNext w:val="0"/>
        <w:keepLines w:val="0"/>
        <w:pageBreakBefore w:val="0"/>
        <w:widowControl/>
        <w:suppressLineNumbers w:val="0"/>
        <w:topLinePunct w:val="0"/>
        <w:bidi w:val="0"/>
        <w:spacing w:line="500" w:lineRule="exact"/>
        <w:ind w:left="0" w:leftChars="0" w:right="0" w:rightChars="0" w:firstLine="482" w:firstLineChars="200"/>
        <w:jc w:val="left"/>
        <w:rPr>
          <w:color w:val="auto"/>
        </w:rPr>
      </w:pPr>
      <w:r>
        <w:rPr>
          <w:rFonts w:hint="eastAsia" w:ascii="宋体" w:hAnsi="宋体" w:eastAsia="宋体" w:cs="宋体"/>
          <w:b/>
          <w:bCs/>
          <w:color w:val="auto"/>
          <w:kern w:val="0"/>
          <w:sz w:val="24"/>
          <w:szCs w:val="24"/>
          <w:lang w:val="en-US" w:eastAsia="zh-CN" w:bidi="ar"/>
        </w:rPr>
        <w:t>八、双方权利和义务</w:t>
      </w:r>
    </w:p>
    <w:p w14:paraId="25B9EAFC">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（一）甲方的权利和义务 </w:t>
      </w:r>
    </w:p>
    <w:p w14:paraId="5EE57E41">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甲方有权利对乙方所供货物进行另行抽检。 </w:t>
      </w:r>
    </w:p>
    <w:p w14:paraId="7581E43D">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甲方有权利拒绝接受非甲方采购产品。 </w:t>
      </w:r>
    </w:p>
    <w:p w14:paraId="49E8790D">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3</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甲方有权利对乙方所供产品包装破损的产品提出异议或拒绝接受。 </w:t>
      </w:r>
    </w:p>
    <w:p w14:paraId="338ADEC4">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4</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甲方有权利对乙方的服务进行监督和评判。 </w:t>
      </w:r>
    </w:p>
    <w:p w14:paraId="4034CD9B">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5</w:t>
      </w:r>
      <w:r>
        <w:rPr>
          <w:rFonts w:hint="eastAsia" w:cs="宋体"/>
          <w:color w:val="auto"/>
          <w:sz w:val="24"/>
          <w:szCs w:val="24"/>
          <w:highlight w:val="none"/>
          <w:lang w:val="en-US" w:eastAsia="zh-CN" w:bidi="zh-CN"/>
        </w:rPr>
        <w:t>.</w:t>
      </w:r>
      <w:r>
        <w:rPr>
          <w:rFonts w:hint="eastAsia" w:ascii="宋体" w:hAnsi="宋体" w:eastAsia="宋体" w:cs="宋体"/>
          <w:color w:val="auto"/>
          <w:sz w:val="24"/>
          <w:szCs w:val="24"/>
          <w:highlight w:val="none"/>
          <w:lang w:val="en-US" w:eastAsia="zh-CN" w:bidi="zh-CN"/>
        </w:rPr>
        <w:t xml:space="preserve">甲方有义务对乙方所供货物进行规范储存。 </w:t>
      </w:r>
    </w:p>
    <w:p w14:paraId="78E0DD49">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6</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在供货业务运行过程中出现时间、地点、人员变化等现象，甲方有义务事先通告乙方并配合乙方完成后续交接等事宜。 </w:t>
      </w:r>
    </w:p>
    <w:p w14:paraId="4D0BC6A6">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7</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甲方有义务配合乙方处理完善双方合作中的突发事件。 </w:t>
      </w:r>
    </w:p>
    <w:p w14:paraId="470B287C">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8</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甲方有义务配合乙方做一些关于食用产品知识的宣传工作。 </w:t>
      </w:r>
    </w:p>
    <w:p w14:paraId="7872462C">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（二）乙方的权利和义务 </w:t>
      </w:r>
    </w:p>
    <w:p w14:paraId="20C9BFAA">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乙方有义务向甲方提供按标签标注质量标注合格的产品，并向甲方提供销售所需的“三证 ”及相关资料。 </w:t>
      </w:r>
    </w:p>
    <w:p w14:paraId="1B2AD26D">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乙方保证价格按招标时所相应价格为准。 </w:t>
      </w:r>
    </w:p>
    <w:p w14:paraId="06249CDC">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3</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乙方保证向甲方所供货完整无损。 </w:t>
      </w:r>
    </w:p>
    <w:p w14:paraId="50AE23E0">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4</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乙方在按相关规定送货到位后，甲方应及时接收。 </w:t>
      </w:r>
    </w:p>
    <w:p w14:paraId="2E361457">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5</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若验收不合格，乙方有义务及时换货，保证甲方学校</w:t>
      </w:r>
      <w:r>
        <w:rPr>
          <w:rFonts w:hint="eastAsia" w:cs="宋体"/>
          <w:color w:val="auto"/>
          <w:sz w:val="24"/>
          <w:szCs w:val="24"/>
          <w:lang w:val="en-US" w:eastAsia="zh-CN" w:bidi="zh-CN"/>
        </w:rPr>
        <w:t>的</w:t>
      </w:r>
      <w:r>
        <w:rPr>
          <w:rFonts w:hint="eastAsia" w:ascii="宋体" w:hAnsi="宋体" w:eastAsia="宋体" w:cs="宋体"/>
          <w:color w:val="auto"/>
          <w:sz w:val="24"/>
          <w:szCs w:val="24"/>
          <w:lang w:val="en-US" w:eastAsia="zh-CN" w:bidi="zh-CN"/>
        </w:rPr>
        <w:t xml:space="preserve">正常使用，否则由采购人将终 </w:t>
      </w:r>
    </w:p>
    <w:p w14:paraId="2CCAF90B">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止其供货合同，并赔偿学校的损失。 </w:t>
      </w:r>
    </w:p>
    <w:p w14:paraId="0739D860">
      <w:pPr>
        <w:keepNext w:val="0"/>
        <w:keepLines w:val="0"/>
        <w:pageBreakBefore w:val="0"/>
        <w:widowControl/>
        <w:suppressLineNumbers w:val="0"/>
        <w:topLinePunct w:val="0"/>
        <w:bidi w:val="0"/>
        <w:spacing w:line="500" w:lineRule="exact"/>
        <w:ind w:left="0" w:leftChars="0" w:right="0" w:rightChars="0" w:firstLine="482" w:firstLineChars="200"/>
        <w:jc w:val="left"/>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 xml:space="preserve">九、违约责任 </w:t>
      </w:r>
    </w:p>
    <w:p w14:paraId="1D07DAB0">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1.中标人应按合同规定时间按时交货，否则将向采购人支付违约金。 </w:t>
      </w:r>
    </w:p>
    <w:p w14:paraId="3FE31B66">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w:t>
      </w:r>
      <w:r>
        <w:rPr>
          <w:rFonts w:hint="eastAsia" w:cs="宋体"/>
          <w:color w:val="auto"/>
          <w:sz w:val="24"/>
          <w:szCs w:val="24"/>
          <w:lang w:val="en-US" w:eastAsia="zh-CN" w:bidi="zh-CN"/>
        </w:rPr>
        <w:t>按照</w:t>
      </w:r>
      <w:r>
        <w:rPr>
          <w:rFonts w:hint="eastAsia" w:ascii="宋体" w:hAnsi="宋体" w:eastAsia="宋体" w:cs="宋体"/>
          <w:color w:val="auto"/>
          <w:sz w:val="24"/>
          <w:szCs w:val="24"/>
          <w:lang w:val="en-US" w:eastAsia="zh-CN" w:bidi="zh-CN"/>
        </w:rPr>
        <w:t xml:space="preserve">《中华人民共和国民法典》中的相关条款执行。 </w:t>
      </w:r>
    </w:p>
    <w:p w14:paraId="5406FD2B">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3.中标人发生未按合同要求提供货物、货物质量不能满足技术要求、严重违背配送服务要求等情况时，采购人有权终止合同，同时报请政府采购管理部门对其违约行为进行追究。 </w:t>
      </w:r>
    </w:p>
    <w:p w14:paraId="46DAE4C7">
      <w:pPr>
        <w:pStyle w:val="8"/>
        <w:keepNext w:val="0"/>
        <w:keepLines w:val="0"/>
        <w:pageBreakBefore w:val="0"/>
        <w:kinsoku/>
        <w:wordWrap/>
        <w:overflowPunct/>
        <w:topLinePunct w:val="0"/>
        <w:bidi w:val="0"/>
        <w:adjustRightInd/>
        <w:snapToGrid/>
        <w:spacing w:line="500" w:lineRule="exact"/>
        <w:ind w:left="0" w:leftChars="0" w:right="0" w:rightChars="0" w:firstLine="482" w:firstLineChars="200"/>
        <w:textAlignment w:val="auto"/>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十、合同争议解决的方式</w:t>
      </w:r>
    </w:p>
    <w:p w14:paraId="19E7FAE8">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本合同在履行过程中发生的争议，由甲乙双方当事人协商解决，协商不成的提交当地仲裁委员会仲裁。 </w:t>
      </w:r>
    </w:p>
    <w:p w14:paraId="4B975016">
      <w:pPr>
        <w:keepNext w:val="0"/>
        <w:keepLines w:val="0"/>
        <w:pageBreakBefore w:val="0"/>
        <w:widowControl/>
        <w:suppressLineNumbers w:val="0"/>
        <w:topLinePunct w:val="0"/>
        <w:bidi w:val="0"/>
        <w:spacing w:line="500" w:lineRule="exact"/>
        <w:ind w:left="0" w:leftChars="0" w:right="0" w:rightChars="0" w:firstLine="482" w:firstLineChars="200"/>
        <w:jc w:val="left"/>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十</w:t>
      </w:r>
      <w:r>
        <w:rPr>
          <w:rFonts w:hint="eastAsia" w:cs="宋体"/>
          <w:b/>
          <w:bCs/>
          <w:color w:val="auto"/>
          <w:sz w:val="24"/>
          <w:szCs w:val="24"/>
          <w:lang w:val="en-US" w:eastAsia="zh-CN" w:bidi="zh-CN"/>
        </w:rPr>
        <w:t>一</w:t>
      </w:r>
      <w:r>
        <w:rPr>
          <w:rFonts w:hint="eastAsia" w:ascii="宋体" w:hAnsi="宋体" w:eastAsia="宋体" w:cs="宋体"/>
          <w:b/>
          <w:bCs/>
          <w:color w:val="auto"/>
          <w:sz w:val="24"/>
          <w:szCs w:val="24"/>
          <w:lang w:val="en-US" w:eastAsia="zh-CN" w:bidi="zh-CN"/>
        </w:rPr>
        <w:t xml:space="preserve">、合同组成 </w:t>
      </w:r>
    </w:p>
    <w:p w14:paraId="18027B98">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中标通知书 </w:t>
      </w:r>
    </w:p>
    <w:p w14:paraId="1AF2A96C">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合同文件 </w:t>
      </w:r>
    </w:p>
    <w:p w14:paraId="7F7EA0A7">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3</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国家相关规范及标准 </w:t>
      </w:r>
    </w:p>
    <w:p w14:paraId="336DF2F4">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4</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招标文件 </w:t>
      </w:r>
    </w:p>
    <w:p w14:paraId="07E8921F">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5</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投标文件 </w:t>
      </w:r>
    </w:p>
    <w:p w14:paraId="0BB84975">
      <w:pPr>
        <w:keepNext w:val="0"/>
        <w:keepLines w:val="0"/>
        <w:pageBreakBefore w:val="0"/>
        <w:widowControl/>
        <w:suppressLineNumbers w:val="0"/>
        <w:topLinePunct w:val="0"/>
        <w:bidi w:val="0"/>
        <w:spacing w:line="500" w:lineRule="exact"/>
        <w:ind w:left="0" w:leftChars="0" w:right="0" w:rightChars="0" w:firstLine="482" w:firstLineChars="200"/>
        <w:jc w:val="left"/>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十</w:t>
      </w:r>
      <w:r>
        <w:rPr>
          <w:rFonts w:hint="eastAsia" w:cs="宋体"/>
          <w:b/>
          <w:bCs/>
          <w:color w:val="auto"/>
          <w:sz w:val="24"/>
          <w:szCs w:val="24"/>
          <w:lang w:val="en-US" w:eastAsia="zh-CN" w:bidi="zh-CN"/>
        </w:rPr>
        <w:t>二</w:t>
      </w:r>
      <w:r>
        <w:rPr>
          <w:rFonts w:hint="eastAsia" w:ascii="宋体" w:hAnsi="宋体" w:eastAsia="宋体" w:cs="宋体"/>
          <w:b/>
          <w:bCs/>
          <w:color w:val="auto"/>
          <w:sz w:val="24"/>
          <w:szCs w:val="24"/>
          <w:lang w:val="en-US" w:eastAsia="zh-CN" w:bidi="zh-CN"/>
        </w:rPr>
        <w:t>、合同生效</w:t>
      </w:r>
      <w:r>
        <w:rPr>
          <w:rFonts w:hint="eastAsia" w:cs="宋体"/>
          <w:b/>
          <w:bCs/>
          <w:color w:val="auto"/>
          <w:sz w:val="24"/>
          <w:szCs w:val="24"/>
          <w:lang w:val="en-US" w:eastAsia="zh-CN" w:bidi="zh-CN"/>
        </w:rPr>
        <w:t>及其他</w:t>
      </w:r>
      <w:r>
        <w:rPr>
          <w:rFonts w:hint="eastAsia" w:ascii="宋体" w:hAnsi="宋体" w:eastAsia="宋体" w:cs="宋体"/>
          <w:b/>
          <w:bCs/>
          <w:color w:val="auto"/>
          <w:sz w:val="24"/>
          <w:szCs w:val="24"/>
          <w:lang w:val="en-US" w:eastAsia="zh-CN" w:bidi="zh-CN"/>
        </w:rPr>
        <w:t xml:space="preserve"> </w:t>
      </w:r>
    </w:p>
    <w:p w14:paraId="083DDE9B">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合同未尽事宜、由甲乙双方协商，作为合同补充，与原合同具有同等法律效力。 </w:t>
      </w:r>
    </w:p>
    <w:p w14:paraId="6E89BAAE">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本合同正本一式</w:t>
      </w:r>
      <w:r>
        <w:rPr>
          <w:rFonts w:hint="eastAsia" w:cs="宋体"/>
          <w:color w:val="auto"/>
          <w:sz w:val="24"/>
          <w:szCs w:val="24"/>
          <w:u w:val="single"/>
          <w:lang w:val="en-US" w:eastAsia="zh-CN" w:bidi="zh-CN"/>
        </w:rPr>
        <w:t xml:space="preserve">   </w:t>
      </w:r>
      <w:r>
        <w:rPr>
          <w:rFonts w:hint="eastAsia" w:ascii="宋体" w:hAnsi="宋体" w:eastAsia="宋体" w:cs="宋体"/>
          <w:color w:val="auto"/>
          <w:sz w:val="24"/>
          <w:szCs w:val="24"/>
          <w:lang w:val="en-US" w:eastAsia="zh-CN" w:bidi="zh-CN"/>
        </w:rPr>
        <w:t>份，买卖双方分别执</w:t>
      </w:r>
      <w:r>
        <w:rPr>
          <w:rFonts w:hint="eastAsia" w:cs="宋体"/>
          <w:color w:val="auto"/>
          <w:sz w:val="24"/>
          <w:szCs w:val="24"/>
          <w:u w:val="single"/>
          <w:lang w:val="en-US" w:eastAsia="zh-CN" w:bidi="zh-CN"/>
        </w:rPr>
        <w:t xml:space="preserve">  </w:t>
      </w:r>
      <w:r>
        <w:rPr>
          <w:rFonts w:hint="eastAsia" w:ascii="宋体" w:hAnsi="宋体" w:eastAsia="宋体" w:cs="宋体"/>
          <w:color w:val="auto"/>
          <w:sz w:val="24"/>
          <w:szCs w:val="24"/>
          <w:u w:val="single"/>
          <w:lang w:val="en-US" w:eastAsia="zh-CN" w:bidi="zh-CN"/>
        </w:rPr>
        <w:t xml:space="preserve"> </w:t>
      </w:r>
      <w:r>
        <w:rPr>
          <w:rFonts w:hint="eastAsia" w:ascii="宋体" w:hAnsi="宋体" w:eastAsia="宋体" w:cs="宋体"/>
          <w:color w:val="auto"/>
          <w:sz w:val="24"/>
          <w:szCs w:val="24"/>
          <w:lang w:val="en-US" w:eastAsia="zh-CN" w:bidi="zh-CN"/>
        </w:rPr>
        <w:t>份，监督部门备案</w:t>
      </w:r>
      <w:r>
        <w:rPr>
          <w:rFonts w:hint="eastAsia" w:cs="宋体"/>
          <w:color w:val="auto"/>
          <w:sz w:val="24"/>
          <w:szCs w:val="24"/>
          <w:u w:val="single"/>
          <w:lang w:val="en-US" w:eastAsia="zh-CN" w:bidi="zh-CN"/>
        </w:rPr>
        <w:t xml:space="preserve">   </w:t>
      </w:r>
      <w:r>
        <w:rPr>
          <w:rFonts w:hint="eastAsia" w:ascii="宋体" w:hAnsi="宋体" w:eastAsia="宋体" w:cs="宋体"/>
          <w:color w:val="auto"/>
          <w:sz w:val="24"/>
          <w:szCs w:val="24"/>
          <w:lang w:val="en-US" w:eastAsia="zh-CN" w:bidi="zh-CN"/>
        </w:rPr>
        <w:t xml:space="preserve">份。 </w:t>
      </w:r>
    </w:p>
    <w:p w14:paraId="0133441D">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3</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合同经买卖双方共同签字盖章之日起生效，合同签订地点为</w:t>
      </w:r>
      <w:r>
        <w:rPr>
          <w:rFonts w:hint="eastAsia" w:cs="宋体"/>
          <w:color w:val="auto"/>
          <w:sz w:val="24"/>
          <w:szCs w:val="24"/>
          <w:u w:val="single"/>
          <w:lang w:val="en-US" w:eastAsia="zh-CN" w:bidi="zh-CN"/>
        </w:rPr>
        <w:t xml:space="preserve">            </w:t>
      </w:r>
      <w:r>
        <w:rPr>
          <w:rFonts w:hint="eastAsia" w:ascii="宋体" w:hAnsi="宋体" w:eastAsia="宋体" w:cs="宋体"/>
          <w:color w:val="auto"/>
          <w:sz w:val="24"/>
          <w:szCs w:val="24"/>
          <w:lang w:val="en-US" w:eastAsia="zh-CN" w:bidi="zh-CN"/>
        </w:rPr>
        <w:t xml:space="preserve">。 </w:t>
      </w:r>
    </w:p>
    <w:p w14:paraId="5183391F">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color w:val="auto"/>
        </w:rPr>
      </w:pPr>
      <w:r>
        <w:rPr>
          <w:rFonts w:hint="eastAsia" w:ascii="宋体" w:hAnsi="宋体" w:eastAsia="宋体" w:cs="宋体"/>
          <w:color w:val="auto"/>
          <w:sz w:val="24"/>
          <w:szCs w:val="24"/>
          <w:lang w:val="en-US" w:eastAsia="zh-CN" w:bidi="zh-CN"/>
        </w:rPr>
        <w:t>4</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生效时间：</w:t>
      </w:r>
      <w:r>
        <w:rPr>
          <w:rFonts w:hint="eastAsia" w:cs="宋体"/>
          <w:color w:val="auto"/>
          <w:sz w:val="24"/>
          <w:szCs w:val="24"/>
          <w:u w:val="single"/>
          <w:lang w:val="en-US" w:eastAsia="zh-CN" w:bidi="zh-CN"/>
        </w:rPr>
        <w:t xml:space="preserve">      </w:t>
      </w:r>
      <w:r>
        <w:rPr>
          <w:rFonts w:hint="eastAsia" w:ascii="宋体" w:hAnsi="宋体" w:eastAsia="宋体" w:cs="宋体"/>
          <w:color w:val="auto"/>
          <w:kern w:val="0"/>
          <w:sz w:val="24"/>
          <w:szCs w:val="24"/>
          <w:lang w:val="en-US" w:eastAsia="zh-CN" w:bidi="ar"/>
        </w:rPr>
        <w:t xml:space="preserve">年 </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月</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 xml:space="preserve">日。 </w:t>
      </w:r>
    </w:p>
    <w:p w14:paraId="6182AC79">
      <w:pPr>
        <w:keepNext w:val="0"/>
        <w:keepLines w:val="0"/>
        <w:pageBreakBefore w:val="0"/>
        <w:widowControl/>
        <w:suppressLineNumbers w:val="0"/>
        <w:topLinePunct w:val="0"/>
        <w:bidi w:val="0"/>
        <w:spacing w:line="500" w:lineRule="exact"/>
        <w:ind w:left="0" w:leftChars="0" w:right="0" w:rightChars="0" w:firstLine="480" w:firstLineChars="200"/>
        <w:jc w:val="left"/>
        <w:rPr>
          <w:color w:val="auto"/>
        </w:rPr>
      </w:pPr>
      <w:r>
        <w:rPr>
          <w:rFonts w:hint="eastAsia" w:ascii="宋体" w:hAnsi="宋体" w:eastAsia="宋体" w:cs="宋体"/>
          <w:color w:val="auto"/>
          <w:kern w:val="0"/>
          <w:sz w:val="24"/>
          <w:szCs w:val="24"/>
          <w:lang w:val="en-US" w:eastAsia="zh-CN" w:bidi="ar"/>
        </w:rPr>
        <w:t xml:space="preserve">甲方名称：（公章）                     乙方名称：（公章） </w:t>
      </w:r>
    </w:p>
    <w:p w14:paraId="755EC865">
      <w:pPr>
        <w:keepNext w:val="0"/>
        <w:keepLines w:val="0"/>
        <w:pageBreakBefore w:val="0"/>
        <w:widowControl/>
        <w:suppressLineNumbers w:val="0"/>
        <w:topLinePunct w:val="0"/>
        <w:bidi w:val="0"/>
        <w:spacing w:line="500" w:lineRule="exact"/>
        <w:ind w:left="0" w:leftChars="0" w:right="0" w:rightChars="0" w:firstLine="480" w:firstLineChars="200"/>
        <w:jc w:val="left"/>
        <w:rPr>
          <w:color w:val="auto"/>
        </w:rPr>
      </w:pPr>
      <w:r>
        <w:rPr>
          <w:rFonts w:hint="eastAsia" w:ascii="宋体" w:hAnsi="宋体" w:eastAsia="宋体" w:cs="宋体"/>
          <w:color w:val="auto"/>
          <w:kern w:val="0"/>
          <w:sz w:val="24"/>
          <w:szCs w:val="24"/>
          <w:lang w:val="en-US" w:eastAsia="zh-CN" w:bidi="ar"/>
        </w:rPr>
        <w:t xml:space="preserve">地    址：                             地    址： </w:t>
      </w:r>
    </w:p>
    <w:p w14:paraId="2D64CAAE">
      <w:pPr>
        <w:keepNext w:val="0"/>
        <w:keepLines w:val="0"/>
        <w:pageBreakBefore w:val="0"/>
        <w:widowControl/>
        <w:suppressLineNumbers w:val="0"/>
        <w:topLinePunct w:val="0"/>
        <w:bidi w:val="0"/>
        <w:spacing w:line="500" w:lineRule="exact"/>
        <w:ind w:left="0" w:leftChars="0" w:right="0" w:rightChars="0" w:firstLine="480" w:firstLineChars="200"/>
        <w:jc w:val="left"/>
        <w:rPr>
          <w:color w:val="auto"/>
        </w:rPr>
      </w:pPr>
      <w:r>
        <w:rPr>
          <w:rFonts w:hint="eastAsia" w:ascii="宋体" w:hAnsi="宋体" w:eastAsia="宋体" w:cs="宋体"/>
          <w:color w:val="auto"/>
          <w:kern w:val="0"/>
          <w:sz w:val="24"/>
          <w:szCs w:val="24"/>
          <w:lang w:val="en-US" w:eastAsia="zh-CN" w:bidi="ar"/>
        </w:rPr>
        <w:t xml:space="preserve">邮    编：                             邮    编： </w:t>
      </w:r>
    </w:p>
    <w:p w14:paraId="6092FA50">
      <w:pPr>
        <w:keepNext w:val="0"/>
        <w:keepLines w:val="0"/>
        <w:pageBreakBefore w:val="0"/>
        <w:widowControl/>
        <w:suppressLineNumbers w:val="0"/>
        <w:topLinePunct w:val="0"/>
        <w:bidi w:val="0"/>
        <w:spacing w:line="500" w:lineRule="exact"/>
        <w:ind w:left="0" w:leftChars="0" w:right="0" w:rightChars="0" w:firstLine="480" w:firstLineChars="200"/>
        <w:jc w:val="left"/>
        <w:rPr>
          <w:color w:val="auto"/>
        </w:rPr>
      </w:pPr>
      <w:r>
        <w:rPr>
          <w:rFonts w:hint="eastAsia" w:ascii="宋体" w:hAnsi="宋体" w:eastAsia="宋体" w:cs="宋体"/>
          <w:color w:val="auto"/>
          <w:kern w:val="0"/>
          <w:sz w:val="24"/>
          <w:szCs w:val="24"/>
          <w:lang w:val="en-US" w:eastAsia="zh-CN" w:bidi="ar"/>
        </w:rPr>
        <w:t xml:space="preserve">电    话：                             电    话： </w:t>
      </w:r>
    </w:p>
    <w:p w14:paraId="6B3D8952">
      <w:pPr>
        <w:keepNext w:val="0"/>
        <w:keepLines w:val="0"/>
        <w:pageBreakBefore w:val="0"/>
        <w:widowControl/>
        <w:suppressLineNumbers w:val="0"/>
        <w:topLinePunct w:val="0"/>
        <w:bidi w:val="0"/>
        <w:spacing w:line="500" w:lineRule="exact"/>
        <w:ind w:left="0" w:leftChars="0" w:right="0" w:rightChars="0" w:firstLine="480" w:firstLineChars="200"/>
        <w:jc w:val="left"/>
        <w:rPr>
          <w:color w:val="auto"/>
        </w:rPr>
      </w:pPr>
      <w:r>
        <w:rPr>
          <w:rFonts w:hint="eastAsia" w:ascii="宋体" w:hAnsi="宋体" w:eastAsia="宋体" w:cs="宋体"/>
          <w:color w:val="auto"/>
          <w:kern w:val="0"/>
          <w:sz w:val="24"/>
          <w:szCs w:val="24"/>
          <w:lang w:val="en-US" w:eastAsia="zh-CN" w:bidi="ar"/>
        </w:rPr>
        <w:t xml:space="preserve">传    真：                             传    真： </w:t>
      </w:r>
    </w:p>
    <w:p w14:paraId="7B35408A">
      <w:pPr>
        <w:keepNext w:val="0"/>
        <w:keepLines w:val="0"/>
        <w:pageBreakBefore w:val="0"/>
        <w:widowControl/>
        <w:suppressLineNumbers w:val="0"/>
        <w:tabs>
          <w:tab w:val="left" w:pos="459"/>
        </w:tabs>
        <w:topLinePunct w:val="0"/>
        <w:bidi w:val="0"/>
        <w:spacing w:line="500" w:lineRule="exact"/>
        <w:ind w:left="0" w:leftChars="0" w:right="0" w:rightChars="0" w:firstLine="480" w:firstLineChars="200"/>
        <w:jc w:val="left"/>
        <w:rPr>
          <w:color w:val="auto"/>
        </w:rPr>
      </w:pPr>
      <w:r>
        <w:rPr>
          <w:rFonts w:hint="eastAsia" w:ascii="宋体" w:hAnsi="宋体" w:eastAsia="宋体" w:cs="宋体"/>
          <w:color w:val="auto"/>
          <w:kern w:val="0"/>
          <w:sz w:val="24"/>
          <w:szCs w:val="24"/>
          <w:lang w:val="en-US" w:eastAsia="zh-CN" w:bidi="ar"/>
        </w:rPr>
        <w:t xml:space="preserve">开户银行：                             开户银行： </w:t>
      </w:r>
    </w:p>
    <w:p w14:paraId="4A563C61">
      <w:pPr>
        <w:keepNext w:val="0"/>
        <w:keepLines w:val="0"/>
        <w:pageBreakBefore w:val="0"/>
        <w:widowControl/>
        <w:suppressLineNumbers w:val="0"/>
        <w:topLinePunct w:val="0"/>
        <w:bidi w:val="0"/>
        <w:spacing w:line="500" w:lineRule="exact"/>
        <w:ind w:left="0" w:leftChars="0" w:right="0" w:rightChars="0" w:firstLine="480" w:firstLineChars="200"/>
        <w:jc w:val="left"/>
        <w:rPr>
          <w:color w:val="auto"/>
        </w:rPr>
        <w:sectPr>
          <w:headerReference r:id="rId12" w:type="default"/>
          <w:pgSz w:w="11910" w:h="16840"/>
          <w:pgMar w:top="1060" w:right="1020" w:bottom="1200" w:left="1040" w:header="872" w:footer="1005" w:gutter="0"/>
          <w:pgNumType w:fmt="decimal"/>
          <w:cols w:space="720" w:num="1"/>
        </w:sectPr>
      </w:pPr>
      <w:r>
        <w:rPr>
          <w:rFonts w:hint="eastAsia" w:ascii="宋体" w:hAnsi="宋体" w:eastAsia="宋体" w:cs="宋体"/>
          <w:color w:val="auto"/>
          <w:kern w:val="0"/>
          <w:sz w:val="24"/>
          <w:szCs w:val="24"/>
          <w:lang w:val="en-US" w:eastAsia="zh-CN" w:bidi="ar"/>
        </w:rPr>
        <w:t>帐   号：                              帐    号</w:t>
      </w:r>
      <w:r>
        <w:rPr>
          <w:rFonts w:hint="eastAsia" w:cs="宋体"/>
          <w:color w:val="auto"/>
          <w:kern w:val="0"/>
          <w:sz w:val="24"/>
          <w:szCs w:val="24"/>
          <w:lang w:val="en-US" w:eastAsia="zh-CN" w:bidi="ar"/>
        </w:rPr>
        <w:t>：</w:t>
      </w:r>
    </w:p>
    <w:p w14:paraId="3E042716">
      <w:pPr>
        <w:pageBreakBefore w:val="0"/>
        <w:topLinePunct w:val="0"/>
        <w:bidi w:val="0"/>
        <w:spacing w:line="500" w:lineRule="exact"/>
        <w:ind w:right="0" w:rightChars="0"/>
        <w:rPr>
          <w:rFonts w:ascii="Arial"/>
          <w:color w:val="auto"/>
          <w:sz w:val="2"/>
        </w:rPr>
      </w:pPr>
    </w:p>
    <w:tbl>
      <w:tblPr>
        <w:tblStyle w:val="38"/>
        <w:tblW w:w="15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88"/>
        <w:gridCol w:w="863"/>
        <w:gridCol w:w="762"/>
        <w:gridCol w:w="1100"/>
        <w:gridCol w:w="2050"/>
        <w:gridCol w:w="1339"/>
        <w:gridCol w:w="761"/>
        <w:gridCol w:w="1175"/>
        <w:gridCol w:w="1000"/>
        <w:gridCol w:w="1410"/>
        <w:gridCol w:w="1213"/>
        <w:gridCol w:w="1214"/>
        <w:gridCol w:w="729"/>
      </w:tblGrid>
      <w:tr w14:paraId="6B6A2C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15004" w:type="dxa"/>
            <w:gridSpan w:val="13"/>
            <w:vAlign w:val="center"/>
          </w:tcPr>
          <w:p w14:paraId="30958C5E">
            <w:pPr>
              <w:pStyle w:val="46"/>
              <w:pageBreakBefore w:val="0"/>
              <w:topLinePunct w:val="0"/>
              <w:bidi w:val="0"/>
              <w:spacing w:line="500" w:lineRule="exact"/>
              <w:ind w:left="0" w:leftChars="0" w:right="0" w:rightChars="0" w:firstLine="711" w:firstLineChars="200"/>
              <w:jc w:val="center"/>
              <w:rPr>
                <w:color w:val="auto"/>
                <w:sz w:val="35"/>
                <w:szCs w:val="35"/>
              </w:rPr>
            </w:pPr>
            <w:r>
              <w:rPr>
                <w:b/>
                <w:bCs/>
                <w:color w:val="auto"/>
                <w:spacing w:val="2"/>
                <w:sz w:val="35"/>
                <w:szCs w:val="35"/>
              </w:rPr>
              <w:t>验收单</w:t>
            </w:r>
          </w:p>
        </w:tc>
      </w:tr>
      <w:tr w14:paraId="509E2E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1388" w:type="dxa"/>
            <w:vAlign w:val="center"/>
          </w:tcPr>
          <w:p w14:paraId="7510DC83">
            <w:pPr>
              <w:pStyle w:val="46"/>
              <w:pageBreakBefore w:val="0"/>
              <w:topLinePunct w:val="0"/>
              <w:bidi w:val="0"/>
              <w:spacing w:line="500" w:lineRule="exact"/>
              <w:ind w:right="0" w:rightChars="0"/>
              <w:jc w:val="center"/>
              <w:rPr>
                <w:color w:val="auto"/>
                <w:sz w:val="22"/>
                <w:szCs w:val="22"/>
              </w:rPr>
            </w:pPr>
            <w:r>
              <w:rPr>
                <w:color w:val="auto"/>
                <w:spacing w:val="-2"/>
                <w:sz w:val="22"/>
                <w:szCs w:val="22"/>
              </w:rPr>
              <w:t>供货单位</w:t>
            </w:r>
          </w:p>
        </w:tc>
        <w:tc>
          <w:tcPr>
            <w:tcW w:w="2725" w:type="dxa"/>
            <w:gridSpan w:val="3"/>
            <w:vAlign w:val="center"/>
          </w:tcPr>
          <w:p w14:paraId="76B4192D">
            <w:pPr>
              <w:pageBreakBefore w:val="0"/>
              <w:topLinePunct w:val="0"/>
              <w:bidi w:val="0"/>
              <w:spacing w:line="500" w:lineRule="exact"/>
              <w:ind w:left="0" w:leftChars="0" w:right="0" w:rightChars="0" w:firstLine="420" w:firstLineChars="200"/>
              <w:jc w:val="center"/>
              <w:rPr>
                <w:rFonts w:ascii="Arial"/>
                <w:color w:val="auto"/>
                <w:sz w:val="21"/>
              </w:rPr>
            </w:pPr>
          </w:p>
        </w:tc>
        <w:tc>
          <w:tcPr>
            <w:tcW w:w="2050" w:type="dxa"/>
            <w:vAlign w:val="center"/>
          </w:tcPr>
          <w:p w14:paraId="508FB8D0">
            <w:pPr>
              <w:pStyle w:val="46"/>
              <w:pageBreakBefore w:val="0"/>
              <w:topLinePunct w:val="0"/>
              <w:bidi w:val="0"/>
              <w:spacing w:line="500" w:lineRule="exact"/>
              <w:ind w:right="0" w:rightChars="0"/>
              <w:jc w:val="center"/>
              <w:rPr>
                <w:color w:val="auto"/>
                <w:sz w:val="22"/>
                <w:szCs w:val="22"/>
              </w:rPr>
            </w:pPr>
            <w:r>
              <w:rPr>
                <w:color w:val="auto"/>
                <w:spacing w:val="-3"/>
                <w:sz w:val="22"/>
                <w:szCs w:val="22"/>
              </w:rPr>
              <w:t>供货人</w:t>
            </w:r>
          </w:p>
        </w:tc>
        <w:tc>
          <w:tcPr>
            <w:tcW w:w="2100" w:type="dxa"/>
            <w:gridSpan w:val="2"/>
            <w:vAlign w:val="center"/>
          </w:tcPr>
          <w:p w14:paraId="6E7D3A32">
            <w:pPr>
              <w:pageBreakBefore w:val="0"/>
              <w:topLinePunct w:val="0"/>
              <w:bidi w:val="0"/>
              <w:spacing w:line="500" w:lineRule="exact"/>
              <w:ind w:left="0" w:leftChars="0" w:right="0" w:rightChars="0" w:firstLine="420" w:firstLineChars="200"/>
              <w:jc w:val="center"/>
              <w:rPr>
                <w:rFonts w:ascii="Arial"/>
                <w:color w:val="auto"/>
                <w:sz w:val="21"/>
              </w:rPr>
            </w:pPr>
          </w:p>
        </w:tc>
        <w:tc>
          <w:tcPr>
            <w:tcW w:w="1175" w:type="dxa"/>
            <w:vAlign w:val="center"/>
          </w:tcPr>
          <w:p w14:paraId="4203DE40">
            <w:pPr>
              <w:pStyle w:val="46"/>
              <w:pageBreakBefore w:val="0"/>
              <w:topLinePunct w:val="0"/>
              <w:bidi w:val="0"/>
              <w:spacing w:line="500" w:lineRule="exact"/>
              <w:ind w:right="0" w:rightChars="0"/>
              <w:jc w:val="center"/>
              <w:rPr>
                <w:color w:val="auto"/>
                <w:sz w:val="22"/>
                <w:szCs w:val="22"/>
              </w:rPr>
            </w:pPr>
            <w:r>
              <w:rPr>
                <w:color w:val="auto"/>
                <w:spacing w:val="-17"/>
                <w:sz w:val="22"/>
                <w:szCs w:val="22"/>
              </w:rPr>
              <w:t>电话</w:t>
            </w:r>
          </w:p>
        </w:tc>
        <w:tc>
          <w:tcPr>
            <w:tcW w:w="5566" w:type="dxa"/>
            <w:gridSpan w:val="5"/>
            <w:vAlign w:val="center"/>
          </w:tcPr>
          <w:p w14:paraId="5852C0CD">
            <w:pPr>
              <w:pageBreakBefore w:val="0"/>
              <w:topLinePunct w:val="0"/>
              <w:bidi w:val="0"/>
              <w:spacing w:line="500" w:lineRule="exact"/>
              <w:ind w:left="0" w:leftChars="0" w:right="0" w:rightChars="0" w:firstLine="420" w:firstLineChars="200"/>
              <w:jc w:val="center"/>
              <w:rPr>
                <w:rFonts w:ascii="Arial"/>
                <w:color w:val="auto"/>
                <w:sz w:val="21"/>
              </w:rPr>
            </w:pPr>
          </w:p>
        </w:tc>
      </w:tr>
      <w:tr w14:paraId="64E2B2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1388" w:type="dxa"/>
            <w:vAlign w:val="center"/>
          </w:tcPr>
          <w:p w14:paraId="5081B31C">
            <w:pPr>
              <w:pStyle w:val="46"/>
              <w:pageBreakBefore w:val="0"/>
              <w:topLinePunct w:val="0"/>
              <w:bidi w:val="0"/>
              <w:spacing w:line="500" w:lineRule="exact"/>
              <w:ind w:right="0" w:rightChars="0"/>
              <w:jc w:val="center"/>
              <w:rPr>
                <w:color w:val="auto"/>
                <w:sz w:val="22"/>
                <w:szCs w:val="22"/>
              </w:rPr>
            </w:pPr>
            <w:r>
              <w:rPr>
                <w:color w:val="auto"/>
                <w:spacing w:val="-4"/>
                <w:sz w:val="22"/>
                <w:szCs w:val="22"/>
              </w:rPr>
              <w:t>收货单位</w:t>
            </w:r>
          </w:p>
        </w:tc>
        <w:tc>
          <w:tcPr>
            <w:tcW w:w="2725" w:type="dxa"/>
            <w:gridSpan w:val="3"/>
            <w:vAlign w:val="center"/>
          </w:tcPr>
          <w:p w14:paraId="3FF4DBF7">
            <w:pPr>
              <w:pageBreakBefore w:val="0"/>
              <w:topLinePunct w:val="0"/>
              <w:bidi w:val="0"/>
              <w:spacing w:line="500" w:lineRule="exact"/>
              <w:ind w:left="0" w:leftChars="0" w:right="0" w:rightChars="0" w:firstLine="420" w:firstLineChars="200"/>
              <w:jc w:val="center"/>
              <w:rPr>
                <w:rFonts w:ascii="Arial"/>
                <w:color w:val="auto"/>
                <w:sz w:val="21"/>
              </w:rPr>
            </w:pPr>
          </w:p>
        </w:tc>
        <w:tc>
          <w:tcPr>
            <w:tcW w:w="2050" w:type="dxa"/>
            <w:vAlign w:val="center"/>
          </w:tcPr>
          <w:p w14:paraId="472F02F3">
            <w:pPr>
              <w:pStyle w:val="46"/>
              <w:pageBreakBefore w:val="0"/>
              <w:topLinePunct w:val="0"/>
              <w:bidi w:val="0"/>
              <w:spacing w:line="500" w:lineRule="exact"/>
              <w:ind w:right="0" w:rightChars="0"/>
              <w:jc w:val="center"/>
              <w:rPr>
                <w:color w:val="auto"/>
                <w:sz w:val="22"/>
                <w:szCs w:val="22"/>
              </w:rPr>
            </w:pPr>
            <w:r>
              <w:rPr>
                <w:color w:val="auto"/>
                <w:spacing w:val="-5"/>
                <w:sz w:val="22"/>
                <w:szCs w:val="22"/>
              </w:rPr>
              <w:t>收货人</w:t>
            </w:r>
          </w:p>
        </w:tc>
        <w:tc>
          <w:tcPr>
            <w:tcW w:w="2100" w:type="dxa"/>
            <w:gridSpan w:val="2"/>
            <w:vAlign w:val="center"/>
          </w:tcPr>
          <w:p w14:paraId="54EACE77">
            <w:pPr>
              <w:pageBreakBefore w:val="0"/>
              <w:topLinePunct w:val="0"/>
              <w:bidi w:val="0"/>
              <w:spacing w:line="500" w:lineRule="exact"/>
              <w:ind w:left="0" w:leftChars="0" w:right="0" w:rightChars="0" w:firstLine="420" w:firstLineChars="200"/>
              <w:jc w:val="center"/>
              <w:rPr>
                <w:rFonts w:ascii="Arial"/>
                <w:color w:val="auto"/>
                <w:sz w:val="21"/>
              </w:rPr>
            </w:pPr>
          </w:p>
        </w:tc>
        <w:tc>
          <w:tcPr>
            <w:tcW w:w="1175" w:type="dxa"/>
            <w:vAlign w:val="center"/>
          </w:tcPr>
          <w:p w14:paraId="32D96233">
            <w:pPr>
              <w:pStyle w:val="46"/>
              <w:pageBreakBefore w:val="0"/>
              <w:topLinePunct w:val="0"/>
              <w:bidi w:val="0"/>
              <w:spacing w:line="500" w:lineRule="exact"/>
              <w:ind w:right="0" w:rightChars="0"/>
              <w:jc w:val="center"/>
              <w:rPr>
                <w:color w:val="auto"/>
                <w:sz w:val="22"/>
                <w:szCs w:val="22"/>
              </w:rPr>
            </w:pPr>
            <w:r>
              <w:rPr>
                <w:color w:val="auto"/>
                <w:spacing w:val="-17"/>
                <w:sz w:val="22"/>
                <w:szCs w:val="22"/>
              </w:rPr>
              <w:t>电话</w:t>
            </w:r>
          </w:p>
        </w:tc>
        <w:tc>
          <w:tcPr>
            <w:tcW w:w="5566" w:type="dxa"/>
            <w:gridSpan w:val="5"/>
            <w:vAlign w:val="center"/>
          </w:tcPr>
          <w:p w14:paraId="1DD004A4">
            <w:pPr>
              <w:pageBreakBefore w:val="0"/>
              <w:topLinePunct w:val="0"/>
              <w:bidi w:val="0"/>
              <w:spacing w:line="500" w:lineRule="exact"/>
              <w:ind w:left="0" w:leftChars="0" w:right="0" w:rightChars="0" w:firstLine="420" w:firstLineChars="200"/>
              <w:jc w:val="center"/>
              <w:rPr>
                <w:rFonts w:ascii="Arial"/>
                <w:color w:val="auto"/>
                <w:sz w:val="21"/>
              </w:rPr>
            </w:pPr>
          </w:p>
        </w:tc>
      </w:tr>
      <w:tr w14:paraId="35646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1388" w:type="dxa"/>
            <w:vAlign w:val="center"/>
          </w:tcPr>
          <w:p w14:paraId="397F5133">
            <w:pPr>
              <w:pStyle w:val="46"/>
              <w:pageBreakBefore w:val="0"/>
              <w:topLinePunct w:val="0"/>
              <w:bidi w:val="0"/>
              <w:spacing w:line="500" w:lineRule="exact"/>
              <w:ind w:right="0" w:rightChars="0"/>
              <w:jc w:val="center"/>
              <w:rPr>
                <w:color w:val="auto"/>
                <w:sz w:val="22"/>
                <w:szCs w:val="22"/>
              </w:rPr>
            </w:pPr>
            <w:r>
              <w:rPr>
                <w:color w:val="auto"/>
                <w:spacing w:val="-4"/>
                <w:sz w:val="22"/>
                <w:szCs w:val="22"/>
              </w:rPr>
              <w:t>收货地址</w:t>
            </w:r>
          </w:p>
        </w:tc>
        <w:tc>
          <w:tcPr>
            <w:tcW w:w="13616" w:type="dxa"/>
            <w:gridSpan w:val="12"/>
            <w:vAlign w:val="center"/>
          </w:tcPr>
          <w:p w14:paraId="1CF164BC">
            <w:pPr>
              <w:pageBreakBefore w:val="0"/>
              <w:topLinePunct w:val="0"/>
              <w:bidi w:val="0"/>
              <w:spacing w:line="500" w:lineRule="exact"/>
              <w:ind w:left="0" w:leftChars="0" w:right="0" w:rightChars="0" w:firstLine="420" w:firstLineChars="200"/>
              <w:jc w:val="center"/>
              <w:rPr>
                <w:rFonts w:ascii="Arial"/>
                <w:color w:val="auto"/>
                <w:sz w:val="21"/>
              </w:rPr>
            </w:pPr>
          </w:p>
        </w:tc>
      </w:tr>
      <w:tr w14:paraId="5FB4BA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15004" w:type="dxa"/>
            <w:gridSpan w:val="13"/>
            <w:vAlign w:val="center"/>
          </w:tcPr>
          <w:p w14:paraId="35ADACFB">
            <w:pPr>
              <w:pStyle w:val="46"/>
              <w:pageBreakBefore w:val="0"/>
              <w:topLinePunct w:val="0"/>
              <w:bidi w:val="0"/>
              <w:spacing w:line="500" w:lineRule="exact"/>
              <w:ind w:left="0" w:leftChars="0" w:right="0" w:rightChars="0" w:firstLine="719" w:firstLineChars="200"/>
              <w:jc w:val="center"/>
              <w:rPr>
                <w:color w:val="auto"/>
                <w:sz w:val="35"/>
                <w:szCs w:val="35"/>
              </w:rPr>
            </w:pPr>
            <w:r>
              <w:rPr>
                <w:b/>
                <w:bCs/>
                <w:color w:val="auto"/>
                <w:spacing w:val="4"/>
                <w:sz w:val="35"/>
                <w:szCs w:val="35"/>
              </w:rPr>
              <w:t>送货清单</w:t>
            </w:r>
          </w:p>
        </w:tc>
      </w:tr>
      <w:tr w14:paraId="5F446F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5" w:hRule="atLeast"/>
        </w:trPr>
        <w:tc>
          <w:tcPr>
            <w:tcW w:w="1388" w:type="dxa"/>
            <w:vAlign w:val="center"/>
          </w:tcPr>
          <w:p w14:paraId="47156D6A">
            <w:pPr>
              <w:pStyle w:val="46"/>
              <w:pageBreakBefore w:val="0"/>
              <w:topLinePunct w:val="0"/>
              <w:bidi w:val="0"/>
              <w:spacing w:line="500" w:lineRule="exact"/>
              <w:ind w:right="0" w:rightChars="0"/>
              <w:jc w:val="center"/>
              <w:rPr>
                <w:color w:val="auto"/>
                <w:sz w:val="22"/>
                <w:szCs w:val="22"/>
              </w:rPr>
            </w:pPr>
            <w:r>
              <w:rPr>
                <w:color w:val="auto"/>
                <w:spacing w:val="-2"/>
                <w:sz w:val="22"/>
                <w:szCs w:val="22"/>
              </w:rPr>
              <w:t>产品名称</w:t>
            </w:r>
          </w:p>
        </w:tc>
        <w:tc>
          <w:tcPr>
            <w:tcW w:w="863" w:type="dxa"/>
            <w:vAlign w:val="center"/>
          </w:tcPr>
          <w:p w14:paraId="72858494">
            <w:pPr>
              <w:pStyle w:val="46"/>
              <w:pageBreakBefore w:val="0"/>
              <w:topLinePunct w:val="0"/>
              <w:bidi w:val="0"/>
              <w:spacing w:line="500" w:lineRule="exact"/>
              <w:ind w:right="0" w:rightChars="0"/>
              <w:jc w:val="center"/>
              <w:rPr>
                <w:color w:val="auto"/>
                <w:sz w:val="22"/>
                <w:szCs w:val="22"/>
              </w:rPr>
            </w:pPr>
            <w:r>
              <w:rPr>
                <w:color w:val="auto"/>
                <w:spacing w:val="-3"/>
                <w:sz w:val="22"/>
                <w:szCs w:val="22"/>
              </w:rPr>
              <w:t>批次</w:t>
            </w:r>
          </w:p>
        </w:tc>
        <w:tc>
          <w:tcPr>
            <w:tcW w:w="762" w:type="dxa"/>
            <w:vAlign w:val="center"/>
          </w:tcPr>
          <w:p w14:paraId="151A69F2">
            <w:pPr>
              <w:pStyle w:val="46"/>
              <w:pageBreakBefore w:val="0"/>
              <w:topLinePunct w:val="0"/>
              <w:bidi w:val="0"/>
              <w:spacing w:line="500" w:lineRule="exact"/>
              <w:ind w:right="0" w:rightChars="0"/>
              <w:jc w:val="center"/>
              <w:rPr>
                <w:color w:val="auto"/>
                <w:sz w:val="22"/>
                <w:szCs w:val="22"/>
              </w:rPr>
            </w:pPr>
            <w:r>
              <w:rPr>
                <w:color w:val="auto"/>
                <w:spacing w:val="-5"/>
                <w:sz w:val="22"/>
                <w:szCs w:val="22"/>
              </w:rPr>
              <w:t>单位</w:t>
            </w:r>
          </w:p>
        </w:tc>
        <w:tc>
          <w:tcPr>
            <w:tcW w:w="1100" w:type="dxa"/>
            <w:vAlign w:val="center"/>
          </w:tcPr>
          <w:p w14:paraId="18817FFC">
            <w:pPr>
              <w:pStyle w:val="46"/>
              <w:pageBreakBefore w:val="0"/>
              <w:topLinePunct w:val="0"/>
              <w:bidi w:val="0"/>
              <w:spacing w:line="500" w:lineRule="exact"/>
              <w:ind w:right="0" w:rightChars="0"/>
              <w:jc w:val="center"/>
              <w:rPr>
                <w:color w:val="auto"/>
                <w:sz w:val="22"/>
                <w:szCs w:val="22"/>
              </w:rPr>
            </w:pPr>
            <w:r>
              <w:rPr>
                <w:color w:val="auto"/>
                <w:spacing w:val="-2"/>
                <w:sz w:val="22"/>
                <w:szCs w:val="22"/>
              </w:rPr>
              <w:t>送货数量</w:t>
            </w:r>
          </w:p>
        </w:tc>
        <w:tc>
          <w:tcPr>
            <w:tcW w:w="2050" w:type="dxa"/>
            <w:vAlign w:val="center"/>
          </w:tcPr>
          <w:p w14:paraId="5616C577">
            <w:pPr>
              <w:pStyle w:val="46"/>
              <w:pageBreakBefore w:val="0"/>
              <w:topLinePunct w:val="0"/>
              <w:bidi w:val="0"/>
              <w:spacing w:line="500" w:lineRule="exact"/>
              <w:ind w:right="0" w:rightChars="0"/>
              <w:jc w:val="center"/>
              <w:rPr>
                <w:color w:val="auto"/>
                <w:sz w:val="22"/>
                <w:szCs w:val="22"/>
              </w:rPr>
            </w:pPr>
            <w:r>
              <w:rPr>
                <w:color w:val="auto"/>
                <w:spacing w:val="-2"/>
                <w:sz w:val="22"/>
                <w:szCs w:val="22"/>
              </w:rPr>
              <w:t>产品具体要求</w:t>
            </w:r>
          </w:p>
        </w:tc>
        <w:tc>
          <w:tcPr>
            <w:tcW w:w="2100" w:type="dxa"/>
            <w:gridSpan w:val="2"/>
            <w:vAlign w:val="center"/>
          </w:tcPr>
          <w:p w14:paraId="7E2AEDBA">
            <w:pPr>
              <w:pStyle w:val="46"/>
              <w:pageBreakBefore w:val="0"/>
              <w:topLinePunct w:val="0"/>
              <w:bidi w:val="0"/>
              <w:spacing w:line="500" w:lineRule="exact"/>
              <w:ind w:right="0" w:rightChars="0"/>
              <w:jc w:val="center"/>
              <w:rPr>
                <w:color w:val="auto"/>
                <w:sz w:val="22"/>
                <w:szCs w:val="22"/>
              </w:rPr>
            </w:pPr>
            <w:r>
              <w:rPr>
                <w:color w:val="auto"/>
                <w:spacing w:val="-3"/>
                <w:sz w:val="22"/>
                <w:szCs w:val="22"/>
              </w:rPr>
              <w:t>生产日</w:t>
            </w:r>
            <w:r>
              <w:rPr>
                <w:color w:val="auto"/>
                <w:sz w:val="22"/>
                <w:szCs w:val="22"/>
              </w:rPr>
              <w:t>期</w:t>
            </w:r>
          </w:p>
          <w:p w14:paraId="14A34C17">
            <w:pPr>
              <w:pStyle w:val="46"/>
              <w:pageBreakBefore w:val="0"/>
              <w:topLinePunct w:val="0"/>
              <w:bidi w:val="0"/>
              <w:spacing w:line="500" w:lineRule="exact"/>
              <w:ind w:right="0" w:rightChars="0"/>
              <w:jc w:val="center"/>
              <w:rPr>
                <w:color w:val="auto"/>
                <w:sz w:val="22"/>
                <w:szCs w:val="22"/>
              </w:rPr>
            </w:pPr>
            <w:r>
              <w:rPr>
                <w:color w:val="auto"/>
                <w:spacing w:val="-5"/>
                <w:sz w:val="22"/>
                <w:szCs w:val="22"/>
              </w:rPr>
              <w:t>（产出</w:t>
            </w:r>
            <w:r>
              <w:rPr>
                <w:color w:val="auto"/>
                <w:spacing w:val="-12"/>
                <w:sz w:val="22"/>
                <w:szCs w:val="22"/>
              </w:rPr>
              <w:t>时间）</w:t>
            </w:r>
          </w:p>
        </w:tc>
        <w:tc>
          <w:tcPr>
            <w:tcW w:w="1175" w:type="dxa"/>
            <w:vAlign w:val="center"/>
          </w:tcPr>
          <w:p w14:paraId="7906DF94">
            <w:pPr>
              <w:pStyle w:val="46"/>
              <w:pageBreakBefore w:val="0"/>
              <w:topLinePunct w:val="0"/>
              <w:bidi w:val="0"/>
              <w:spacing w:line="500" w:lineRule="exact"/>
              <w:ind w:right="0" w:rightChars="0"/>
              <w:jc w:val="center"/>
              <w:rPr>
                <w:color w:val="auto"/>
                <w:sz w:val="22"/>
                <w:szCs w:val="22"/>
              </w:rPr>
            </w:pPr>
            <w:r>
              <w:rPr>
                <w:color w:val="auto"/>
                <w:spacing w:val="-3"/>
                <w:sz w:val="22"/>
                <w:szCs w:val="22"/>
              </w:rPr>
              <w:t>外观和质量</w:t>
            </w:r>
          </w:p>
        </w:tc>
        <w:tc>
          <w:tcPr>
            <w:tcW w:w="1000" w:type="dxa"/>
            <w:vAlign w:val="center"/>
          </w:tcPr>
          <w:p w14:paraId="7E04F3D0">
            <w:pPr>
              <w:pStyle w:val="46"/>
              <w:pageBreakBefore w:val="0"/>
              <w:topLinePunct w:val="0"/>
              <w:bidi w:val="0"/>
              <w:spacing w:line="500" w:lineRule="exact"/>
              <w:ind w:right="0" w:rightChars="0"/>
              <w:jc w:val="center"/>
              <w:rPr>
                <w:color w:val="auto"/>
                <w:sz w:val="22"/>
                <w:szCs w:val="22"/>
              </w:rPr>
            </w:pPr>
            <w:r>
              <w:rPr>
                <w:color w:val="auto"/>
                <w:spacing w:val="-3"/>
                <w:sz w:val="22"/>
                <w:szCs w:val="22"/>
              </w:rPr>
              <w:t>保质期</w:t>
            </w:r>
          </w:p>
        </w:tc>
        <w:tc>
          <w:tcPr>
            <w:tcW w:w="1410" w:type="dxa"/>
            <w:vAlign w:val="center"/>
          </w:tcPr>
          <w:p w14:paraId="55F58715">
            <w:pPr>
              <w:pStyle w:val="46"/>
              <w:pageBreakBefore w:val="0"/>
              <w:topLinePunct w:val="0"/>
              <w:bidi w:val="0"/>
              <w:spacing w:line="500" w:lineRule="exact"/>
              <w:ind w:right="0" w:rightChars="0"/>
              <w:jc w:val="center"/>
              <w:rPr>
                <w:color w:val="auto"/>
                <w:sz w:val="22"/>
                <w:szCs w:val="22"/>
              </w:rPr>
            </w:pPr>
            <w:r>
              <w:rPr>
                <w:color w:val="auto"/>
                <w:spacing w:val="-3"/>
                <w:sz w:val="22"/>
                <w:szCs w:val="22"/>
              </w:rPr>
              <w:t>是否提供质</w:t>
            </w:r>
            <w:r>
              <w:rPr>
                <w:color w:val="auto"/>
                <w:spacing w:val="-2"/>
                <w:sz w:val="22"/>
                <w:szCs w:val="22"/>
              </w:rPr>
              <w:t>量相关证明</w:t>
            </w:r>
            <w:r>
              <w:rPr>
                <w:color w:val="auto"/>
                <w:spacing w:val="-5"/>
                <w:sz w:val="22"/>
                <w:szCs w:val="22"/>
              </w:rPr>
              <w:t>文件</w:t>
            </w:r>
          </w:p>
        </w:tc>
        <w:tc>
          <w:tcPr>
            <w:tcW w:w="1213" w:type="dxa"/>
            <w:vAlign w:val="center"/>
          </w:tcPr>
          <w:p w14:paraId="4E65A587">
            <w:pPr>
              <w:pStyle w:val="46"/>
              <w:pageBreakBefore w:val="0"/>
              <w:topLinePunct w:val="0"/>
              <w:bidi w:val="0"/>
              <w:spacing w:line="500" w:lineRule="exact"/>
              <w:ind w:right="0" w:rightChars="0"/>
              <w:jc w:val="center"/>
              <w:rPr>
                <w:color w:val="auto"/>
                <w:sz w:val="22"/>
                <w:szCs w:val="22"/>
              </w:rPr>
            </w:pPr>
            <w:r>
              <w:rPr>
                <w:color w:val="auto"/>
                <w:spacing w:val="-6"/>
                <w:sz w:val="22"/>
                <w:szCs w:val="22"/>
              </w:rPr>
              <w:t>留样数量</w:t>
            </w:r>
          </w:p>
        </w:tc>
        <w:tc>
          <w:tcPr>
            <w:tcW w:w="1214" w:type="dxa"/>
            <w:vAlign w:val="center"/>
          </w:tcPr>
          <w:p w14:paraId="5A97626E">
            <w:pPr>
              <w:pStyle w:val="46"/>
              <w:pageBreakBefore w:val="0"/>
              <w:topLinePunct w:val="0"/>
              <w:bidi w:val="0"/>
              <w:spacing w:line="500" w:lineRule="exact"/>
              <w:ind w:right="0" w:rightChars="0"/>
              <w:jc w:val="center"/>
              <w:rPr>
                <w:color w:val="auto"/>
                <w:sz w:val="22"/>
                <w:szCs w:val="22"/>
              </w:rPr>
            </w:pPr>
            <w:r>
              <w:rPr>
                <w:color w:val="auto"/>
                <w:spacing w:val="-3"/>
                <w:sz w:val="22"/>
                <w:szCs w:val="22"/>
              </w:rPr>
              <w:t>是否合格</w:t>
            </w:r>
          </w:p>
        </w:tc>
        <w:tc>
          <w:tcPr>
            <w:tcW w:w="729" w:type="dxa"/>
            <w:vAlign w:val="center"/>
          </w:tcPr>
          <w:p w14:paraId="19BCF9EE">
            <w:pPr>
              <w:pStyle w:val="46"/>
              <w:pageBreakBefore w:val="0"/>
              <w:topLinePunct w:val="0"/>
              <w:bidi w:val="0"/>
              <w:spacing w:line="500" w:lineRule="exact"/>
              <w:ind w:right="0" w:rightChars="0"/>
              <w:jc w:val="center"/>
              <w:rPr>
                <w:color w:val="auto"/>
                <w:sz w:val="22"/>
                <w:szCs w:val="22"/>
              </w:rPr>
            </w:pPr>
            <w:r>
              <w:rPr>
                <w:color w:val="auto"/>
                <w:spacing w:val="-5"/>
                <w:sz w:val="22"/>
                <w:szCs w:val="22"/>
              </w:rPr>
              <w:t>备注</w:t>
            </w:r>
          </w:p>
        </w:tc>
      </w:tr>
      <w:tr w14:paraId="5CE7C5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88" w:type="dxa"/>
            <w:vAlign w:val="center"/>
          </w:tcPr>
          <w:p w14:paraId="325C8220">
            <w:pPr>
              <w:pStyle w:val="46"/>
              <w:pageBreakBefore w:val="0"/>
              <w:topLinePunct w:val="0"/>
              <w:bidi w:val="0"/>
              <w:spacing w:line="500" w:lineRule="exact"/>
              <w:ind w:left="0" w:leftChars="0" w:right="0" w:rightChars="0" w:firstLine="440" w:firstLineChars="200"/>
              <w:jc w:val="center"/>
              <w:rPr>
                <w:color w:val="auto"/>
                <w:sz w:val="22"/>
                <w:szCs w:val="22"/>
              </w:rPr>
            </w:pPr>
          </w:p>
        </w:tc>
        <w:tc>
          <w:tcPr>
            <w:tcW w:w="863" w:type="dxa"/>
            <w:vAlign w:val="center"/>
          </w:tcPr>
          <w:p w14:paraId="68E5BCF1">
            <w:pPr>
              <w:pageBreakBefore w:val="0"/>
              <w:topLinePunct w:val="0"/>
              <w:bidi w:val="0"/>
              <w:spacing w:line="500" w:lineRule="exact"/>
              <w:ind w:left="0" w:leftChars="0" w:right="0" w:rightChars="0" w:firstLine="420" w:firstLineChars="200"/>
              <w:jc w:val="center"/>
              <w:rPr>
                <w:rFonts w:ascii="Arial"/>
                <w:color w:val="auto"/>
                <w:sz w:val="21"/>
              </w:rPr>
            </w:pPr>
          </w:p>
        </w:tc>
        <w:tc>
          <w:tcPr>
            <w:tcW w:w="762" w:type="dxa"/>
            <w:vAlign w:val="center"/>
          </w:tcPr>
          <w:p w14:paraId="392BC561">
            <w:pPr>
              <w:pStyle w:val="46"/>
              <w:pageBreakBefore w:val="0"/>
              <w:topLinePunct w:val="0"/>
              <w:bidi w:val="0"/>
              <w:spacing w:line="500" w:lineRule="exact"/>
              <w:ind w:left="0" w:leftChars="0" w:right="0" w:rightChars="0" w:firstLine="440" w:firstLineChars="200"/>
              <w:jc w:val="center"/>
              <w:rPr>
                <w:color w:val="auto"/>
                <w:sz w:val="22"/>
                <w:szCs w:val="22"/>
              </w:rPr>
            </w:pPr>
          </w:p>
        </w:tc>
        <w:tc>
          <w:tcPr>
            <w:tcW w:w="1100" w:type="dxa"/>
            <w:vAlign w:val="center"/>
          </w:tcPr>
          <w:p w14:paraId="4D5CFF2A">
            <w:pPr>
              <w:pageBreakBefore w:val="0"/>
              <w:topLinePunct w:val="0"/>
              <w:bidi w:val="0"/>
              <w:spacing w:line="500" w:lineRule="exact"/>
              <w:ind w:left="0" w:leftChars="0" w:right="0" w:rightChars="0" w:firstLine="420" w:firstLineChars="200"/>
              <w:jc w:val="center"/>
              <w:rPr>
                <w:rFonts w:ascii="Arial"/>
                <w:color w:val="auto"/>
                <w:sz w:val="21"/>
              </w:rPr>
            </w:pPr>
          </w:p>
        </w:tc>
        <w:tc>
          <w:tcPr>
            <w:tcW w:w="2050" w:type="dxa"/>
            <w:vAlign w:val="center"/>
          </w:tcPr>
          <w:p w14:paraId="5175BB1D">
            <w:pPr>
              <w:pStyle w:val="46"/>
              <w:pageBreakBefore w:val="0"/>
              <w:topLinePunct w:val="0"/>
              <w:bidi w:val="0"/>
              <w:spacing w:line="500" w:lineRule="exact"/>
              <w:ind w:left="0" w:leftChars="0" w:right="0" w:rightChars="0" w:firstLine="440" w:firstLineChars="200"/>
              <w:jc w:val="center"/>
              <w:rPr>
                <w:color w:val="auto"/>
                <w:sz w:val="22"/>
                <w:szCs w:val="22"/>
              </w:rPr>
            </w:pPr>
          </w:p>
        </w:tc>
        <w:tc>
          <w:tcPr>
            <w:tcW w:w="2100" w:type="dxa"/>
            <w:gridSpan w:val="2"/>
            <w:vAlign w:val="center"/>
          </w:tcPr>
          <w:p w14:paraId="23E1CD5B">
            <w:pPr>
              <w:pageBreakBefore w:val="0"/>
              <w:topLinePunct w:val="0"/>
              <w:bidi w:val="0"/>
              <w:spacing w:line="500" w:lineRule="exact"/>
              <w:ind w:left="0" w:leftChars="0" w:right="0" w:rightChars="0" w:firstLine="420" w:firstLineChars="200"/>
              <w:jc w:val="center"/>
              <w:rPr>
                <w:rFonts w:ascii="Arial"/>
                <w:color w:val="auto"/>
                <w:sz w:val="21"/>
              </w:rPr>
            </w:pPr>
          </w:p>
        </w:tc>
        <w:tc>
          <w:tcPr>
            <w:tcW w:w="1175" w:type="dxa"/>
            <w:vAlign w:val="center"/>
          </w:tcPr>
          <w:p w14:paraId="7ECE8500">
            <w:pPr>
              <w:pageBreakBefore w:val="0"/>
              <w:topLinePunct w:val="0"/>
              <w:bidi w:val="0"/>
              <w:spacing w:line="500" w:lineRule="exact"/>
              <w:ind w:left="0" w:leftChars="0" w:right="0" w:rightChars="0" w:firstLine="420" w:firstLineChars="200"/>
              <w:jc w:val="center"/>
              <w:rPr>
                <w:rFonts w:ascii="Arial"/>
                <w:color w:val="auto"/>
                <w:sz w:val="21"/>
              </w:rPr>
            </w:pPr>
          </w:p>
        </w:tc>
        <w:tc>
          <w:tcPr>
            <w:tcW w:w="1000" w:type="dxa"/>
            <w:vAlign w:val="center"/>
          </w:tcPr>
          <w:p w14:paraId="0D89AF61">
            <w:pPr>
              <w:pageBreakBefore w:val="0"/>
              <w:topLinePunct w:val="0"/>
              <w:bidi w:val="0"/>
              <w:spacing w:line="500" w:lineRule="exact"/>
              <w:ind w:left="0" w:leftChars="0" w:right="0" w:rightChars="0" w:firstLine="420" w:firstLineChars="200"/>
              <w:jc w:val="center"/>
              <w:rPr>
                <w:rFonts w:ascii="Arial"/>
                <w:color w:val="auto"/>
                <w:sz w:val="21"/>
              </w:rPr>
            </w:pPr>
          </w:p>
        </w:tc>
        <w:tc>
          <w:tcPr>
            <w:tcW w:w="1410" w:type="dxa"/>
            <w:vAlign w:val="center"/>
          </w:tcPr>
          <w:p w14:paraId="680B578A">
            <w:pPr>
              <w:pStyle w:val="46"/>
              <w:pageBreakBefore w:val="0"/>
              <w:topLinePunct w:val="0"/>
              <w:bidi w:val="0"/>
              <w:spacing w:line="500" w:lineRule="exact"/>
              <w:ind w:right="0" w:rightChars="0"/>
              <w:jc w:val="center"/>
              <w:rPr>
                <w:color w:val="auto"/>
                <w:sz w:val="22"/>
                <w:szCs w:val="22"/>
              </w:rPr>
            </w:pPr>
            <w:r>
              <w:rPr>
                <w:color w:val="auto"/>
                <w:spacing w:val="-15"/>
                <w:sz w:val="22"/>
                <w:szCs w:val="22"/>
              </w:rPr>
              <w:t>□是</w:t>
            </w:r>
            <w:r>
              <w:rPr>
                <w:color w:val="auto"/>
                <w:spacing w:val="29"/>
                <w:sz w:val="22"/>
                <w:szCs w:val="22"/>
              </w:rPr>
              <w:t xml:space="preserve"> </w:t>
            </w:r>
            <w:r>
              <w:rPr>
                <w:color w:val="auto"/>
                <w:spacing w:val="-15"/>
                <w:sz w:val="22"/>
                <w:szCs w:val="22"/>
              </w:rPr>
              <w:t>□否</w:t>
            </w:r>
          </w:p>
        </w:tc>
        <w:tc>
          <w:tcPr>
            <w:tcW w:w="1213" w:type="dxa"/>
            <w:vAlign w:val="center"/>
          </w:tcPr>
          <w:p w14:paraId="2D22D3DC">
            <w:pPr>
              <w:pageBreakBefore w:val="0"/>
              <w:topLinePunct w:val="0"/>
              <w:bidi w:val="0"/>
              <w:spacing w:line="500" w:lineRule="exact"/>
              <w:ind w:left="0" w:leftChars="0" w:right="0" w:rightChars="0" w:firstLine="420" w:firstLineChars="200"/>
              <w:jc w:val="center"/>
              <w:rPr>
                <w:rFonts w:ascii="Arial"/>
                <w:color w:val="auto"/>
                <w:sz w:val="21"/>
              </w:rPr>
            </w:pPr>
          </w:p>
        </w:tc>
        <w:tc>
          <w:tcPr>
            <w:tcW w:w="1214" w:type="dxa"/>
            <w:vAlign w:val="center"/>
          </w:tcPr>
          <w:p w14:paraId="3FC7E717">
            <w:pPr>
              <w:pStyle w:val="46"/>
              <w:pageBreakBefore w:val="0"/>
              <w:topLinePunct w:val="0"/>
              <w:bidi w:val="0"/>
              <w:spacing w:line="500" w:lineRule="exact"/>
              <w:ind w:right="0" w:rightChars="0"/>
              <w:jc w:val="center"/>
              <w:rPr>
                <w:color w:val="auto"/>
                <w:sz w:val="22"/>
                <w:szCs w:val="22"/>
              </w:rPr>
            </w:pPr>
            <w:r>
              <w:rPr>
                <w:color w:val="auto"/>
                <w:spacing w:val="-10"/>
                <w:sz w:val="22"/>
                <w:szCs w:val="22"/>
              </w:rPr>
              <w:t>□合格</w:t>
            </w:r>
          </w:p>
          <w:p w14:paraId="60BF6A76">
            <w:pPr>
              <w:pStyle w:val="46"/>
              <w:pageBreakBefore w:val="0"/>
              <w:topLinePunct w:val="0"/>
              <w:bidi w:val="0"/>
              <w:spacing w:line="500" w:lineRule="exact"/>
              <w:ind w:right="0" w:rightChars="0"/>
              <w:jc w:val="center"/>
              <w:rPr>
                <w:color w:val="auto"/>
                <w:sz w:val="22"/>
                <w:szCs w:val="22"/>
              </w:rPr>
            </w:pPr>
            <w:r>
              <w:rPr>
                <w:rFonts w:hint="eastAsia"/>
                <w:color w:val="auto"/>
                <w:spacing w:val="-8"/>
                <w:sz w:val="22"/>
                <w:szCs w:val="22"/>
                <w:lang w:eastAsia="zh-CN"/>
              </w:rPr>
              <w:t>□</w:t>
            </w:r>
            <w:r>
              <w:rPr>
                <w:color w:val="auto"/>
                <w:spacing w:val="-8"/>
                <w:sz w:val="22"/>
                <w:szCs w:val="22"/>
              </w:rPr>
              <w:t>不合格</w:t>
            </w:r>
          </w:p>
        </w:tc>
        <w:tc>
          <w:tcPr>
            <w:tcW w:w="729" w:type="dxa"/>
            <w:vAlign w:val="center"/>
          </w:tcPr>
          <w:p w14:paraId="4FC22C5C">
            <w:pPr>
              <w:pageBreakBefore w:val="0"/>
              <w:topLinePunct w:val="0"/>
              <w:bidi w:val="0"/>
              <w:spacing w:line="500" w:lineRule="exact"/>
              <w:ind w:left="0" w:leftChars="0" w:right="0" w:rightChars="0" w:firstLine="420" w:firstLineChars="200"/>
              <w:jc w:val="center"/>
              <w:rPr>
                <w:rFonts w:ascii="Arial"/>
                <w:color w:val="auto"/>
                <w:sz w:val="21"/>
              </w:rPr>
            </w:pPr>
          </w:p>
        </w:tc>
      </w:tr>
      <w:tr w14:paraId="0CCA7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3" w:hRule="atLeast"/>
        </w:trPr>
        <w:tc>
          <w:tcPr>
            <w:tcW w:w="15004" w:type="dxa"/>
            <w:gridSpan w:val="13"/>
            <w:vAlign w:val="center"/>
          </w:tcPr>
          <w:p w14:paraId="16A089E7">
            <w:pPr>
              <w:pageBreakBefore w:val="0"/>
              <w:topLinePunct w:val="0"/>
              <w:bidi w:val="0"/>
              <w:spacing w:line="500" w:lineRule="exact"/>
              <w:ind w:right="0" w:rightChars="0" w:firstLine="216" w:firstLineChars="100"/>
              <w:jc w:val="both"/>
              <w:rPr>
                <w:rFonts w:ascii="Arial"/>
                <w:color w:val="auto"/>
                <w:sz w:val="21"/>
              </w:rPr>
            </w:pPr>
            <w:r>
              <w:rPr>
                <w:color w:val="auto"/>
                <w:spacing w:val="-2"/>
                <w:sz w:val="22"/>
                <w:szCs w:val="22"/>
              </w:rPr>
              <w:t>验收内容：</w:t>
            </w:r>
          </w:p>
        </w:tc>
      </w:tr>
      <w:tr w14:paraId="2CA23B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3" w:hRule="atLeast"/>
        </w:trPr>
        <w:tc>
          <w:tcPr>
            <w:tcW w:w="7502" w:type="dxa"/>
            <w:gridSpan w:val="6"/>
            <w:vAlign w:val="center"/>
          </w:tcPr>
          <w:p w14:paraId="3A6DA9C3">
            <w:pPr>
              <w:pStyle w:val="46"/>
              <w:pageBreakBefore w:val="0"/>
              <w:topLinePunct w:val="0"/>
              <w:bidi w:val="0"/>
              <w:spacing w:line="500" w:lineRule="exact"/>
              <w:ind w:right="0" w:rightChars="0" w:firstLine="212" w:firstLineChars="100"/>
              <w:rPr>
                <w:color w:val="auto"/>
                <w:spacing w:val="-4"/>
                <w:sz w:val="22"/>
                <w:szCs w:val="22"/>
              </w:rPr>
            </w:pPr>
            <w:r>
              <w:rPr>
                <w:color w:val="auto"/>
                <w:spacing w:val="-4"/>
                <w:sz w:val="22"/>
                <w:szCs w:val="22"/>
              </w:rPr>
              <w:t>收货单位：</w:t>
            </w:r>
          </w:p>
          <w:p w14:paraId="1D1B1B4C">
            <w:pPr>
              <w:pageBreakBefore w:val="0"/>
              <w:topLinePunct w:val="0"/>
              <w:bidi w:val="0"/>
              <w:spacing w:line="500" w:lineRule="exact"/>
              <w:ind w:right="0" w:rightChars="0" w:firstLine="196" w:firstLineChars="100"/>
              <w:jc w:val="both"/>
              <w:rPr>
                <w:color w:val="auto"/>
                <w:spacing w:val="3"/>
                <w:sz w:val="22"/>
                <w:szCs w:val="22"/>
              </w:rPr>
            </w:pPr>
            <w:r>
              <w:rPr>
                <w:color w:val="auto"/>
                <w:spacing w:val="-12"/>
                <w:sz w:val="22"/>
                <w:szCs w:val="22"/>
              </w:rPr>
              <w:t>收货人签字：</w:t>
            </w:r>
            <w:r>
              <w:rPr>
                <w:color w:val="auto"/>
                <w:spacing w:val="3"/>
                <w:sz w:val="22"/>
                <w:szCs w:val="22"/>
              </w:rPr>
              <w:t xml:space="preserve"> </w:t>
            </w:r>
          </w:p>
          <w:p w14:paraId="7838B0F0">
            <w:pPr>
              <w:pageBreakBefore w:val="0"/>
              <w:topLinePunct w:val="0"/>
              <w:bidi w:val="0"/>
              <w:spacing w:line="500" w:lineRule="exact"/>
              <w:ind w:right="0" w:rightChars="0" w:firstLine="200" w:firstLineChars="100"/>
              <w:jc w:val="both"/>
              <w:rPr>
                <w:color w:val="auto"/>
                <w:sz w:val="22"/>
                <w:szCs w:val="22"/>
              </w:rPr>
            </w:pPr>
            <w:r>
              <w:rPr>
                <w:color w:val="auto"/>
                <w:spacing w:val="-10"/>
                <w:sz w:val="22"/>
                <w:szCs w:val="22"/>
              </w:rPr>
              <w:t>验货人签字：</w:t>
            </w:r>
            <w:r>
              <w:rPr>
                <w:color w:val="auto"/>
                <w:sz w:val="22"/>
                <w:szCs w:val="22"/>
              </w:rPr>
              <w:t xml:space="preserve"> </w:t>
            </w:r>
          </w:p>
          <w:p w14:paraId="00E784F2">
            <w:pPr>
              <w:pageBreakBefore w:val="0"/>
              <w:topLinePunct w:val="0"/>
              <w:bidi w:val="0"/>
              <w:spacing w:line="500" w:lineRule="exact"/>
              <w:ind w:right="0" w:rightChars="0" w:firstLine="216" w:firstLineChars="100"/>
              <w:jc w:val="both"/>
              <w:rPr>
                <w:color w:val="auto"/>
                <w:spacing w:val="-2"/>
                <w:sz w:val="22"/>
                <w:szCs w:val="22"/>
              </w:rPr>
            </w:pPr>
            <w:r>
              <w:rPr>
                <w:color w:val="auto"/>
                <w:spacing w:val="-2"/>
                <w:sz w:val="22"/>
                <w:szCs w:val="22"/>
              </w:rPr>
              <w:t>验收日期：</w:t>
            </w:r>
          </w:p>
        </w:tc>
        <w:tc>
          <w:tcPr>
            <w:tcW w:w="7502" w:type="dxa"/>
            <w:gridSpan w:val="7"/>
            <w:vAlign w:val="center"/>
          </w:tcPr>
          <w:p w14:paraId="697368A7">
            <w:pPr>
              <w:pStyle w:val="46"/>
              <w:pageBreakBefore w:val="0"/>
              <w:topLinePunct w:val="0"/>
              <w:bidi w:val="0"/>
              <w:spacing w:line="500" w:lineRule="exact"/>
              <w:ind w:right="0" w:rightChars="0" w:firstLine="212" w:firstLineChars="100"/>
              <w:rPr>
                <w:color w:val="auto"/>
                <w:spacing w:val="-4"/>
                <w:sz w:val="22"/>
                <w:szCs w:val="22"/>
              </w:rPr>
            </w:pPr>
            <w:r>
              <w:rPr>
                <w:color w:val="auto"/>
                <w:spacing w:val="-4"/>
                <w:sz w:val="22"/>
                <w:szCs w:val="22"/>
              </w:rPr>
              <w:t>供货单位</w:t>
            </w:r>
          </w:p>
          <w:p w14:paraId="3F702DDF">
            <w:pPr>
              <w:pStyle w:val="46"/>
              <w:pageBreakBefore w:val="0"/>
              <w:topLinePunct w:val="0"/>
              <w:bidi w:val="0"/>
              <w:spacing w:line="500" w:lineRule="exact"/>
              <w:ind w:right="0" w:rightChars="0" w:firstLine="212" w:firstLineChars="100"/>
              <w:rPr>
                <w:color w:val="auto"/>
                <w:spacing w:val="-4"/>
                <w:sz w:val="22"/>
                <w:szCs w:val="22"/>
              </w:rPr>
            </w:pPr>
            <w:r>
              <w:rPr>
                <w:color w:val="auto"/>
                <w:spacing w:val="-4"/>
                <w:sz w:val="22"/>
                <w:szCs w:val="22"/>
              </w:rPr>
              <w:t>送货人签字：</w:t>
            </w:r>
          </w:p>
          <w:p w14:paraId="41B9A278">
            <w:pPr>
              <w:pageBreakBefore w:val="0"/>
              <w:topLinePunct w:val="0"/>
              <w:bidi w:val="0"/>
              <w:spacing w:line="500" w:lineRule="exact"/>
              <w:ind w:right="0" w:rightChars="0" w:firstLine="212" w:firstLineChars="100"/>
              <w:jc w:val="both"/>
              <w:rPr>
                <w:color w:val="auto"/>
                <w:spacing w:val="-2"/>
                <w:sz w:val="22"/>
                <w:szCs w:val="22"/>
              </w:rPr>
            </w:pPr>
            <w:r>
              <w:rPr>
                <w:color w:val="auto"/>
                <w:spacing w:val="-4"/>
                <w:sz w:val="22"/>
                <w:szCs w:val="22"/>
              </w:rPr>
              <w:t>验收日期：</w:t>
            </w:r>
          </w:p>
        </w:tc>
      </w:tr>
    </w:tbl>
    <w:p w14:paraId="1DB5D3F9">
      <w:pPr>
        <w:pageBreakBefore w:val="0"/>
        <w:topLinePunct w:val="0"/>
        <w:bidi w:val="0"/>
        <w:spacing w:line="500" w:lineRule="exact"/>
        <w:ind w:left="0" w:leftChars="0" w:right="0" w:rightChars="0" w:firstLine="40" w:firstLineChars="200"/>
        <w:rPr>
          <w:rFonts w:ascii="Arial"/>
          <w:color w:val="auto"/>
          <w:sz w:val="2"/>
        </w:rPr>
      </w:pPr>
    </w:p>
    <w:p w14:paraId="462C5082">
      <w:pPr>
        <w:pStyle w:val="8"/>
        <w:pageBreakBefore w:val="0"/>
        <w:topLinePunct w:val="0"/>
        <w:bidi w:val="0"/>
        <w:spacing w:line="500" w:lineRule="exact"/>
        <w:ind w:left="0" w:leftChars="0" w:right="0" w:rightChars="0" w:firstLine="400" w:firstLineChars="200"/>
        <w:rPr>
          <w:color w:val="auto"/>
        </w:rPr>
        <w:sectPr>
          <w:pgSz w:w="16840" w:h="11910" w:orient="landscape"/>
          <w:pgMar w:top="1040" w:right="1060" w:bottom="1020" w:left="1200" w:header="872" w:footer="624" w:gutter="0"/>
          <w:pgNumType w:fmt="decimal"/>
          <w:cols w:space="720" w:num="1"/>
        </w:sectPr>
      </w:pPr>
    </w:p>
    <w:p w14:paraId="6DB307A0">
      <w:pPr>
        <w:pStyle w:val="8"/>
        <w:pageBreakBefore w:val="0"/>
        <w:topLinePunct w:val="0"/>
        <w:bidi w:val="0"/>
        <w:spacing w:line="500" w:lineRule="exact"/>
        <w:ind w:left="0" w:leftChars="0" w:right="0" w:rightChars="0" w:firstLine="400" w:firstLineChars="200"/>
        <w:rPr>
          <w:color w:val="auto"/>
        </w:rPr>
      </w:pPr>
    </w:p>
    <w:p w14:paraId="78F8614E">
      <w:pPr>
        <w:pStyle w:val="2"/>
        <w:pageBreakBefore w:val="0"/>
        <w:topLinePunct w:val="0"/>
        <w:bidi w:val="0"/>
        <w:spacing w:before="0" w:line="500" w:lineRule="exact"/>
        <w:ind w:left="0" w:leftChars="0" w:right="0" w:rightChars="0" w:firstLine="723" w:firstLineChars="200"/>
        <w:rPr>
          <w:color w:val="auto"/>
        </w:rPr>
      </w:pPr>
      <w:r>
        <w:rPr>
          <w:color w:val="auto"/>
        </w:rPr>
        <w:t>第六章 投标文件格式</w:t>
      </w:r>
      <w:bookmarkEnd w:id="20"/>
    </w:p>
    <w:p w14:paraId="009CCA1E">
      <w:pPr>
        <w:pStyle w:val="12"/>
        <w:pageBreakBefore w:val="0"/>
        <w:topLinePunct w:val="0"/>
        <w:bidi w:val="0"/>
        <w:spacing w:line="500" w:lineRule="exact"/>
        <w:ind w:left="0" w:leftChars="0" w:right="0" w:rightChars="0" w:firstLine="402" w:firstLineChars="200"/>
        <w:rPr>
          <w:b/>
          <w:color w:val="auto"/>
          <w:sz w:val="20"/>
        </w:rPr>
      </w:pPr>
    </w:p>
    <w:p w14:paraId="3847C355">
      <w:pPr>
        <w:pageBreakBefore w:val="0"/>
        <w:topLinePunct w:val="0"/>
        <w:bidi w:val="0"/>
        <w:spacing w:line="500" w:lineRule="exact"/>
        <w:ind w:left="0" w:leftChars="0" w:right="0" w:rightChars="0" w:firstLine="720" w:firstLineChars="200"/>
        <w:jc w:val="both"/>
        <w:rPr>
          <w:rFonts w:hint="default" w:ascii="Times New Roman" w:eastAsia="宋体"/>
          <w:color w:val="auto"/>
          <w:sz w:val="36"/>
          <w:szCs w:val="36"/>
          <w:lang w:val="en-US" w:eastAsia="zh-CN"/>
        </w:rPr>
      </w:pPr>
      <w:r>
        <w:rPr>
          <w:rFonts w:hint="eastAsia"/>
          <w:color w:val="auto"/>
          <w:sz w:val="36"/>
          <w:szCs w:val="36"/>
          <w:lang w:val="en-US" w:eastAsia="zh-CN"/>
        </w:rPr>
        <w:t>标段</w:t>
      </w:r>
      <w:r>
        <w:rPr>
          <w:color w:val="auto"/>
          <w:sz w:val="36"/>
          <w:szCs w:val="36"/>
        </w:rPr>
        <w:t>编号：</w:t>
      </w:r>
      <w:r>
        <w:rPr>
          <w:rFonts w:hint="eastAsia"/>
          <w:color w:val="auto"/>
          <w:sz w:val="36"/>
          <w:szCs w:val="36"/>
          <w:lang w:val="en-US" w:eastAsia="zh-CN"/>
        </w:rPr>
        <w:t>ZKJWCG-20260702-01/ZKJWCG-20260702-02/ZKJWCG-20260702-03/ZKJWCG-20260702-04/ZKJWCG-20260702-05/ZKJWCG-20260702-06</w:t>
      </w:r>
    </w:p>
    <w:p w14:paraId="1498B585">
      <w:pPr>
        <w:pStyle w:val="12"/>
        <w:pageBreakBefore w:val="0"/>
        <w:topLinePunct w:val="0"/>
        <w:bidi w:val="0"/>
        <w:spacing w:line="500" w:lineRule="exact"/>
        <w:ind w:left="0" w:leftChars="0" w:right="0" w:rightChars="0" w:firstLine="440" w:firstLineChars="200"/>
        <w:rPr>
          <w:rFonts w:ascii="Times New Roman"/>
          <w:color w:val="auto"/>
          <w:sz w:val="22"/>
        </w:rPr>
      </w:pPr>
    </w:p>
    <w:p w14:paraId="2D9F757C">
      <w:pPr>
        <w:pageBreakBefore w:val="0"/>
        <w:tabs>
          <w:tab w:val="left" w:pos="1199"/>
        </w:tabs>
        <w:topLinePunct w:val="0"/>
        <w:bidi w:val="0"/>
        <w:spacing w:line="500" w:lineRule="exact"/>
        <w:ind w:left="0" w:leftChars="0" w:right="0" w:rightChars="0" w:firstLine="964" w:firstLineChars="200"/>
        <w:jc w:val="center"/>
        <w:rPr>
          <w:rFonts w:hint="eastAsia"/>
          <w:b/>
          <w:color w:val="auto"/>
          <w:sz w:val="48"/>
          <w:lang w:val="en-US" w:eastAsia="zh-CN"/>
        </w:rPr>
      </w:pPr>
    </w:p>
    <w:p w14:paraId="4029A5A2">
      <w:pPr>
        <w:pageBreakBefore w:val="0"/>
        <w:tabs>
          <w:tab w:val="left" w:pos="1199"/>
        </w:tabs>
        <w:topLinePunct w:val="0"/>
        <w:bidi w:val="0"/>
        <w:spacing w:line="500" w:lineRule="exact"/>
        <w:ind w:right="0" w:rightChars="0"/>
        <w:jc w:val="center"/>
        <w:rPr>
          <w:rFonts w:hint="eastAsia"/>
          <w:b/>
          <w:color w:val="auto"/>
          <w:sz w:val="48"/>
          <w:lang w:val="en-US" w:eastAsia="zh-CN"/>
        </w:rPr>
      </w:pPr>
    </w:p>
    <w:p w14:paraId="49756D11">
      <w:pPr>
        <w:pageBreakBefore w:val="0"/>
        <w:tabs>
          <w:tab w:val="left" w:pos="1199"/>
        </w:tabs>
        <w:topLinePunct w:val="0"/>
        <w:bidi w:val="0"/>
        <w:spacing w:line="500" w:lineRule="exact"/>
        <w:ind w:right="0" w:rightChars="0"/>
        <w:jc w:val="center"/>
        <w:rPr>
          <w:b/>
          <w:color w:val="auto"/>
          <w:sz w:val="48"/>
        </w:rPr>
      </w:pPr>
      <w:r>
        <w:rPr>
          <w:rFonts w:hint="eastAsia"/>
          <w:b/>
          <w:color w:val="auto"/>
          <w:sz w:val="48"/>
          <w:lang w:val="en-US" w:eastAsia="zh-CN"/>
        </w:rPr>
        <w:t>汉滨区2026－2027学年度中小学幼儿园大宗食材及原辅材料配送项目招标采购</w:t>
      </w:r>
      <w:r>
        <w:rPr>
          <w:b/>
          <w:color w:val="auto"/>
          <w:sz w:val="48"/>
        </w:rPr>
        <w:t>（</w:t>
      </w:r>
      <w:r>
        <w:rPr>
          <w:rFonts w:hint="eastAsia"/>
          <w:b/>
          <w:color w:val="auto"/>
          <w:sz w:val="48"/>
          <w:lang w:val="en-US" w:eastAsia="zh-CN"/>
        </w:rPr>
        <w:t>合同包一/二/三/四/五/六</w:t>
      </w:r>
      <w:r>
        <w:rPr>
          <w:b/>
          <w:color w:val="auto"/>
          <w:sz w:val="48"/>
        </w:rPr>
        <w:t>）</w:t>
      </w:r>
    </w:p>
    <w:p w14:paraId="2BCA0C2E">
      <w:pPr>
        <w:pStyle w:val="12"/>
        <w:pageBreakBefore w:val="0"/>
        <w:topLinePunct w:val="0"/>
        <w:bidi w:val="0"/>
        <w:spacing w:line="500" w:lineRule="exact"/>
        <w:ind w:left="0" w:leftChars="0" w:right="0" w:rightChars="0" w:firstLine="964" w:firstLineChars="200"/>
        <w:rPr>
          <w:b/>
          <w:color w:val="auto"/>
          <w:sz w:val="48"/>
        </w:rPr>
      </w:pPr>
    </w:p>
    <w:p w14:paraId="4E602DDA">
      <w:pPr>
        <w:pStyle w:val="12"/>
        <w:pageBreakBefore w:val="0"/>
        <w:topLinePunct w:val="0"/>
        <w:bidi w:val="0"/>
        <w:spacing w:line="500" w:lineRule="exact"/>
        <w:ind w:left="0" w:leftChars="0" w:right="0" w:rightChars="0" w:firstLine="964" w:firstLineChars="200"/>
        <w:rPr>
          <w:b/>
          <w:color w:val="auto"/>
          <w:sz w:val="48"/>
        </w:rPr>
      </w:pPr>
    </w:p>
    <w:p w14:paraId="0B9FF54F">
      <w:pPr>
        <w:rPr>
          <w:color w:val="auto"/>
        </w:rPr>
      </w:pPr>
    </w:p>
    <w:p w14:paraId="2FA3DCF0">
      <w:pPr>
        <w:pStyle w:val="12"/>
        <w:pageBreakBefore w:val="0"/>
        <w:topLinePunct w:val="0"/>
        <w:bidi w:val="0"/>
        <w:spacing w:line="500" w:lineRule="exact"/>
        <w:ind w:left="0" w:leftChars="0" w:right="0" w:rightChars="0" w:firstLine="803" w:firstLineChars="200"/>
        <w:rPr>
          <w:b/>
          <w:color w:val="auto"/>
          <w:sz w:val="40"/>
        </w:rPr>
      </w:pPr>
    </w:p>
    <w:p w14:paraId="1D47DB0B">
      <w:pPr>
        <w:pageBreakBefore w:val="0"/>
        <w:tabs>
          <w:tab w:val="left" w:pos="1199"/>
        </w:tabs>
        <w:topLinePunct w:val="0"/>
        <w:bidi w:val="0"/>
        <w:spacing w:line="500" w:lineRule="exact"/>
        <w:ind w:left="0" w:leftChars="0" w:right="0" w:rightChars="0" w:firstLine="964" w:firstLineChars="200"/>
        <w:jc w:val="center"/>
        <w:rPr>
          <w:rFonts w:hint="eastAsia" w:ascii="宋体" w:hAnsi="宋体" w:eastAsia="宋体" w:cs="宋体"/>
          <w:b/>
          <w:color w:val="auto"/>
          <w:sz w:val="48"/>
          <w:lang w:val="en-US" w:eastAsia="zh-CN"/>
        </w:rPr>
      </w:pPr>
    </w:p>
    <w:p w14:paraId="1A234423">
      <w:pPr>
        <w:pageBreakBefore w:val="0"/>
        <w:tabs>
          <w:tab w:val="left" w:pos="1199"/>
        </w:tabs>
        <w:topLinePunct w:val="0"/>
        <w:bidi w:val="0"/>
        <w:spacing w:line="500" w:lineRule="exact"/>
        <w:ind w:left="0" w:leftChars="0" w:right="0" w:rightChars="0" w:firstLine="964" w:firstLineChars="200"/>
        <w:jc w:val="center"/>
        <w:rPr>
          <w:rFonts w:hint="eastAsia" w:ascii="宋体" w:hAnsi="宋体" w:eastAsia="宋体" w:cs="宋体"/>
          <w:b/>
          <w:color w:val="auto"/>
          <w:sz w:val="48"/>
          <w:lang w:val="en-US" w:eastAsia="zh-CN"/>
        </w:rPr>
      </w:pPr>
    </w:p>
    <w:p w14:paraId="7F65F04F">
      <w:pPr>
        <w:pageBreakBefore w:val="0"/>
        <w:tabs>
          <w:tab w:val="left" w:pos="1199"/>
        </w:tabs>
        <w:topLinePunct w:val="0"/>
        <w:bidi w:val="0"/>
        <w:spacing w:line="500" w:lineRule="exact"/>
        <w:ind w:left="0" w:leftChars="0" w:right="0" w:rightChars="0" w:firstLine="964" w:firstLineChars="200"/>
        <w:jc w:val="center"/>
        <w:rPr>
          <w:rFonts w:hint="eastAsia" w:ascii="宋体" w:hAnsi="宋体" w:eastAsia="宋体" w:cs="宋体"/>
          <w:b/>
          <w:color w:val="auto"/>
          <w:sz w:val="48"/>
          <w:lang w:val="en-US" w:eastAsia="zh-CN"/>
        </w:rPr>
      </w:pPr>
      <w:r>
        <w:rPr>
          <w:rFonts w:hint="eastAsia" w:ascii="宋体" w:hAnsi="宋体" w:eastAsia="宋体" w:cs="宋体"/>
          <w:b/>
          <w:color w:val="auto"/>
          <w:sz w:val="48"/>
          <w:lang w:val="en-US" w:eastAsia="zh-CN"/>
        </w:rPr>
        <w:t>投 标 文 件</w:t>
      </w:r>
    </w:p>
    <w:p w14:paraId="5F0B1111">
      <w:pPr>
        <w:pStyle w:val="12"/>
        <w:pageBreakBefore w:val="0"/>
        <w:topLinePunct w:val="0"/>
        <w:bidi w:val="0"/>
        <w:spacing w:line="500" w:lineRule="exact"/>
        <w:ind w:left="0" w:leftChars="0" w:right="0" w:rightChars="0" w:firstLine="1446" w:firstLineChars="200"/>
        <w:rPr>
          <w:b/>
          <w:color w:val="auto"/>
          <w:sz w:val="72"/>
        </w:rPr>
      </w:pPr>
    </w:p>
    <w:p w14:paraId="55829225">
      <w:pPr>
        <w:pStyle w:val="12"/>
        <w:pageBreakBefore w:val="0"/>
        <w:topLinePunct w:val="0"/>
        <w:bidi w:val="0"/>
        <w:spacing w:line="500" w:lineRule="exact"/>
        <w:ind w:left="0" w:leftChars="0" w:right="0" w:rightChars="0" w:firstLine="1446" w:firstLineChars="200"/>
        <w:rPr>
          <w:b/>
          <w:color w:val="auto"/>
          <w:sz w:val="72"/>
        </w:rPr>
      </w:pPr>
    </w:p>
    <w:p w14:paraId="537F0695">
      <w:pPr>
        <w:pStyle w:val="12"/>
        <w:pageBreakBefore w:val="0"/>
        <w:topLinePunct w:val="0"/>
        <w:bidi w:val="0"/>
        <w:spacing w:line="500" w:lineRule="exact"/>
        <w:ind w:left="0" w:leftChars="0" w:right="0" w:rightChars="0" w:firstLine="1446" w:firstLineChars="200"/>
        <w:rPr>
          <w:b/>
          <w:color w:val="auto"/>
          <w:sz w:val="72"/>
        </w:rPr>
      </w:pPr>
    </w:p>
    <w:p w14:paraId="315C7226">
      <w:pPr>
        <w:pageBreakBefore w:val="0"/>
        <w:topLinePunct w:val="0"/>
        <w:bidi w:val="0"/>
        <w:spacing w:line="500" w:lineRule="exact"/>
        <w:ind w:left="0" w:leftChars="0" w:right="0" w:rightChars="0" w:firstLine="1446" w:firstLineChars="200"/>
        <w:rPr>
          <w:b/>
          <w:color w:val="auto"/>
          <w:sz w:val="72"/>
        </w:rPr>
      </w:pPr>
    </w:p>
    <w:p w14:paraId="2B5508BD">
      <w:pPr>
        <w:pageBreakBefore w:val="0"/>
        <w:topLinePunct w:val="0"/>
        <w:bidi w:val="0"/>
        <w:spacing w:line="500" w:lineRule="exact"/>
        <w:ind w:left="0" w:leftChars="0" w:right="0" w:rightChars="0" w:firstLine="1446" w:firstLineChars="200"/>
        <w:rPr>
          <w:b/>
          <w:color w:val="auto"/>
          <w:sz w:val="72"/>
        </w:rPr>
      </w:pPr>
    </w:p>
    <w:p w14:paraId="5D6C7687">
      <w:pPr>
        <w:pStyle w:val="8"/>
        <w:pageBreakBefore w:val="0"/>
        <w:topLinePunct w:val="0"/>
        <w:bidi w:val="0"/>
        <w:spacing w:line="500" w:lineRule="exact"/>
        <w:ind w:left="0" w:leftChars="0" w:right="0" w:rightChars="0" w:firstLine="400" w:firstLineChars="200"/>
        <w:rPr>
          <w:color w:val="auto"/>
        </w:rPr>
      </w:pPr>
    </w:p>
    <w:p w14:paraId="4911E5B3">
      <w:pPr>
        <w:pStyle w:val="4"/>
        <w:pageBreakBefore w:val="0"/>
        <w:tabs>
          <w:tab w:val="left" w:pos="6438"/>
        </w:tabs>
        <w:topLinePunct w:val="0"/>
        <w:bidi w:val="0"/>
        <w:spacing w:before="0" w:line="480" w:lineRule="auto"/>
        <w:ind w:left="0" w:leftChars="0" w:right="0" w:rightChars="0" w:firstLine="611" w:firstLineChars="200"/>
        <w:jc w:val="both"/>
        <w:rPr>
          <w:rFonts w:ascii="仿宋_GB2312" w:hAnsi="仿宋_GB2312" w:eastAsia="仿宋_GB2312" w:cs="仿宋_GB2312"/>
          <w:color w:val="auto"/>
          <w:kern w:val="0"/>
          <w:sz w:val="28"/>
          <w:szCs w:val="28"/>
          <w:lang w:val="en-US" w:eastAsia="zh-CN" w:bidi="ar"/>
        </w:rPr>
      </w:pPr>
      <w:r>
        <w:rPr>
          <w:rFonts w:hint="eastAsia"/>
          <w:color w:val="auto"/>
          <w:w w:val="95"/>
          <w:lang w:eastAsia="zh-CN"/>
        </w:rPr>
        <w:t>供</w:t>
      </w:r>
      <w:r>
        <w:rPr>
          <w:rFonts w:hint="eastAsia"/>
          <w:color w:val="auto"/>
          <w:w w:val="95"/>
          <w:lang w:val="en-US" w:eastAsia="zh-CN"/>
        </w:rPr>
        <w:t xml:space="preserve"> </w:t>
      </w:r>
      <w:r>
        <w:rPr>
          <w:rFonts w:hint="eastAsia"/>
          <w:color w:val="auto"/>
          <w:w w:val="95"/>
          <w:lang w:eastAsia="zh-CN"/>
        </w:rPr>
        <w:t>应</w:t>
      </w:r>
      <w:r>
        <w:rPr>
          <w:rFonts w:hint="eastAsia"/>
          <w:color w:val="auto"/>
          <w:w w:val="95"/>
          <w:lang w:val="en-US" w:eastAsia="zh-CN"/>
        </w:rPr>
        <w:t xml:space="preserve"> </w:t>
      </w:r>
      <w:r>
        <w:rPr>
          <w:rFonts w:hint="eastAsia"/>
          <w:color w:val="auto"/>
          <w:w w:val="95"/>
          <w:lang w:eastAsia="zh-CN"/>
        </w:rPr>
        <w:t>商</w:t>
      </w:r>
      <w:r>
        <w:rPr>
          <w:color w:val="auto"/>
          <w:spacing w:val="5"/>
          <w:w w:val="95"/>
        </w:rPr>
        <w:t>：</w:t>
      </w:r>
      <w:r>
        <w:rPr>
          <w:rFonts w:hint="eastAsia"/>
          <w:color w:val="auto"/>
          <w:spacing w:val="5"/>
          <w:w w:val="95"/>
          <w:u w:val="single"/>
          <w:lang w:val="en-US" w:eastAsia="zh-CN"/>
        </w:rPr>
        <w:t xml:space="preserve">                            </w:t>
      </w:r>
      <w:r>
        <w:rPr>
          <w:rFonts w:hint="eastAsia"/>
          <w:color w:val="auto"/>
          <w:spacing w:val="5"/>
          <w:w w:val="95"/>
          <w:u w:val="none"/>
          <w:lang w:val="en-US" w:eastAsia="zh-CN"/>
        </w:rPr>
        <w:t>（盖章）</w:t>
      </w:r>
    </w:p>
    <w:p w14:paraId="79FBCB27">
      <w:pPr>
        <w:keepNext w:val="0"/>
        <w:keepLines w:val="0"/>
        <w:pageBreakBefore w:val="0"/>
        <w:widowControl/>
        <w:suppressLineNumbers w:val="0"/>
        <w:topLinePunct w:val="0"/>
        <w:bidi w:val="0"/>
        <w:spacing w:line="480" w:lineRule="auto"/>
        <w:ind w:left="0" w:leftChars="0" w:right="0" w:rightChars="0" w:firstLine="611" w:firstLineChars="200"/>
        <w:jc w:val="left"/>
        <w:rPr>
          <w:rFonts w:hint="eastAsia" w:ascii="宋体" w:hAnsi="宋体" w:eastAsia="宋体" w:cs="宋体"/>
          <w:b/>
          <w:bCs/>
          <w:color w:val="auto"/>
          <w:w w:val="95"/>
          <w:sz w:val="32"/>
          <w:szCs w:val="32"/>
          <w:lang w:val="zh-CN" w:eastAsia="zh-CN" w:bidi="zh-CN"/>
        </w:rPr>
      </w:pPr>
      <w:r>
        <w:rPr>
          <w:rFonts w:hint="eastAsia" w:ascii="宋体" w:hAnsi="宋体" w:eastAsia="宋体" w:cs="宋体"/>
          <w:b/>
          <w:bCs/>
          <w:color w:val="auto"/>
          <w:w w:val="95"/>
          <w:sz w:val="32"/>
          <w:szCs w:val="32"/>
          <w:lang w:val="en-US" w:eastAsia="zh-CN" w:bidi="zh-CN"/>
        </w:rPr>
        <w:t>法定代表人或授权委托人：</w:t>
      </w:r>
      <w:r>
        <w:rPr>
          <w:rFonts w:hint="eastAsia" w:cs="宋体"/>
          <w:b/>
          <w:bCs/>
          <w:color w:val="auto"/>
          <w:w w:val="95"/>
          <w:sz w:val="32"/>
          <w:szCs w:val="32"/>
          <w:u w:val="single"/>
          <w:lang w:val="en-US" w:eastAsia="zh-CN" w:bidi="zh-CN"/>
        </w:rPr>
        <w:t xml:space="preserve">         </w:t>
      </w:r>
      <w:r>
        <w:rPr>
          <w:rFonts w:hint="eastAsia" w:ascii="宋体" w:hAnsi="宋体" w:eastAsia="宋体" w:cs="宋体"/>
          <w:b/>
          <w:bCs/>
          <w:color w:val="auto"/>
          <w:w w:val="95"/>
          <w:sz w:val="32"/>
          <w:szCs w:val="32"/>
          <w:lang w:val="en-US" w:eastAsia="zh-CN" w:bidi="zh-CN"/>
        </w:rPr>
        <w:t>（签字或盖章）</w:t>
      </w:r>
    </w:p>
    <w:p w14:paraId="00C7CF37">
      <w:pPr>
        <w:pStyle w:val="4"/>
        <w:pageBreakBefore w:val="0"/>
        <w:tabs>
          <w:tab w:val="left" w:pos="1052"/>
          <w:tab w:val="left" w:pos="6394"/>
        </w:tabs>
        <w:topLinePunct w:val="0"/>
        <w:bidi w:val="0"/>
        <w:spacing w:before="0" w:line="480" w:lineRule="auto"/>
        <w:ind w:left="0" w:leftChars="0" w:right="0" w:rightChars="0" w:firstLine="643" w:firstLineChars="200"/>
        <w:jc w:val="both"/>
        <w:rPr>
          <w:rFonts w:hint="default" w:ascii="Times New Roman" w:eastAsia="宋体"/>
          <w:color w:val="auto"/>
          <w:lang w:val="en-US" w:eastAsia="zh-CN"/>
        </w:rPr>
      </w:pPr>
      <w:r>
        <w:rPr>
          <w:rFonts w:hint="eastAsia"/>
          <w:color w:val="auto"/>
          <w:lang w:val="en-US" w:eastAsia="zh-CN"/>
        </w:rPr>
        <w:t>日  期</w:t>
      </w:r>
      <w:r>
        <w:rPr>
          <w:color w:val="auto"/>
          <w:w w:val="95"/>
        </w:rPr>
        <w:t>：</w:t>
      </w:r>
      <w:r>
        <w:rPr>
          <w:rFonts w:hint="eastAsia"/>
          <w:color w:val="auto"/>
          <w:w w:val="95"/>
          <w:u w:val="single"/>
          <w:lang w:val="en-US" w:eastAsia="zh-CN"/>
        </w:rPr>
        <w:t xml:space="preserve">       </w:t>
      </w:r>
      <w:r>
        <w:rPr>
          <w:rFonts w:hint="eastAsia" w:ascii="Times New Roman" w:eastAsia="宋体"/>
          <w:color w:val="auto"/>
          <w:w w:val="99"/>
          <w:u w:val="none"/>
          <w:lang w:val="en-US" w:eastAsia="zh-CN"/>
        </w:rPr>
        <w:t>年</w:t>
      </w:r>
      <w:r>
        <w:rPr>
          <w:rFonts w:hint="eastAsia"/>
          <w:color w:val="auto"/>
          <w:w w:val="95"/>
          <w:u w:val="single"/>
          <w:lang w:val="en-US" w:eastAsia="zh-CN"/>
        </w:rPr>
        <w:t xml:space="preserve">       </w:t>
      </w:r>
      <w:r>
        <w:rPr>
          <w:rFonts w:hint="eastAsia" w:ascii="Times New Roman" w:eastAsia="宋体"/>
          <w:color w:val="auto"/>
          <w:w w:val="99"/>
          <w:u w:val="none"/>
          <w:lang w:val="en-US" w:eastAsia="zh-CN"/>
        </w:rPr>
        <w:t>月</w:t>
      </w:r>
      <w:r>
        <w:rPr>
          <w:rFonts w:hint="eastAsia"/>
          <w:color w:val="auto"/>
          <w:w w:val="95"/>
          <w:u w:val="single"/>
          <w:lang w:val="en-US" w:eastAsia="zh-CN"/>
        </w:rPr>
        <w:t xml:space="preserve">       </w:t>
      </w:r>
      <w:r>
        <w:rPr>
          <w:rFonts w:hint="eastAsia" w:ascii="Times New Roman" w:eastAsia="宋体"/>
          <w:color w:val="auto"/>
          <w:w w:val="99"/>
          <w:u w:val="none"/>
          <w:lang w:val="en-US" w:eastAsia="zh-CN"/>
        </w:rPr>
        <w:t>日</w:t>
      </w:r>
    </w:p>
    <w:p w14:paraId="20DB36DE">
      <w:pPr>
        <w:pageBreakBefore w:val="0"/>
        <w:topLinePunct w:val="0"/>
        <w:bidi w:val="0"/>
        <w:spacing w:line="500" w:lineRule="exact"/>
        <w:ind w:left="0" w:leftChars="0" w:right="0" w:rightChars="0" w:firstLine="440" w:firstLineChars="200"/>
        <w:rPr>
          <w:rFonts w:ascii="Times New Roman" w:eastAsia="Times New Roman"/>
          <w:color w:val="auto"/>
        </w:rPr>
        <w:sectPr>
          <w:pgSz w:w="11910" w:h="16840"/>
          <w:pgMar w:top="1060" w:right="1020" w:bottom="1200" w:left="1040" w:header="872" w:footer="1005" w:gutter="0"/>
          <w:pgNumType w:fmt="decimal"/>
          <w:cols w:space="720" w:num="1"/>
        </w:sectPr>
      </w:pPr>
    </w:p>
    <w:p w14:paraId="77DBA2AD">
      <w:pPr>
        <w:pStyle w:val="12"/>
        <w:pageBreakBefore w:val="0"/>
        <w:topLinePunct w:val="0"/>
        <w:bidi w:val="0"/>
        <w:spacing w:line="500" w:lineRule="exact"/>
        <w:ind w:left="0" w:leftChars="0" w:right="0" w:rightChars="0" w:firstLine="402" w:firstLineChars="200"/>
        <w:rPr>
          <w:rFonts w:ascii="Times New Roman"/>
          <w:b/>
          <w:color w:val="auto"/>
          <w:sz w:val="20"/>
        </w:rPr>
      </w:pPr>
    </w:p>
    <w:p w14:paraId="26042DC3">
      <w:pPr>
        <w:pStyle w:val="3"/>
        <w:pageBreakBefore w:val="0"/>
        <w:topLinePunct w:val="0"/>
        <w:bidi w:val="0"/>
        <w:spacing w:line="500" w:lineRule="exact"/>
        <w:ind w:left="0" w:leftChars="0" w:right="0" w:rightChars="0" w:firstLine="960" w:firstLineChars="200"/>
        <w:jc w:val="center"/>
        <w:rPr>
          <w:color w:val="auto"/>
        </w:rPr>
      </w:pPr>
      <w:r>
        <w:rPr>
          <w:color w:val="auto"/>
          <w:sz w:val="48"/>
          <w:szCs w:val="24"/>
        </w:rPr>
        <w:t>目</w:t>
      </w:r>
      <w:r>
        <w:rPr>
          <w:color w:val="auto"/>
          <w:sz w:val="48"/>
          <w:szCs w:val="24"/>
        </w:rPr>
        <w:tab/>
      </w:r>
      <w:r>
        <w:rPr>
          <w:color w:val="auto"/>
          <w:sz w:val="48"/>
          <w:szCs w:val="24"/>
        </w:rPr>
        <w:t>录</w:t>
      </w:r>
    </w:p>
    <w:p w14:paraId="79794499">
      <w:pPr>
        <w:pStyle w:val="12"/>
        <w:pageBreakBefore w:val="0"/>
        <w:topLinePunct w:val="0"/>
        <w:bidi w:val="0"/>
        <w:spacing w:line="500" w:lineRule="exact"/>
        <w:ind w:left="0" w:leftChars="0" w:right="0" w:rightChars="0" w:firstLine="720" w:firstLineChars="200"/>
        <w:rPr>
          <w:color w:val="auto"/>
          <w:sz w:val="36"/>
          <w:szCs w:val="36"/>
        </w:rPr>
      </w:pPr>
    </w:p>
    <w:p w14:paraId="33BE1E47">
      <w:pPr>
        <w:pStyle w:val="3"/>
        <w:pageBreakBefore w:val="0"/>
        <w:tabs>
          <w:tab w:val="left" w:pos="4275"/>
        </w:tabs>
        <w:topLinePunct w:val="0"/>
        <w:bidi w:val="0"/>
        <w:spacing w:line="500" w:lineRule="exact"/>
        <w:ind w:left="0" w:leftChars="0" w:right="0" w:rightChars="0" w:firstLine="720" w:firstLineChars="200"/>
        <w:rPr>
          <w:color w:val="auto"/>
        </w:rPr>
      </w:pPr>
      <w:r>
        <w:rPr>
          <w:color w:val="auto"/>
        </w:rPr>
        <w:t>第一部分</w:t>
      </w:r>
      <w:r>
        <w:rPr>
          <w:color w:val="auto"/>
        </w:rPr>
        <w:tab/>
      </w:r>
      <w:r>
        <w:rPr>
          <w:color w:val="auto"/>
        </w:rPr>
        <w:t>投标函</w:t>
      </w:r>
    </w:p>
    <w:p w14:paraId="4BE5E48B">
      <w:pPr>
        <w:pStyle w:val="3"/>
        <w:pageBreakBefore w:val="0"/>
        <w:tabs>
          <w:tab w:val="left" w:pos="4275"/>
        </w:tabs>
        <w:topLinePunct w:val="0"/>
        <w:bidi w:val="0"/>
        <w:spacing w:line="500" w:lineRule="exact"/>
        <w:ind w:left="0" w:leftChars="0" w:right="0" w:rightChars="0" w:firstLine="720" w:firstLineChars="200"/>
        <w:rPr>
          <w:rFonts w:hint="eastAsia" w:eastAsia="宋体"/>
          <w:color w:val="auto"/>
          <w:lang w:eastAsia="zh-CN"/>
        </w:rPr>
      </w:pPr>
      <w:r>
        <w:rPr>
          <w:color w:val="auto"/>
        </w:rPr>
        <w:t>第二部分</w:t>
      </w:r>
      <w:r>
        <w:rPr>
          <w:color w:val="auto"/>
        </w:rPr>
        <w:tab/>
      </w:r>
      <w:r>
        <w:rPr>
          <w:color w:val="auto"/>
        </w:rPr>
        <w:t>开标一览表（报价表</w:t>
      </w:r>
      <w:r>
        <w:rPr>
          <w:rFonts w:hint="eastAsia"/>
          <w:color w:val="auto"/>
          <w:lang w:eastAsia="zh-CN"/>
        </w:rPr>
        <w:t>）</w:t>
      </w:r>
    </w:p>
    <w:p w14:paraId="0CD8819C">
      <w:pPr>
        <w:pStyle w:val="3"/>
        <w:pageBreakBefore w:val="0"/>
        <w:tabs>
          <w:tab w:val="left" w:pos="4275"/>
        </w:tabs>
        <w:topLinePunct w:val="0"/>
        <w:bidi w:val="0"/>
        <w:spacing w:line="500" w:lineRule="exact"/>
        <w:ind w:left="0" w:leftChars="0" w:right="0" w:rightChars="0" w:firstLine="720" w:firstLineChars="200"/>
        <w:rPr>
          <w:rFonts w:ascii="宋体" w:hAnsi="宋体" w:eastAsia="宋体" w:cs="宋体"/>
          <w:color w:val="auto"/>
        </w:rPr>
      </w:pPr>
      <w:r>
        <w:rPr>
          <w:rFonts w:ascii="宋体" w:hAnsi="宋体" w:eastAsia="宋体" w:cs="宋体"/>
          <w:color w:val="auto"/>
        </w:rPr>
        <w:t>第三部分</w:t>
      </w:r>
      <w:r>
        <w:rPr>
          <w:rFonts w:ascii="宋体" w:hAnsi="宋体" w:eastAsia="宋体" w:cs="宋体"/>
          <w:color w:val="auto"/>
        </w:rPr>
        <w:tab/>
      </w:r>
      <w:r>
        <w:rPr>
          <w:rFonts w:ascii="宋体" w:hAnsi="宋体" w:eastAsia="宋体" w:cs="宋体"/>
          <w:color w:val="auto"/>
        </w:rPr>
        <w:t>投标方案</w:t>
      </w:r>
    </w:p>
    <w:p w14:paraId="28E8AB63">
      <w:pPr>
        <w:pStyle w:val="3"/>
        <w:pageBreakBefore w:val="0"/>
        <w:tabs>
          <w:tab w:val="left" w:pos="4275"/>
        </w:tabs>
        <w:topLinePunct w:val="0"/>
        <w:bidi w:val="0"/>
        <w:spacing w:line="500" w:lineRule="exact"/>
        <w:ind w:left="0" w:leftChars="0" w:right="0" w:rightChars="0" w:firstLine="720" w:firstLineChars="200"/>
        <w:rPr>
          <w:rFonts w:ascii="宋体" w:hAnsi="宋体" w:eastAsia="宋体" w:cs="宋体"/>
          <w:color w:val="auto"/>
        </w:rPr>
      </w:pPr>
      <w:r>
        <w:rPr>
          <w:rFonts w:ascii="宋体" w:hAnsi="宋体" w:eastAsia="宋体" w:cs="宋体"/>
          <w:color w:val="auto"/>
        </w:rPr>
        <w:t>第四部分</w:t>
      </w:r>
      <w:r>
        <w:rPr>
          <w:rFonts w:ascii="宋体" w:hAnsi="宋体" w:eastAsia="宋体" w:cs="宋体"/>
          <w:color w:val="auto"/>
        </w:rPr>
        <w:tab/>
      </w:r>
      <w:r>
        <w:rPr>
          <w:rFonts w:ascii="宋体" w:hAnsi="宋体" w:eastAsia="宋体" w:cs="宋体"/>
          <w:color w:val="auto"/>
        </w:rPr>
        <w:t>投标</w:t>
      </w:r>
      <w:r>
        <w:rPr>
          <w:rFonts w:hint="eastAsia" w:ascii="宋体" w:hAnsi="宋体" w:eastAsia="宋体" w:cs="宋体"/>
          <w:color w:val="auto"/>
          <w:lang w:eastAsia="zh-CN"/>
        </w:rPr>
        <w:t>人</w:t>
      </w:r>
      <w:r>
        <w:rPr>
          <w:rFonts w:ascii="宋体" w:hAnsi="宋体" w:eastAsia="宋体" w:cs="宋体"/>
          <w:color w:val="auto"/>
        </w:rPr>
        <w:t>资质证明文件</w:t>
      </w:r>
    </w:p>
    <w:p w14:paraId="119FECCA">
      <w:pPr>
        <w:pStyle w:val="3"/>
        <w:pageBreakBefore w:val="0"/>
        <w:tabs>
          <w:tab w:val="left" w:pos="4275"/>
        </w:tabs>
        <w:topLinePunct w:val="0"/>
        <w:bidi w:val="0"/>
        <w:spacing w:line="500" w:lineRule="exact"/>
        <w:ind w:left="0" w:leftChars="0" w:right="0" w:rightChars="0" w:firstLine="720" w:firstLineChars="200"/>
        <w:rPr>
          <w:rFonts w:ascii="宋体" w:hAnsi="宋体" w:eastAsia="宋体" w:cs="宋体"/>
          <w:color w:val="auto"/>
        </w:rPr>
      </w:pPr>
      <w:r>
        <w:rPr>
          <w:rFonts w:ascii="宋体" w:hAnsi="宋体" w:eastAsia="宋体" w:cs="宋体"/>
          <w:color w:val="auto"/>
        </w:rPr>
        <w:t>第五部分</w:t>
      </w:r>
      <w:r>
        <w:rPr>
          <w:rFonts w:ascii="宋体" w:hAnsi="宋体" w:eastAsia="宋体" w:cs="宋体"/>
          <w:color w:val="auto"/>
        </w:rPr>
        <w:tab/>
      </w:r>
      <w:r>
        <w:rPr>
          <w:rFonts w:hint="eastAsia" w:ascii="宋体" w:hAnsi="宋体" w:eastAsia="宋体" w:cs="宋体"/>
          <w:color w:val="auto"/>
          <w:lang w:val="en-US" w:eastAsia="zh-CN"/>
        </w:rPr>
        <w:t>供应商</w:t>
      </w:r>
      <w:r>
        <w:rPr>
          <w:rFonts w:ascii="宋体" w:hAnsi="宋体" w:eastAsia="宋体" w:cs="宋体"/>
          <w:color w:val="auto"/>
        </w:rPr>
        <w:t>承诺书</w:t>
      </w:r>
    </w:p>
    <w:p w14:paraId="6F4BC15D">
      <w:pPr>
        <w:pStyle w:val="3"/>
        <w:pageBreakBefore w:val="0"/>
        <w:tabs>
          <w:tab w:val="left" w:pos="4275"/>
        </w:tabs>
        <w:topLinePunct w:val="0"/>
        <w:bidi w:val="0"/>
        <w:spacing w:line="500" w:lineRule="exact"/>
        <w:ind w:left="0" w:leftChars="0" w:right="0" w:rightChars="0" w:firstLine="720" w:firstLineChars="200"/>
        <w:rPr>
          <w:rFonts w:ascii="宋体" w:hAnsi="宋体" w:eastAsia="宋体" w:cs="宋体"/>
          <w:color w:val="auto"/>
        </w:rPr>
        <w:sectPr>
          <w:pgSz w:w="11910" w:h="16840"/>
          <w:pgMar w:top="1060" w:right="1020" w:bottom="1200" w:left="1040" w:header="872" w:footer="1005" w:gutter="0"/>
          <w:pgNumType w:fmt="decimal"/>
          <w:cols w:space="720" w:num="1"/>
        </w:sectPr>
      </w:pPr>
      <w:r>
        <w:rPr>
          <w:rFonts w:ascii="宋体" w:hAnsi="宋体" w:eastAsia="宋体" w:cs="宋体"/>
          <w:color w:val="auto"/>
        </w:rPr>
        <w:t>第六部分</w:t>
      </w:r>
      <w:r>
        <w:rPr>
          <w:rFonts w:ascii="宋体" w:hAnsi="宋体" w:eastAsia="宋体" w:cs="宋体"/>
          <w:color w:val="auto"/>
        </w:rPr>
        <w:tab/>
      </w:r>
      <w:r>
        <w:rPr>
          <w:rFonts w:ascii="宋体" w:hAnsi="宋体" w:eastAsia="宋体" w:cs="宋体"/>
          <w:color w:val="auto"/>
        </w:rPr>
        <w:t>其他</w:t>
      </w:r>
    </w:p>
    <w:p w14:paraId="59ADC5F1">
      <w:pPr>
        <w:pStyle w:val="4"/>
        <w:pageBreakBefore w:val="0"/>
        <w:topLinePunct w:val="0"/>
        <w:bidi w:val="0"/>
        <w:spacing w:before="0" w:line="500" w:lineRule="exact"/>
        <w:ind w:left="0" w:leftChars="0" w:right="0" w:rightChars="0" w:firstLine="643" w:firstLineChars="200"/>
        <w:rPr>
          <w:color w:val="auto"/>
          <w:sz w:val="31"/>
        </w:rPr>
      </w:pPr>
      <w:r>
        <w:rPr>
          <w:color w:val="auto"/>
        </w:rPr>
        <w:t>第一部分 投标函</w:t>
      </w:r>
    </w:p>
    <w:p w14:paraId="0E5010D5">
      <w:pPr>
        <w:pageBreakBefore w:val="0"/>
        <w:topLinePunct w:val="0"/>
        <w:bidi w:val="0"/>
        <w:spacing w:line="500" w:lineRule="exact"/>
        <w:ind w:left="0" w:leftChars="0" w:right="0" w:rightChars="0" w:firstLine="442" w:firstLineChars="200"/>
        <w:rPr>
          <w:b/>
          <w:color w:val="auto"/>
          <w:szCs w:val="21"/>
        </w:rPr>
      </w:pPr>
    </w:p>
    <w:p w14:paraId="2CD81549">
      <w:pPr>
        <w:pageBreakBefore w:val="0"/>
        <w:topLinePunct w:val="0"/>
        <w:autoSpaceDE/>
        <w:autoSpaceDN/>
        <w:bidi w:val="0"/>
        <w:spacing w:line="500" w:lineRule="exact"/>
        <w:ind w:left="0" w:leftChars="0" w:right="0" w:rightChars="0" w:firstLine="480" w:firstLineChars="200"/>
        <w:rPr>
          <w:b/>
          <w:color w:val="auto"/>
          <w:szCs w:val="21"/>
          <w:u w:val="single"/>
          <w:lang w:val="en-US"/>
        </w:rPr>
      </w:pPr>
      <w:r>
        <w:rPr>
          <w:rFonts w:hint="eastAsia"/>
          <w:color w:val="auto"/>
          <w:sz w:val="24"/>
        </w:rPr>
        <w:t>致：</w:t>
      </w:r>
      <w:r>
        <w:rPr>
          <w:rFonts w:hint="eastAsia"/>
          <w:color w:val="auto"/>
          <w:sz w:val="24"/>
          <w:u w:val="single"/>
        </w:rPr>
        <w:t xml:space="preserve">     （采购人）     </w:t>
      </w:r>
      <w:r>
        <w:rPr>
          <w:rFonts w:hint="eastAsia"/>
          <w:b/>
          <w:color w:val="auto"/>
          <w:szCs w:val="21"/>
          <w:u w:val="single"/>
          <w:lang w:val="en-US"/>
        </w:rPr>
        <w:t xml:space="preserve"> </w:t>
      </w:r>
    </w:p>
    <w:p w14:paraId="2539F1AE">
      <w:pPr>
        <w:pageBreakBefore w:val="0"/>
        <w:topLinePunct w:val="0"/>
        <w:bidi w:val="0"/>
        <w:spacing w:line="500" w:lineRule="exact"/>
        <w:ind w:left="0" w:leftChars="0" w:right="0" w:rightChars="0" w:firstLine="440" w:firstLineChars="200"/>
        <w:rPr>
          <w:color w:val="auto"/>
          <w:szCs w:val="21"/>
          <w:u w:val="single"/>
        </w:rPr>
      </w:pPr>
      <w:r>
        <w:rPr>
          <w:rFonts w:hint="eastAsia"/>
          <w:color w:val="auto"/>
          <w:szCs w:val="21"/>
        </w:rPr>
        <w:t>我单位收到贵</w:t>
      </w:r>
      <w:bookmarkStart w:id="21" w:name="_Hlk77247809"/>
      <w:r>
        <w:rPr>
          <w:rFonts w:hint="eastAsia"/>
          <w:color w:val="auto"/>
          <w:szCs w:val="21"/>
          <w:lang w:val="en-US" w:eastAsia="zh-CN"/>
        </w:rPr>
        <w:t>单位</w:t>
      </w:r>
      <w:bookmarkEnd w:id="21"/>
      <w:r>
        <w:rPr>
          <w:rFonts w:hint="eastAsia"/>
          <w:color w:val="auto"/>
          <w:szCs w:val="21"/>
          <w:u w:val="single"/>
          <w:lang w:val="en-US" w:eastAsia="zh-CN"/>
        </w:rPr>
        <w:t>汉滨区2026－2027学年度中小学幼儿园大宗食材及原辅材料配送项目招标采购（合同包       ）</w:t>
      </w:r>
      <w:r>
        <w:rPr>
          <w:rFonts w:hint="eastAsia"/>
          <w:color w:val="auto"/>
          <w:szCs w:val="21"/>
        </w:rPr>
        <w:t>的招标文件，我们决定参加该项目投标活动，并参与投标会议。为此，我方郑重声明以下诸点，并负法律责任。</w:t>
      </w:r>
    </w:p>
    <w:p w14:paraId="6471F46B">
      <w:pPr>
        <w:pageBreakBefore w:val="0"/>
        <w:topLinePunct w:val="0"/>
        <w:bidi w:val="0"/>
        <w:spacing w:line="500" w:lineRule="exact"/>
        <w:ind w:left="0" w:leftChars="0" w:right="0" w:rightChars="0" w:firstLine="440" w:firstLineChars="200"/>
        <w:rPr>
          <w:b/>
          <w:color w:val="auto"/>
          <w:szCs w:val="21"/>
          <w:u w:val="single"/>
        </w:rPr>
      </w:pPr>
      <w:r>
        <w:rPr>
          <w:rFonts w:hint="eastAsia"/>
          <w:color w:val="auto"/>
          <w:szCs w:val="21"/>
        </w:rPr>
        <w:t>1</w:t>
      </w:r>
      <w:r>
        <w:rPr>
          <w:rFonts w:hint="eastAsia"/>
          <w:color w:val="auto"/>
          <w:szCs w:val="21"/>
          <w:lang w:val="en-US" w:eastAsia="zh-CN"/>
        </w:rPr>
        <w:t>.</w:t>
      </w:r>
      <w:r>
        <w:rPr>
          <w:rFonts w:hint="eastAsia"/>
          <w:color w:val="auto"/>
          <w:szCs w:val="21"/>
        </w:rPr>
        <w:t>愿意按照招标文件中的一切要求，我公司的投标报价为：</w:t>
      </w:r>
    </w:p>
    <w:p w14:paraId="25282085">
      <w:pPr>
        <w:pageBreakBefore w:val="0"/>
        <w:topLinePunct w:val="0"/>
        <w:bidi w:val="0"/>
        <w:spacing w:line="500" w:lineRule="exact"/>
        <w:ind w:left="0" w:leftChars="0" w:right="0" w:rightChars="0" w:firstLine="440" w:firstLineChars="200"/>
        <w:rPr>
          <w:color w:val="auto"/>
          <w:szCs w:val="21"/>
          <w:u w:val="single"/>
        </w:rPr>
      </w:pPr>
      <w:r>
        <w:rPr>
          <w:rFonts w:hint="eastAsia"/>
          <w:color w:val="auto"/>
          <w:szCs w:val="21"/>
        </w:rPr>
        <w:t>投标总报价（元）：小写：</w:t>
      </w:r>
      <w:r>
        <w:rPr>
          <w:rFonts w:hint="eastAsia"/>
          <w:color w:val="auto"/>
          <w:szCs w:val="21"/>
          <w:u w:val="single"/>
        </w:rPr>
        <w:t xml:space="preserve">       </w:t>
      </w:r>
      <w:r>
        <w:rPr>
          <w:color w:val="auto"/>
          <w:szCs w:val="21"/>
          <w:u w:val="single"/>
        </w:rPr>
        <w:t xml:space="preserve">       </w:t>
      </w:r>
      <w:r>
        <w:rPr>
          <w:rFonts w:hint="eastAsia"/>
          <w:color w:val="auto"/>
          <w:szCs w:val="21"/>
        </w:rPr>
        <w:t>元，大写：</w:t>
      </w:r>
      <w:r>
        <w:rPr>
          <w:rFonts w:hint="eastAsia"/>
          <w:color w:val="auto"/>
          <w:szCs w:val="21"/>
          <w:u w:val="single"/>
        </w:rPr>
        <w:t xml:space="preserve">     </w:t>
      </w:r>
      <w:r>
        <w:rPr>
          <w:rFonts w:hint="eastAsia"/>
          <w:color w:val="auto"/>
          <w:szCs w:val="21"/>
          <w:u w:val="single"/>
          <w:lang w:val="en-US"/>
        </w:rPr>
        <w:t xml:space="preserve"> </w:t>
      </w:r>
      <w:r>
        <w:rPr>
          <w:rFonts w:hint="eastAsia"/>
          <w:color w:val="auto"/>
          <w:szCs w:val="21"/>
          <w:u w:val="single"/>
        </w:rPr>
        <w:t xml:space="preserve">      </w:t>
      </w:r>
      <w:r>
        <w:rPr>
          <w:rFonts w:hint="eastAsia"/>
          <w:color w:val="auto"/>
          <w:szCs w:val="21"/>
        </w:rPr>
        <w:t xml:space="preserve"> 。</w:t>
      </w:r>
    </w:p>
    <w:p w14:paraId="08AC60B8">
      <w:pPr>
        <w:pageBreakBefore w:val="0"/>
        <w:topLinePunct w:val="0"/>
        <w:bidi w:val="0"/>
        <w:spacing w:line="500" w:lineRule="exact"/>
        <w:ind w:left="0" w:leftChars="0" w:right="0" w:rightChars="0" w:firstLine="440" w:firstLineChars="200"/>
        <w:rPr>
          <w:color w:val="auto"/>
          <w:szCs w:val="21"/>
          <w:u w:val="single"/>
        </w:rPr>
      </w:pPr>
      <w:r>
        <w:rPr>
          <w:rFonts w:hint="eastAsia"/>
          <w:color w:val="auto"/>
          <w:szCs w:val="21"/>
        </w:rPr>
        <w:t>供应期限：</w:t>
      </w:r>
      <w:r>
        <w:rPr>
          <w:rFonts w:hint="eastAsia"/>
          <w:color w:val="auto"/>
          <w:szCs w:val="21"/>
          <w:u w:val="single"/>
        </w:rPr>
        <w:t xml:space="preserve">          </w:t>
      </w:r>
    </w:p>
    <w:p w14:paraId="22E543A8">
      <w:pPr>
        <w:pageBreakBefore w:val="0"/>
        <w:topLinePunct w:val="0"/>
        <w:bidi w:val="0"/>
        <w:spacing w:line="500" w:lineRule="exact"/>
        <w:ind w:left="0" w:leftChars="0" w:right="0" w:rightChars="0" w:firstLine="440" w:firstLineChars="200"/>
        <w:rPr>
          <w:color w:val="auto"/>
          <w:szCs w:val="21"/>
        </w:rPr>
      </w:pPr>
      <w:r>
        <w:rPr>
          <w:rFonts w:hint="eastAsia"/>
          <w:color w:val="auto"/>
          <w:szCs w:val="21"/>
          <w:lang w:val="en-US"/>
        </w:rPr>
        <w:t>2</w:t>
      </w:r>
      <w:r>
        <w:rPr>
          <w:rFonts w:hint="eastAsia"/>
          <w:color w:val="auto"/>
          <w:szCs w:val="21"/>
          <w:lang w:val="en-US" w:eastAsia="zh-CN"/>
        </w:rPr>
        <w:t>.</w:t>
      </w:r>
      <w:r>
        <w:rPr>
          <w:rFonts w:hint="eastAsia"/>
          <w:color w:val="auto"/>
          <w:szCs w:val="21"/>
        </w:rPr>
        <w:t>如果我们投标文件被接受，我们将履行招标文件中规定的每一项要求，按期、按质、按量完成任务。</w:t>
      </w:r>
    </w:p>
    <w:p w14:paraId="59CB6F08">
      <w:pPr>
        <w:pageBreakBefore w:val="0"/>
        <w:topLinePunct w:val="0"/>
        <w:bidi w:val="0"/>
        <w:spacing w:line="500" w:lineRule="exact"/>
        <w:ind w:left="0" w:leftChars="0" w:right="0" w:rightChars="0" w:firstLine="440" w:firstLineChars="200"/>
        <w:rPr>
          <w:color w:val="auto"/>
          <w:szCs w:val="21"/>
        </w:rPr>
      </w:pPr>
      <w:r>
        <w:rPr>
          <w:rFonts w:hint="eastAsia"/>
          <w:color w:val="auto"/>
          <w:szCs w:val="21"/>
          <w:lang w:val="en-US"/>
        </w:rPr>
        <w:t>3</w:t>
      </w:r>
      <w:r>
        <w:rPr>
          <w:rFonts w:hint="eastAsia"/>
          <w:color w:val="auto"/>
          <w:szCs w:val="21"/>
          <w:lang w:val="en-US" w:eastAsia="zh-CN"/>
        </w:rPr>
        <w:t>.</w:t>
      </w:r>
      <w:r>
        <w:rPr>
          <w:rFonts w:hint="eastAsia"/>
          <w:color w:val="auto"/>
          <w:szCs w:val="21"/>
        </w:rPr>
        <w:t>我们理解，最低报价不是中标的唯一条件，你们有选择</w:t>
      </w:r>
      <w:r>
        <w:rPr>
          <w:rFonts w:hint="eastAsia"/>
          <w:color w:val="auto"/>
          <w:szCs w:val="21"/>
          <w:lang w:eastAsia="zh-CN"/>
        </w:rPr>
        <w:t>供应商</w:t>
      </w:r>
      <w:r>
        <w:rPr>
          <w:rFonts w:hint="eastAsia"/>
          <w:color w:val="auto"/>
          <w:szCs w:val="21"/>
        </w:rPr>
        <w:t>的权力。</w:t>
      </w:r>
    </w:p>
    <w:p w14:paraId="1DAB6245">
      <w:pPr>
        <w:pageBreakBefore w:val="0"/>
        <w:topLinePunct w:val="0"/>
        <w:bidi w:val="0"/>
        <w:spacing w:line="500" w:lineRule="exact"/>
        <w:ind w:left="0" w:leftChars="0" w:right="0" w:rightChars="0" w:firstLine="440" w:firstLineChars="200"/>
        <w:rPr>
          <w:color w:val="auto"/>
          <w:szCs w:val="21"/>
        </w:rPr>
      </w:pPr>
      <w:r>
        <w:rPr>
          <w:rFonts w:hint="eastAsia"/>
          <w:color w:val="auto"/>
          <w:szCs w:val="21"/>
          <w:lang w:val="en-US"/>
        </w:rPr>
        <w:t>4</w:t>
      </w:r>
      <w:r>
        <w:rPr>
          <w:rFonts w:hint="eastAsia"/>
          <w:color w:val="auto"/>
          <w:szCs w:val="21"/>
          <w:lang w:val="en-US" w:eastAsia="zh-CN"/>
        </w:rPr>
        <w:t>.</w:t>
      </w:r>
      <w:r>
        <w:rPr>
          <w:rFonts w:hint="eastAsia"/>
          <w:color w:val="auto"/>
          <w:szCs w:val="21"/>
        </w:rPr>
        <w:t>我们愿按《中华人民共和国民法典》履行自己的全部责任。</w:t>
      </w:r>
    </w:p>
    <w:p w14:paraId="42312AED">
      <w:pPr>
        <w:pageBreakBefore w:val="0"/>
        <w:topLinePunct w:val="0"/>
        <w:bidi w:val="0"/>
        <w:spacing w:line="500" w:lineRule="exact"/>
        <w:ind w:left="0" w:leftChars="0" w:right="0" w:rightChars="0" w:firstLine="440" w:firstLineChars="200"/>
        <w:rPr>
          <w:color w:val="auto"/>
          <w:szCs w:val="21"/>
        </w:rPr>
      </w:pPr>
      <w:r>
        <w:rPr>
          <w:rFonts w:hint="eastAsia"/>
          <w:color w:val="auto"/>
          <w:szCs w:val="21"/>
          <w:lang w:val="en-US"/>
        </w:rPr>
        <w:t>5</w:t>
      </w:r>
      <w:r>
        <w:rPr>
          <w:rFonts w:hint="eastAsia"/>
          <w:color w:val="auto"/>
          <w:szCs w:val="21"/>
          <w:lang w:val="en-US" w:eastAsia="zh-CN"/>
        </w:rPr>
        <w:t>.</w:t>
      </w:r>
      <w:r>
        <w:rPr>
          <w:rFonts w:hint="eastAsia"/>
          <w:color w:val="auto"/>
          <w:szCs w:val="21"/>
        </w:rPr>
        <w:t>我们同意按招标文件规定，遵守贵</w:t>
      </w:r>
      <w:r>
        <w:rPr>
          <w:rFonts w:hint="eastAsia"/>
          <w:color w:val="auto"/>
          <w:szCs w:val="21"/>
          <w:lang w:val="en-US" w:eastAsia="zh-CN"/>
        </w:rPr>
        <w:t>单位</w:t>
      </w:r>
      <w:r>
        <w:rPr>
          <w:rFonts w:hint="eastAsia"/>
          <w:color w:val="auto"/>
          <w:szCs w:val="21"/>
        </w:rPr>
        <w:t>有关规定和收费标准。</w:t>
      </w:r>
    </w:p>
    <w:p w14:paraId="5D9C0358">
      <w:pPr>
        <w:pageBreakBefore w:val="0"/>
        <w:topLinePunct w:val="0"/>
        <w:bidi w:val="0"/>
        <w:spacing w:line="500" w:lineRule="exact"/>
        <w:ind w:left="0" w:leftChars="0" w:right="0" w:rightChars="0" w:firstLine="440" w:firstLineChars="200"/>
        <w:rPr>
          <w:color w:val="auto"/>
          <w:szCs w:val="21"/>
        </w:rPr>
      </w:pPr>
      <w:r>
        <w:rPr>
          <w:rFonts w:hint="eastAsia"/>
          <w:color w:val="auto"/>
          <w:szCs w:val="21"/>
          <w:lang w:val="en-US"/>
        </w:rPr>
        <w:t>6</w:t>
      </w:r>
      <w:r>
        <w:rPr>
          <w:rFonts w:hint="eastAsia"/>
          <w:color w:val="auto"/>
          <w:szCs w:val="21"/>
          <w:lang w:val="en-US" w:eastAsia="zh-CN"/>
        </w:rPr>
        <w:t>.</w:t>
      </w:r>
      <w:r>
        <w:rPr>
          <w:rFonts w:hint="eastAsia"/>
          <w:color w:val="auto"/>
          <w:szCs w:val="21"/>
        </w:rPr>
        <w:t>我方的投标文件有效期为自投标文件递交截止之日起</w:t>
      </w:r>
      <w:r>
        <w:rPr>
          <w:rFonts w:hint="eastAsia"/>
          <w:color w:val="auto"/>
          <w:szCs w:val="21"/>
          <w:u w:val="single"/>
        </w:rPr>
        <w:t xml:space="preserve">       </w:t>
      </w:r>
      <w:r>
        <w:rPr>
          <w:rFonts w:hint="eastAsia"/>
          <w:color w:val="auto"/>
          <w:szCs w:val="21"/>
        </w:rPr>
        <w:t>日历天。</w:t>
      </w:r>
    </w:p>
    <w:p w14:paraId="2E7A84DA">
      <w:pPr>
        <w:pageBreakBefore w:val="0"/>
        <w:topLinePunct w:val="0"/>
        <w:bidi w:val="0"/>
        <w:spacing w:line="500" w:lineRule="exact"/>
        <w:ind w:left="0" w:leftChars="0" w:right="0" w:rightChars="0" w:firstLine="440" w:firstLineChars="200"/>
        <w:rPr>
          <w:color w:val="auto"/>
          <w:szCs w:val="21"/>
        </w:rPr>
      </w:pPr>
      <w:r>
        <w:rPr>
          <w:rFonts w:hint="eastAsia"/>
          <w:color w:val="auto"/>
          <w:szCs w:val="21"/>
          <w:lang w:val="en-US"/>
        </w:rPr>
        <w:t>7</w:t>
      </w:r>
      <w:r>
        <w:rPr>
          <w:rFonts w:hint="eastAsia"/>
          <w:color w:val="auto"/>
          <w:szCs w:val="21"/>
          <w:lang w:val="en-US" w:eastAsia="zh-CN"/>
        </w:rPr>
        <w:t>.</w:t>
      </w:r>
      <w:r>
        <w:rPr>
          <w:rFonts w:hint="eastAsia"/>
          <w:color w:val="auto"/>
          <w:szCs w:val="21"/>
        </w:rPr>
        <w:t>所有关于本投标文件的函电，请按下列地址联系。</w:t>
      </w:r>
    </w:p>
    <w:p w14:paraId="5A7DE013">
      <w:pPr>
        <w:pageBreakBefore w:val="0"/>
        <w:topLinePunct w:val="0"/>
        <w:bidi w:val="0"/>
        <w:spacing w:line="500" w:lineRule="exact"/>
        <w:ind w:left="0" w:leftChars="0" w:right="0" w:rightChars="0" w:firstLine="440" w:firstLineChars="200"/>
        <w:rPr>
          <w:color w:val="auto"/>
          <w:szCs w:val="21"/>
          <w:u w:val="single"/>
        </w:rPr>
      </w:pPr>
      <w:r>
        <w:rPr>
          <w:rFonts w:hint="eastAsia"/>
          <w:color w:val="auto"/>
          <w:szCs w:val="21"/>
        </w:rPr>
        <w:t>地    址：</w:t>
      </w:r>
      <w:r>
        <w:rPr>
          <w:rFonts w:hint="eastAsia"/>
          <w:color w:val="auto"/>
          <w:szCs w:val="21"/>
          <w:u w:val="single"/>
        </w:rPr>
        <w:t xml:space="preserve">                              </w:t>
      </w:r>
    </w:p>
    <w:p w14:paraId="4D35E7EF">
      <w:pPr>
        <w:pageBreakBefore w:val="0"/>
        <w:topLinePunct w:val="0"/>
        <w:bidi w:val="0"/>
        <w:spacing w:line="500" w:lineRule="exact"/>
        <w:ind w:left="0" w:leftChars="0" w:right="0" w:rightChars="0" w:firstLine="440" w:firstLineChars="200"/>
        <w:rPr>
          <w:color w:val="auto"/>
          <w:szCs w:val="21"/>
          <w:u w:val="single"/>
        </w:rPr>
      </w:pPr>
      <w:r>
        <w:rPr>
          <w:rFonts w:hint="eastAsia"/>
          <w:color w:val="auto"/>
          <w:szCs w:val="21"/>
        </w:rPr>
        <w:t>开 户 行：</w:t>
      </w:r>
      <w:r>
        <w:rPr>
          <w:rFonts w:hint="eastAsia"/>
          <w:color w:val="auto"/>
          <w:szCs w:val="21"/>
          <w:u w:val="single"/>
        </w:rPr>
        <w:t xml:space="preserve">                              </w:t>
      </w:r>
    </w:p>
    <w:p w14:paraId="17BCA6DD">
      <w:pPr>
        <w:pageBreakBefore w:val="0"/>
        <w:topLinePunct w:val="0"/>
        <w:bidi w:val="0"/>
        <w:spacing w:line="500" w:lineRule="exact"/>
        <w:ind w:left="0" w:leftChars="0" w:right="0" w:rightChars="0" w:firstLine="440" w:firstLineChars="200"/>
        <w:rPr>
          <w:color w:val="auto"/>
          <w:szCs w:val="21"/>
        </w:rPr>
      </w:pPr>
      <w:r>
        <w:rPr>
          <w:rFonts w:hint="eastAsia"/>
          <w:color w:val="auto"/>
          <w:szCs w:val="21"/>
        </w:rPr>
        <w:t>帐    号：</w:t>
      </w:r>
      <w:r>
        <w:rPr>
          <w:rFonts w:hint="eastAsia"/>
          <w:color w:val="auto"/>
          <w:szCs w:val="21"/>
          <w:u w:val="single"/>
        </w:rPr>
        <w:t xml:space="preserve">                              </w:t>
      </w:r>
    </w:p>
    <w:p w14:paraId="413DF7C7">
      <w:pPr>
        <w:pageBreakBefore w:val="0"/>
        <w:topLinePunct w:val="0"/>
        <w:bidi w:val="0"/>
        <w:spacing w:line="500" w:lineRule="exact"/>
        <w:ind w:left="0" w:leftChars="0" w:right="0" w:rightChars="0" w:firstLine="440" w:firstLineChars="200"/>
        <w:rPr>
          <w:color w:val="auto"/>
          <w:szCs w:val="21"/>
        </w:rPr>
      </w:pPr>
      <w:r>
        <w:rPr>
          <w:rFonts w:hint="eastAsia"/>
          <w:color w:val="auto"/>
          <w:szCs w:val="21"/>
        </w:rPr>
        <w:t>电    话：</w:t>
      </w:r>
      <w:r>
        <w:rPr>
          <w:rFonts w:hint="eastAsia"/>
          <w:color w:val="auto"/>
          <w:szCs w:val="21"/>
          <w:u w:val="single"/>
        </w:rPr>
        <w:t xml:space="preserve">                              </w:t>
      </w:r>
    </w:p>
    <w:p w14:paraId="2B6B76C7">
      <w:pPr>
        <w:pageBreakBefore w:val="0"/>
        <w:topLinePunct w:val="0"/>
        <w:bidi w:val="0"/>
        <w:spacing w:line="500" w:lineRule="exact"/>
        <w:ind w:left="0" w:leftChars="0" w:right="0" w:rightChars="0" w:firstLine="440" w:firstLineChars="200"/>
        <w:rPr>
          <w:color w:val="auto"/>
          <w:szCs w:val="21"/>
        </w:rPr>
      </w:pPr>
      <w:r>
        <w:rPr>
          <w:rFonts w:hint="eastAsia"/>
          <w:color w:val="auto"/>
          <w:szCs w:val="21"/>
        </w:rPr>
        <w:t>传    真：</w:t>
      </w:r>
      <w:r>
        <w:rPr>
          <w:rFonts w:hint="eastAsia"/>
          <w:color w:val="auto"/>
          <w:szCs w:val="21"/>
          <w:u w:val="single"/>
        </w:rPr>
        <w:t xml:space="preserve">                              </w:t>
      </w:r>
    </w:p>
    <w:p w14:paraId="0C4D3BC5">
      <w:pPr>
        <w:pageBreakBefore w:val="0"/>
        <w:topLinePunct w:val="0"/>
        <w:bidi w:val="0"/>
        <w:spacing w:line="500" w:lineRule="exact"/>
        <w:ind w:left="0" w:leftChars="0" w:right="0" w:rightChars="0" w:firstLine="440" w:firstLineChars="200"/>
        <w:rPr>
          <w:color w:val="auto"/>
          <w:szCs w:val="21"/>
          <w:u w:val="single"/>
        </w:rPr>
      </w:pPr>
      <w:r>
        <w:rPr>
          <w:rFonts w:hint="eastAsia"/>
          <w:color w:val="auto"/>
          <w:szCs w:val="21"/>
        </w:rPr>
        <w:t>邮    编：</w:t>
      </w:r>
      <w:r>
        <w:rPr>
          <w:rFonts w:hint="eastAsia"/>
          <w:color w:val="auto"/>
          <w:szCs w:val="21"/>
          <w:u w:val="single"/>
        </w:rPr>
        <w:t xml:space="preserve">                              </w:t>
      </w:r>
    </w:p>
    <w:p w14:paraId="7D171713">
      <w:pPr>
        <w:pStyle w:val="8"/>
        <w:pageBreakBefore w:val="0"/>
        <w:topLinePunct w:val="0"/>
        <w:bidi w:val="0"/>
        <w:spacing w:line="500" w:lineRule="exact"/>
        <w:ind w:left="0" w:leftChars="0" w:right="0" w:rightChars="0" w:firstLine="400" w:firstLineChars="200"/>
        <w:rPr>
          <w:color w:val="auto"/>
          <w:szCs w:val="21"/>
          <w:u w:val="single"/>
        </w:rPr>
      </w:pPr>
    </w:p>
    <w:p w14:paraId="5973C1A4">
      <w:pPr>
        <w:pStyle w:val="8"/>
        <w:pageBreakBefore w:val="0"/>
        <w:topLinePunct w:val="0"/>
        <w:bidi w:val="0"/>
        <w:spacing w:line="500" w:lineRule="exact"/>
        <w:ind w:left="0" w:leftChars="0" w:right="0" w:rightChars="0" w:firstLine="400" w:firstLineChars="200"/>
        <w:rPr>
          <w:color w:val="auto"/>
          <w:szCs w:val="21"/>
          <w:u w:val="single"/>
        </w:rPr>
      </w:pPr>
    </w:p>
    <w:p w14:paraId="576A2792">
      <w:pPr>
        <w:pStyle w:val="8"/>
        <w:pageBreakBefore w:val="0"/>
        <w:topLinePunct w:val="0"/>
        <w:bidi w:val="0"/>
        <w:spacing w:line="500" w:lineRule="exact"/>
        <w:ind w:left="0" w:leftChars="0" w:right="0" w:rightChars="0" w:firstLine="400" w:firstLineChars="200"/>
        <w:rPr>
          <w:color w:val="auto"/>
          <w:szCs w:val="21"/>
          <w:u w:val="single"/>
        </w:rPr>
      </w:pPr>
    </w:p>
    <w:p w14:paraId="4388C3ED">
      <w:pPr>
        <w:pageBreakBefore w:val="0"/>
        <w:topLinePunct w:val="0"/>
        <w:bidi w:val="0"/>
        <w:spacing w:line="500" w:lineRule="exact"/>
        <w:ind w:left="0" w:leftChars="0" w:right="0" w:rightChars="0" w:firstLine="440" w:firstLineChars="200"/>
        <w:rPr>
          <w:color w:val="auto"/>
          <w:szCs w:val="21"/>
        </w:rPr>
      </w:pPr>
    </w:p>
    <w:p w14:paraId="3C57E3D5">
      <w:pPr>
        <w:pageBreakBefore w:val="0"/>
        <w:topLinePunct w:val="0"/>
        <w:bidi w:val="0"/>
        <w:spacing w:line="500" w:lineRule="exact"/>
        <w:ind w:left="0" w:leftChars="0" w:right="0" w:rightChars="0" w:firstLine="440" w:firstLineChars="200"/>
        <w:rPr>
          <w:color w:val="auto"/>
          <w:szCs w:val="21"/>
        </w:rPr>
      </w:pPr>
      <w:r>
        <w:rPr>
          <w:rFonts w:hint="eastAsia"/>
          <w:color w:val="auto"/>
          <w:szCs w:val="21"/>
          <w:lang w:eastAsia="zh-CN"/>
        </w:rPr>
        <w:t>供应商</w:t>
      </w:r>
      <w:r>
        <w:rPr>
          <w:rFonts w:hint="eastAsia"/>
          <w:color w:val="auto"/>
          <w:szCs w:val="21"/>
        </w:rPr>
        <w:t>名称：（公章）</w:t>
      </w:r>
    </w:p>
    <w:p w14:paraId="4DAF48D7">
      <w:pPr>
        <w:pageBreakBefore w:val="0"/>
        <w:topLinePunct w:val="0"/>
        <w:bidi w:val="0"/>
        <w:spacing w:line="500" w:lineRule="exact"/>
        <w:ind w:left="0" w:leftChars="0" w:right="0" w:rightChars="0" w:firstLine="440" w:firstLineChars="200"/>
        <w:rPr>
          <w:rFonts w:hint="eastAsia"/>
          <w:color w:val="auto"/>
          <w:szCs w:val="21"/>
          <w:lang w:val="zh-CN" w:eastAsia="zh-CN"/>
        </w:rPr>
      </w:pPr>
      <w:r>
        <w:rPr>
          <w:rFonts w:hint="eastAsia"/>
          <w:color w:val="auto"/>
          <w:szCs w:val="21"/>
          <w:lang w:val="en-US" w:eastAsia="zh-CN"/>
        </w:rPr>
        <w:t>法定代表人或授权委托人（签字或盖章）：</w:t>
      </w:r>
    </w:p>
    <w:p w14:paraId="1AE373FF">
      <w:pPr>
        <w:pageBreakBefore w:val="0"/>
        <w:topLinePunct w:val="0"/>
        <w:bidi w:val="0"/>
        <w:spacing w:line="500" w:lineRule="exact"/>
        <w:ind w:left="0" w:leftChars="0" w:right="0" w:rightChars="0" w:firstLine="440" w:firstLineChars="200"/>
        <w:rPr>
          <w:color w:val="auto"/>
          <w:szCs w:val="21"/>
        </w:rPr>
      </w:pPr>
      <w:r>
        <w:rPr>
          <w:rFonts w:hint="eastAsia"/>
          <w:color w:val="auto"/>
          <w:szCs w:val="21"/>
        </w:rPr>
        <w:t>日期：    年    月    日</w:t>
      </w:r>
    </w:p>
    <w:p w14:paraId="261CC460">
      <w:pPr>
        <w:pStyle w:val="4"/>
        <w:pageBreakBefore w:val="0"/>
        <w:topLinePunct w:val="0"/>
        <w:bidi w:val="0"/>
        <w:spacing w:before="0" w:line="500" w:lineRule="exact"/>
        <w:ind w:left="0" w:leftChars="0" w:right="0" w:rightChars="0" w:firstLine="643" w:firstLineChars="200"/>
        <w:rPr>
          <w:b/>
          <w:color w:val="auto"/>
          <w:sz w:val="32"/>
        </w:rPr>
      </w:pPr>
      <w:r>
        <w:rPr>
          <w:color w:val="auto"/>
        </w:rPr>
        <w:br w:type="page"/>
      </w:r>
      <w:r>
        <w:rPr>
          <w:color w:val="auto"/>
        </w:rPr>
        <w:t>第二部分 开标一览表（报价表）</w:t>
      </w:r>
    </w:p>
    <w:p w14:paraId="0A0B72C0">
      <w:pPr>
        <w:pStyle w:val="12"/>
        <w:pageBreakBefore w:val="0"/>
        <w:topLinePunct w:val="0"/>
        <w:bidi w:val="0"/>
        <w:spacing w:line="500" w:lineRule="exact"/>
        <w:ind w:left="0" w:leftChars="0" w:right="0" w:rightChars="0" w:firstLine="643" w:firstLineChars="200"/>
        <w:jc w:val="center"/>
        <w:rPr>
          <w:rFonts w:hint="eastAsia"/>
          <w:b/>
          <w:bCs/>
          <w:color w:val="auto"/>
          <w:sz w:val="32"/>
          <w:szCs w:val="32"/>
          <w:lang w:val="en-US" w:eastAsia="zh-CN"/>
        </w:rPr>
      </w:pPr>
      <w:r>
        <w:rPr>
          <w:rFonts w:hint="eastAsia"/>
          <w:b/>
          <w:bCs/>
          <w:color w:val="auto"/>
          <w:sz w:val="32"/>
          <w:szCs w:val="32"/>
          <w:lang w:val="en-US" w:eastAsia="zh-CN"/>
        </w:rPr>
        <w:t>合同包一</w:t>
      </w:r>
    </w:p>
    <w:p w14:paraId="515C69A4">
      <w:pPr>
        <w:pStyle w:val="12"/>
        <w:pageBreakBefore w:val="0"/>
        <w:topLinePunct w:val="0"/>
        <w:bidi w:val="0"/>
        <w:spacing w:line="500" w:lineRule="exact"/>
        <w:ind w:left="0" w:leftChars="0" w:right="0" w:rightChars="0" w:firstLine="480" w:firstLineChars="200"/>
        <w:rPr>
          <w:rFonts w:hint="default" w:eastAsia="宋体"/>
          <w:color w:val="auto"/>
          <w:sz w:val="12"/>
          <w:lang w:val="en-US" w:eastAsia="zh-CN"/>
        </w:rPr>
      </w:pPr>
      <w:r>
        <w:rPr>
          <w:color w:val="auto"/>
        </w:rPr>
        <w:t>项目名称：</w:t>
      </w:r>
      <w:r>
        <w:rPr>
          <w:rFonts w:hint="eastAsia"/>
          <w:color w:val="auto"/>
          <w:lang w:val="en-US" w:eastAsia="zh-CN"/>
        </w:rPr>
        <w:t xml:space="preserve">                                                    </w:t>
      </w:r>
    </w:p>
    <w:tbl>
      <w:tblPr>
        <w:tblStyle w:val="23"/>
        <w:tblpPr w:leftFromText="180" w:rightFromText="180" w:vertAnchor="text" w:horzAnchor="page" w:tblpX="1163" w:tblpY="274"/>
        <w:tblOverlap w:val="never"/>
        <w:tblW w:w="967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51"/>
        <w:gridCol w:w="3041"/>
        <w:gridCol w:w="1710"/>
        <w:gridCol w:w="1844"/>
        <w:gridCol w:w="1131"/>
      </w:tblGrid>
      <w:tr w14:paraId="1699F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1951" w:type="dxa"/>
          </w:tcPr>
          <w:p w14:paraId="164DD7CC">
            <w:pPr>
              <w:pageBreakBefore w:val="0"/>
              <w:topLinePunct w:val="0"/>
              <w:bidi w:val="0"/>
              <w:spacing w:line="240" w:lineRule="auto"/>
              <w:ind w:left="0" w:leftChars="0" w:right="0" w:rightChars="0" w:firstLine="480" w:firstLineChars="200"/>
              <w:jc w:val="center"/>
              <w:rPr>
                <w:color w:val="auto"/>
                <w:sz w:val="24"/>
                <w:szCs w:val="24"/>
              </w:rPr>
            </w:pPr>
            <w:r>
              <w:rPr>
                <w:color w:val="auto"/>
                <w:sz w:val="24"/>
                <w:szCs w:val="24"/>
                <w:lang w:val="en-US" w:bidi="ar-SA"/>
              </w:rPr>
              <mc:AlternateContent>
                <mc:Choice Requires="wps">
                  <w:drawing>
                    <wp:anchor distT="0" distB="0" distL="114300" distR="114300" simplePos="0" relativeHeight="251683840" behindDoc="0" locked="0" layoutInCell="1" allowOverlap="1">
                      <wp:simplePos x="0" y="0"/>
                      <wp:positionH relativeFrom="column">
                        <wp:posOffset>31115</wp:posOffset>
                      </wp:positionH>
                      <wp:positionV relativeFrom="paragraph">
                        <wp:posOffset>22860</wp:posOffset>
                      </wp:positionV>
                      <wp:extent cx="1180465" cy="547370"/>
                      <wp:effectExtent l="1905" t="4445" r="17780" b="19685"/>
                      <wp:wrapNone/>
                      <wp:docPr id="6" name="直线 23"/>
                      <wp:cNvGraphicFramePr/>
                      <a:graphic xmlns:a="http://schemas.openxmlformats.org/drawingml/2006/main">
                        <a:graphicData uri="http://schemas.microsoft.com/office/word/2010/wordprocessingShape">
                          <wps:wsp>
                            <wps:cNvCnPr/>
                            <wps:spPr>
                              <a:xfrm>
                                <a:off x="0" y="0"/>
                                <a:ext cx="1180465" cy="54737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23" o:spid="_x0000_s1026" o:spt="20" style="position:absolute;left:0pt;margin-left:2.45pt;margin-top:1.8pt;height:43.1pt;width:92.95pt;z-index:251683840;mso-width-relative:page;mso-height-relative:page;" filled="f" stroked="t" coordsize="21600,21600" o:gfxdata="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C1OF3zVAAAA&#10;BgEAAA8AAAAAAAAAAQAgAAAAIgAAAGRycy9kb3ducmV2LnhtbFBLAQIUABQAAAAIAIdO4kCAoRV5&#10;5wEAANUDAAAOAAAAAAAAAAEAIAAAACQBAABkcnMvZTJvRG9jLnhtbFBLBQYAAAAABgAGAFkBAAB9&#10;BQAAAAA=&#10;">
                      <v:fill on="f" focussize="0,0"/>
                      <v:stroke color="#000000" joinstyle="round"/>
                      <v:imagedata o:title=""/>
                      <o:lock v:ext="edit" aspectratio="f"/>
                    </v:line>
                  </w:pict>
                </mc:Fallback>
              </mc:AlternateContent>
            </w:r>
            <w:r>
              <w:rPr>
                <w:rFonts w:hint="eastAsia"/>
                <w:color w:val="auto"/>
                <w:sz w:val="24"/>
                <w:szCs w:val="24"/>
                <w:lang w:val="en-US"/>
              </w:rPr>
              <w:t xml:space="preserve">    </w:t>
            </w:r>
            <w:r>
              <w:rPr>
                <w:rFonts w:hint="eastAsia"/>
                <w:color w:val="auto"/>
                <w:sz w:val="24"/>
                <w:szCs w:val="24"/>
              </w:rPr>
              <w:t>报价内容</w:t>
            </w:r>
          </w:p>
          <w:p w14:paraId="5DBFC1E0">
            <w:pPr>
              <w:pageBreakBefore w:val="0"/>
              <w:topLinePunct w:val="0"/>
              <w:bidi w:val="0"/>
              <w:spacing w:line="240" w:lineRule="auto"/>
              <w:ind w:right="0" w:rightChars="0"/>
              <w:jc w:val="both"/>
              <w:rPr>
                <w:rFonts w:hint="eastAsia"/>
                <w:color w:val="auto"/>
                <w:sz w:val="24"/>
                <w:szCs w:val="24"/>
              </w:rPr>
            </w:pPr>
          </w:p>
          <w:p w14:paraId="562A03D4">
            <w:pPr>
              <w:pageBreakBefore w:val="0"/>
              <w:topLinePunct w:val="0"/>
              <w:bidi w:val="0"/>
              <w:spacing w:line="240" w:lineRule="auto"/>
              <w:ind w:right="0" w:rightChars="0"/>
              <w:jc w:val="both"/>
              <w:rPr>
                <w:color w:val="auto"/>
                <w:sz w:val="24"/>
                <w:szCs w:val="24"/>
              </w:rPr>
            </w:pPr>
            <w:r>
              <w:rPr>
                <w:rFonts w:hint="eastAsia"/>
                <w:color w:val="auto"/>
                <w:sz w:val="24"/>
                <w:szCs w:val="24"/>
              </w:rPr>
              <w:t>投标内容</w:t>
            </w:r>
          </w:p>
        </w:tc>
        <w:tc>
          <w:tcPr>
            <w:tcW w:w="3041" w:type="dxa"/>
            <w:tcBorders>
              <w:right w:val="single" w:color="000000" w:sz="4" w:space="0"/>
            </w:tcBorders>
            <w:vAlign w:val="center"/>
          </w:tcPr>
          <w:p w14:paraId="0F82AE1E">
            <w:pPr>
              <w:pageBreakBefore w:val="0"/>
              <w:topLinePunct w:val="0"/>
              <w:bidi w:val="0"/>
              <w:spacing w:line="240" w:lineRule="auto"/>
              <w:ind w:left="0" w:leftChars="0" w:right="0" w:rightChars="0" w:firstLine="960" w:firstLineChars="400"/>
              <w:jc w:val="both"/>
              <w:rPr>
                <w:rFonts w:hint="default"/>
                <w:color w:val="auto"/>
                <w:sz w:val="24"/>
                <w:szCs w:val="24"/>
                <w:lang w:val="en-US" w:eastAsia="zh-CN"/>
              </w:rPr>
            </w:pPr>
            <w:r>
              <w:rPr>
                <w:rFonts w:hint="eastAsia"/>
                <w:color w:val="auto"/>
                <w:sz w:val="24"/>
                <w:szCs w:val="24"/>
                <w:lang w:val="en-US" w:eastAsia="zh-CN"/>
              </w:rPr>
              <w:t>所投产品</w:t>
            </w:r>
          </w:p>
        </w:tc>
        <w:tc>
          <w:tcPr>
            <w:tcW w:w="1710" w:type="dxa"/>
            <w:tcBorders>
              <w:left w:val="single" w:color="000000" w:sz="4" w:space="0"/>
              <w:right w:val="single" w:color="000000" w:sz="4" w:space="0"/>
            </w:tcBorders>
            <w:vAlign w:val="center"/>
          </w:tcPr>
          <w:p w14:paraId="2A6385DF">
            <w:pPr>
              <w:pageBreakBefore w:val="0"/>
              <w:topLinePunct w:val="0"/>
              <w:bidi w:val="0"/>
              <w:spacing w:line="240" w:lineRule="auto"/>
              <w:ind w:right="0" w:rightChars="0"/>
              <w:jc w:val="center"/>
              <w:rPr>
                <w:rFonts w:hint="default" w:eastAsia="宋体"/>
                <w:color w:val="auto"/>
                <w:sz w:val="24"/>
                <w:szCs w:val="24"/>
                <w:lang w:val="en-US" w:eastAsia="zh-CN"/>
              </w:rPr>
            </w:pPr>
            <w:r>
              <w:rPr>
                <w:rFonts w:hint="default" w:eastAsia="宋体"/>
                <w:color w:val="auto"/>
                <w:sz w:val="24"/>
                <w:szCs w:val="24"/>
                <w:lang w:val="en-US" w:eastAsia="zh-CN"/>
              </w:rPr>
              <w:t>投标单价</w:t>
            </w:r>
          </w:p>
          <w:p w14:paraId="5059E651">
            <w:pPr>
              <w:pageBreakBefore w:val="0"/>
              <w:topLinePunct w:val="0"/>
              <w:bidi w:val="0"/>
              <w:spacing w:line="240" w:lineRule="auto"/>
              <w:ind w:right="0" w:rightChars="0"/>
              <w:jc w:val="center"/>
              <w:rPr>
                <w:rFonts w:hint="default" w:eastAsia="宋体"/>
                <w:color w:val="auto"/>
                <w:sz w:val="24"/>
                <w:szCs w:val="24"/>
                <w:lang w:val="en-US" w:eastAsia="zh-CN"/>
              </w:rPr>
            </w:pPr>
            <w:r>
              <w:rPr>
                <w:rFonts w:hint="eastAsia"/>
                <w:color w:val="auto"/>
                <w:sz w:val="24"/>
                <w:szCs w:val="24"/>
                <w:lang w:val="en-US" w:eastAsia="zh-CN"/>
              </w:rPr>
              <w:t>（元）</w:t>
            </w:r>
          </w:p>
        </w:tc>
        <w:tc>
          <w:tcPr>
            <w:tcW w:w="1844" w:type="dxa"/>
            <w:tcBorders>
              <w:left w:val="single" w:color="000000" w:sz="4" w:space="0"/>
              <w:right w:val="single" w:color="000000" w:sz="4" w:space="0"/>
            </w:tcBorders>
            <w:vAlign w:val="center"/>
          </w:tcPr>
          <w:p w14:paraId="7028E42A">
            <w:pPr>
              <w:pageBreakBefore w:val="0"/>
              <w:topLinePunct w:val="0"/>
              <w:bidi w:val="0"/>
              <w:spacing w:line="240" w:lineRule="auto"/>
              <w:ind w:right="0" w:rightChars="0"/>
              <w:jc w:val="center"/>
              <w:rPr>
                <w:rFonts w:hint="eastAsia"/>
                <w:color w:val="auto"/>
                <w:sz w:val="24"/>
                <w:szCs w:val="24"/>
              </w:rPr>
            </w:pPr>
            <w:r>
              <w:rPr>
                <w:rFonts w:hint="eastAsia"/>
                <w:color w:val="auto"/>
                <w:sz w:val="24"/>
                <w:szCs w:val="24"/>
              </w:rPr>
              <w:t>投标报价</w:t>
            </w:r>
          </w:p>
          <w:p w14:paraId="691DDD80">
            <w:pPr>
              <w:pageBreakBefore w:val="0"/>
              <w:topLinePunct w:val="0"/>
              <w:bidi w:val="0"/>
              <w:spacing w:line="240" w:lineRule="auto"/>
              <w:ind w:right="0" w:rightChars="0"/>
              <w:jc w:val="center"/>
              <w:rPr>
                <w:rFonts w:hint="default" w:eastAsia="宋体"/>
                <w:color w:val="auto"/>
                <w:sz w:val="24"/>
                <w:szCs w:val="24"/>
                <w:lang w:val="en-US" w:eastAsia="zh-CN"/>
              </w:rPr>
            </w:pPr>
            <w:r>
              <w:rPr>
                <w:rFonts w:hint="eastAsia"/>
                <w:color w:val="auto"/>
                <w:sz w:val="24"/>
                <w:szCs w:val="24"/>
                <w:lang w:eastAsia="zh-CN"/>
              </w:rPr>
              <w:t>（</w:t>
            </w:r>
            <w:r>
              <w:rPr>
                <w:rFonts w:hint="eastAsia"/>
                <w:color w:val="auto"/>
                <w:sz w:val="24"/>
                <w:szCs w:val="24"/>
                <w:lang w:val="en-US" w:eastAsia="zh-CN"/>
              </w:rPr>
              <w:t>元</w:t>
            </w:r>
            <w:r>
              <w:rPr>
                <w:rFonts w:hint="eastAsia"/>
                <w:color w:val="auto"/>
                <w:sz w:val="24"/>
                <w:szCs w:val="24"/>
                <w:lang w:eastAsia="zh-CN"/>
              </w:rPr>
              <w:t>）</w:t>
            </w:r>
          </w:p>
        </w:tc>
        <w:tc>
          <w:tcPr>
            <w:tcW w:w="1131" w:type="dxa"/>
            <w:tcBorders>
              <w:left w:val="single" w:color="000000" w:sz="4" w:space="0"/>
            </w:tcBorders>
            <w:vAlign w:val="center"/>
          </w:tcPr>
          <w:p w14:paraId="595F6EA4">
            <w:pPr>
              <w:pageBreakBefore w:val="0"/>
              <w:topLinePunct w:val="0"/>
              <w:bidi w:val="0"/>
              <w:spacing w:line="240" w:lineRule="auto"/>
              <w:ind w:right="0" w:rightChars="0"/>
              <w:jc w:val="center"/>
              <w:rPr>
                <w:rFonts w:hint="default" w:eastAsia="宋体"/>
                <w:color w:val="auto"/>
                <w:sz w:val="24"/>
                <w:szCs w:val="24"/>
                <w:lang w:val="en-US" w:eastAsia="zh-CN"/>
              </w:rPr>
            </w:pPr>
            <w:r>
              <w:rPr>
                <w:rFonts w:hint="eastAsia"/>
                <w:color w:val="auto"/>
                <w:sz w:val="24"/>
                <w:szCs w:val="24"/>
                <w:lang w:val="en-US" w:eastAsia="zh-CN"/>
              </w:rPr>
              <w:t>供货期</w:t>
            </w:r>
          </w:p>
        </w:tc>
      </w:tr>
      <w:tr w14:paraId="405D6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7" w:hRule="atLeast"/>
        </w:trPr>
        <w:tc>
          <w:tcPr>
            <w:tcW w:w="1951" w:type="dxa"/>
            <w:vAlign w:val="center"/>
          </w:tcPr>
          <w:p w14:paraId="5752AE97">
            <w:pPr>
              <w:pageBreakBefore w:val="0"/>
              <w:topLinePunct w:val="0"/>
              <w:bidi w:val="0"/>
              <w:spacing w:line="240" w:lineRule="auto"/>
              <w:ind w:left="0" w:leftChars="0" w:right="0" w:rightChars="0" w:firstLine="720" w:firstLineChars="300"/>
              <w:jc w:val="both"/>
              <w:rPr>
                <w:rFonts w:hint="eastAsia" w:eastAsia="宋体"/>
                <w:color w:val="auto"/>
                <w:sz w:val="24"/>
                <w:szCs w:val="24"/>
                <w:lang w:val="en-US" w:eastAsia="zh-CN"/>
              </w:rPr>
            </w:pPr>
            <w:r>
              <w:rPr>
                <w:rFonts w:hint="eastAsia"/>
                <w:color w:val="auto"/>
                <w:sz w:val="24"/>
                <w:szCs w:val="24"/>
                <w:lang w:val="en-US" w:eastAsia="zh-CN"/>
              </w:rPr>
              <w:t>大米</w:t>
            </w:r>
          </w:p>
          <w:p w14:paraId="2EBACE0F">
            <w:pPr>
              <w:pageBreakBefore w:val="0"/>
              <w:topLinePunct w:val="0"/>
              <w:bidi w:val="0"/>
              <w:spacing w:line="240" w:lineRule="auto"/>
              <w:ind w:right="0" w:rightChars="0"/>
              <w:jc w:val="center"/>
              <w:rPr>
                <w:color w:val="auto"/>
                <w:sz w:val="24"/>
                <w:szCs w:val="24"/>
              </w:rPr>
            </w:pPr>
            <w:r>
              <w:rPr>
                <w:rFonts w:hint="eastAsia"/>
                <w:color w:val="auto"/>
                <w:sz w:val="24"/>
                <w:szCs w:val="24"/>
              </w:rPr>
              <w:t>（元/千克）</w:t>
            </w:r>
          </w:p>
        </w:tc>
        <w:tc>
          <w:tcPr>
            <w:tcW w:w="3041" w:type="dxa"/>
            <w:tcBorders>
              <w:right w:val="single" w:color="000000" w:sz="4" w:space="0"/>
            </w:tcBorders>
          </w:tcPr>
          <w:p w14:paraId="6B20FB39">
            <w:pPr>
              <w:pageBreakBefore w:val="0"/>
              <w:topLinePunct w:val="0"/>
              <w:bidi w:val="0"/>
              <w:spacing w:line="240" w:lineRule="auto"/>
              <w:ind w:right="0" w:rightChars="0"/>
              <w:jc w:val="left"/>
              <w:rPr>
                <w:rFonts w:hint="eastAsia"/>
                <w:color w:val="auto"/>
                <w:sz w:val="24"/>
                <w:szCs w:val="24"/>
                <w:lang w:val="en-US" w:eastAsia="zh-CN"/>
              </w:rPr>
            </w:pPr>
            <w:r>
              <w:rPr>
                <w:rFonts w:hint="eastAsia"/>
                <w:color w:val="auto"/>
                <w:sz w:val="24"/>
                <w:szCs w:val="24"/>
                <w:lang w:val="en-US" w:eastAsia="zh-CN"/>
              </w:rPr>
              <w:t>品  牌：</w:t>
            </w:r>
          </w:p>
          <w:p w14:paraId="48BEE2A4">
            <w:pPr>
              <w:pageBreakBefore w:val="0"/>
              <w:topLinePunct w:val="0"/>
              <w:bidi w:val="0"/>
              <w:spacing w:line="240" w:lineRule="auto"/>
              <w:ind w:right="0" w:rightChars="0"/>
              <w:jc w:val="left"/>
              <w:rPr>
                <w:rFonts w:hint="eastAsia"/>
                <w:color w:val="auto"/>
                <w:sz w:val="24"/>
                <w:szCs w:val="24"/>
                <w:lang w:val="en-US" w:eastAsia="zh-CN"/>
              </w:rPr>
            </w:pPr>
            <w:r>
              <w:rPr>
                <w:rFonts w:hint="eastAsia"/>
                <w:color w:val="auto"/>
                <w:sz w:val="24"/>
                <w:szCs w:val="24"/>
                <w:lang w:val="en-US" w:eastAsia="zh-CN"/>
              </w:rPr>
              <w:t>生产商：</w:t>
            </w:r>
          </w:p>
        </w:tc>
        <w:tc>
          <w:tcPr>
            <w:tcW w:w="1710" w:type="dxa"/>
            <w:tcBorders>
              <w:left w:val="single" w:color="000000" w:sz="4" w:space="0"/>
              <w:right w:val="single" w:color="000000" w:sz="4" w:space="0"/>
            </w:tcBorders>
            <w:vAlign w:val="top"/>
          </w:tcPr>
          <w:p w14:paraId="55103186">
            <w:pPr>
              <w:pageBreakBefore w:val="0"/>
              <w:topLinePunct w:val="0"/>
              <w:bidi w:val="0"/>
              <w:spacing w:line="240" w:lineRule="auto"/>
              <w:ind w:left="0" w:leftChars="0" w:right="0" w:rightChars="0" w:firstLine="480" w:firstLineChars="200"/>
              <w:jc w:val="both"/>
              <w:rPr>
                <w:color w:val="auto"/>
                <w:sz w:val="24"/>
                <w:szCs w:val="24"/>
              </w:rPr>
            </w:pPr>
          </w:p>
        </w:tc>
        <w:tc>
          <w:tcPr>
            <w:tcW w:w="1844" w:type="dxa"/>
            <w:tcBorders>
              <w:left w:val="single" w:color="000000" w:sz="4" w:space="0"/>
              <w:right w:val="single" w:color="000000" w:sz="4" w:space="0"/>
            </w:tcBorders>
          </w:tcPr>
          <w:p w14:paraId="0F36C538">
            <w:pPr>
              <w:pageBreakBefore w:val="0"/>
              <w:topLinePunct w:val="0"/>
              <w:bidi w:val="0"/>
              <w:spacing w:line="240" w:lineRule="auto"/>
              <w:ind w:left="0" w:leftChars="0" w:right="0" w:rightChars="0" w:firstLine="480" w:firstLineChars="200"/>
              <w:jc w:val="center"/>
              <w:rPr>
                <w:color w:val="auto"/>
                <w:sz w:val="24"/>
                <w:szCs w:val="24"/>
              </w:rPr>
            </w:pPr>
          </w:p>
        </w:tc>
        <w:tc>
          <w:tcPr>
            <w:tcW w:w="1131" w:type="dxa"/>
            <w:vMerge w:val="restart"/>
            <w:tcBorders>
              <w:left w:val="single" w:color="000000" w:sz="4" w:space="0"/>
            </w:tcBorders>
          </w:tcPr>
          <w:p w14:paraId="20A4CD24">
            <w:pPr>
              <w:pageBreakBefore w:val="0"/>
              <w:topLinePunct w:val="0"/>
              <w:bidi w:val="0"/>
              <w:spacing w:line="240" w:lineRule="auto"/>
              <w:ind w:left="0" w:leftChars="0" w:right="0" w:rightChars="0" w:firstLine="480" w:firstLineChars="200"/>
              <w:jc w:val="center"/>
              <w:rPr>
                <w:color w:val="auto"/>
                <w:sz w:val="24"/>
                <w:szCs w:val="24"/>
              </w:rPr>
            </w:pPr>
          </w:p>
        </w:tc>
      </w:tr>
      <w:tr w14:paraId="2CBCE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8" w:hRule="atLeast"/>
        </w:trPr>
        <w:tc>
          <w:tcPr>
            <w:tcW w:w="1951" w:type="dxa"/>
            <w:vAlign w:val="center"/>
          </w:tcPr>
          <w:p w14:paraId="65C03527">
            <w:pPr>
              <w:pageBreakBefore w:val="0"/>
              <w:topLinePunct w:val="0"/>
              <w:bidi w:val="0"/>
              <w:spacing w:line="240" w:lineRule="auto"/>
              <w:ind w:left="0" w:leftChars="0" w:right="0" w:rightChars="0" w:firstLine="720" w:firstLineChars="300"/>
              <w:jc w:val="both"/>
              <w:rPr>
                <w:color w:val="auto"/>
                <w:sz w:val="24"/>
                <w:szCs w:val="24"/>
              </w:rPr>
            </w:pPr>
            <w:r>
              <w:rPr>
                <w:rFonts w:hint="eastAsia"/>
                <w:color w:val="auto"/>
                <w:sz w:val="24"/>
                <w:szCs w:val="24"/>
              </w:rPr>
              <w:t>面粉</w:t>
            </w:r>
          </w:p>
          <w:p w14:paraId="50809AFC">
            <w:pPr>
              <w:pageBreakBefore w:val="0"/>
              <w:topLinePunct w:val="0"/>
              <w:bidi w:val="0"/>
              <w:spacing w:line="240" w:lineRule="auto"/>
              <w:ind w:right="0" w:rightChars="0"/>
              <w:jc w:val="center"/>
              <w:rPr>
                <w:color w:val="auto"/>
              </w:rPr>
            </w:pPr>
            <w:r>
              <w:rPr>
                <w:rFonts w:hint="eastAsia"/>
                <w:color w:val="auto"/>
                <w:sz w:val="24"/>
                <w:szCs w:val="24"/>
                <w:lang w:eastAsia="zh-CN"/>
              </w:rPr>
              <w:t>（</w:t>
            </w:r>
            <w:r>
              <w:rPr>
                <w:rFonts w:hint="eastAsia"/>
                <w:color w:val="auto"/>
                <w:sz w:val="24"/>
                <w:szCs w:val="24"/>
              </w:rPr>
              <w:t>元/千克</w:t>
            </w:r>
            <w:r>
              <w:rPr>
                <w:rFonts w:hint="eastAsia"/>
                <w:color w:val="auto"/>
                <w:sz w:val="24"/>
                <w:szCs w:val="24"/>
                <w:lang w:eastAsia="zh-CN"/>
              </w:rPr>
              <w:t>）</w:t>
            </w:r>
          </w:p>
        </w:tc>
        <w:tc>
          <w:tcPr>
            <w:tcW w:w="3041" w:type="dxa"/>
            <w:tcBorders>
              <w:right w:val="single" w:color="000000" w:sz="4" w:space="0"/>
            </w:tcBorders>
          </w:tcPr>
          <w:p w14:paraId="2EF75F24">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  牌：</w:t>
            </w:r>
          </w:p>
          <w:p w14:paraId="74B03467">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1710" w:type="dxa"/>
            <w:tcBorders>
              <w:left w:val="single" w:color="000000" w:sz="4" w:space="0"/>
              <w:right w:val="single" w:color="000000" w:sz="4" w:space="0"/>
            </w:tcBorders>
            <w:vAlign w:val="top"/>
          </w:tcPr>
          <w:p w14:paraId="14786990">
            <w:pPr>
              <w:pageBreakBefore w:val="0"/>
              <w:topLinePunct w:val="0"/>
              <w:bidi w:val="0"/>
              <w:spacing w:line="240" w:lineRule="auto"/>
              <w:ind w:left="0" w:leftChars="0" w:right="0" w:rightChars="0" w:firstLine="480" w:firstLineChars="200"/>
              <w:jc w:val="center"/>
              <w:rPr>
                <w:color w:val="auto"/>
                <w:sz w:val="24"/>
                <w:szCs w:val="24"/>
              </w:rPr>
            </w:pPr>
          </w:p>
        </w:tc>
        <w:tc>
          <w:tcPr>
            <w:tcW w:w="1844" w:type="dxa"/>
            <w:tcBorders>
              <w:left w:val="single" w:color="000000" w:sz="4" w:space="0"/>
              <w:right w:val="single" w:color="000000" w:sz="4" w:space="0"/>
            </w:tcBorders>
          </w:tcPr>
          <w:p w14:paraId="2159644B">
            <w:pPr>
              <w:pageBreakBefore w:val="0"/>
              <w:topLinePunct w:val="0"/>
              <w:bidi w:val="0"/>
              <w:spacing w:line="240" w:lineRule="auto"/>
              <w:ind w:left="0" w:leftChars="0" w:right="0" w:rightChars="0" w:firstLine="480" w:firstLineChars="200"/>
              <w:jc w:val="center"/>
              <w:rPr>
                <w:color w:val="auto"/>
                <w:sz w:val="24"/>
                <w:szCs w:val="24"/>
              </w:rPr>
            </w:pPr>
          </w:p>
        </w:tc>
        <w:tc>
          <w:tcPr>
            <w:tcW w:w="1131" w:type="dxa"/>
            <w:vMerge w:val="continue"/>
            <w:tcBorders>
              <w:left w:val="single" w:color="000000" w:sz="4" w:space="0"/>
            </w:tcBorders>
          </w:tcPr>
          <w:p w14:paraId="43FB222E">
            <w:pPr>
              <w:pageBreakBefore w:val="0"/>
              <w:topLinePunct w:val="0"/>
              <w:bidi w:val="0"/>
              <w:spacing w:line="240" w:lineRule="auto"/>
              <w:ind w:left="0" w:leftChars="0" w:right="0" w:rightChars="0" w:firstLine="480" w:firstLineChars="200"/>
              <w:jc w:val="center"/>
              <w:rPr>
                <w:color w:val="auto"/>
                <w:sz w:val="24"/>
                <w:szCs w:val="24"/>
              </w:rPr>
            </w:pPr>
          </w:p>
        </w:tc>
      </w:tr>
      <w:tr w14:paraId="28403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9" w:hRule="atLeast"/>
        </w:trPr>
        <w:tc>
          <w:tcPr>
            <w:tcW w:w="1951" w:type="dxa"/>
            <w:vAlign w:val="center"/>
          </w:tcPr>
          <w:p w14:paraId="2AD83E74">
            <w:pPr>
              <w:pageBreakBefore w:val="0"/>
              <w:topLinePunct w:val="0"/>
              <w:bidi w:val="0"/>
              <w:spacing w:line="240" w:lineRule="auto"/>
              <w:ind w:right="0" w:rightChars="0"/>
              <w:jc w:val="center"/>
              <w:rPr>
                <w:rFonts w:hint="eastAsia"/>
                <w:color w:val="auto"/>
                <w:sz w:val="24"/>
                <w:szCs w:val="24"/>
                <w:lang w:eastAsia="zh-CN"/>
              </w:rPr>
            </w:pPr>
            <w:r>
              <w:rPr>
                <w:rFonts w:hint="eastAsia"/>
                <w:color w:val="auto"/>
                <w:sz w:val="24"/>
                <w:szCs w:val="24"/>
                <w:lang w:eastAsia="zh-CN"/>
              </w:rPr>
              <w:t>面制品</w:t>
            </w:r>
          </w:p>
          <w:p w14:paraId="3456399D">
            <w:pPr>
              <w:pageBreakBefore w:val="0"/>
              <w:topLinePunct w:val="0"/>
              <w:bidi w:val="0"/>
              <w:spacing w:line="240" w:lineRule="auto"/>
              <w:ind w:right="0" w:rightChars="0"/>
              <w:jc w:val="center"/>
              <w:rPr>
                <w:rFonts w:hint="eastAsia"/>
                <w:color w:val="auto"/>
                <w:sz w:val="24"/>
                <w:szCs w:val="24"/>
                <w:lang w:eastAsia="zh-CN"/>
              </w:rPr>
            </w:pPr>
            <w:r>
              <w:rPr>
                <w:rFonts w:hint="eastAsia"/>
                <w:color w:val="auto"/>
                <w:sz w:val="24"/>
                <w:szCs w:val="24"/>
                <w:lang w:eastAsia="zh-CN"/>
              </w:rPr>
              <w:t>（元</w:t>
            </w:r>
            <w:r>
              <w:rPr>
                <w:rFonts w:hint="eastAsia"/>
                <w:color w:val="auto"/>
                <w:sz w:val="24"/>
                <w:szCs w:val="24"/>
                <w:lang w:val="en-US" w:eastAsia="zh-CN"/>
              </w:rPr>
              <w:t>/千克</w:t>
            </w:r>
            <w:r>
              <w:rPr>
                <w:rFonts w:hint="eastAsia"/>
                <w:color w:val="auto"/>
                <w:sz w:val="24"/>
                <w:szCs w:val="24"/>
                <w:lang w:eastAsia="zh-CN"/>
              </w:rPr>
              <w:t>）</w:t>
            </w:r>
          </w:p>
        </w:tc>
        <w:tc>
          <w:tcPr>
            <w:tcW w:w="3041" w:type="dxa"/>
            <w:tcBorders>
              <w:right w:val="single" w:color="000000" w:sz="4" w:space="0"/>
            </w:tcBorders>
          </w:tcPr>
          <w:p w14:paraId="154E9FB1">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  牌：</w:t>
            </w:r>
          </w:p>
          <w:p w14:paraId="04AACD07">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1710" w:type="dxa"/>
            <w:tcBorders>
              <w:left w:val="single" w:color="000000" w:sz="4" w:space="0"/>
              <w:right w:val="single" w:color="000000" w:sz="4" w:space="0"/>
            </w:tcBorders>
            <w:vAlign w:val="top"/>
          </w:tcPr>
          <w:p w14:paraId="229ED0D9">
            <w:pPr>
              <w:pageBreakBefore w:val="0"/>
              <w:topLinePunct w:val="0"/>
              <w:bidi w:val="0"/>
              <w:spacing w:line="240" w:lineRule="auto"/>
              <w:ind w:right="0" w:rightChars="0"/>
              <w:jc w:val="both"/>
              <w:rPr>
                <w:color w:val="auto"/>
                <w:sz w:val="24"/>
                <w:szCs w:val="24"/>
              </w:rPr>
            </w:pPr>
            <w:r>
              <w:rPr>
                <w:rFonts w:hint="eastAsia"/>
                <w:color w:val="auto"/>
                <w:sz w:val="24"/>
                <w:szCs w:val="24"/>
                <w:lang w:val="en-US" w:eastAsia="zh-CN"/>
              </w:rPr>
              <w:t>投标优惠率（%）：</w:t>
            </w:r>
          </w:p>
        </w:tc>
        <w:tc>
          <w:tcPr>
            <w:tcW w:w="1844" w:type="dxa"/>
            <w:tcBorders>
              <w:left w:val="single" w:color="000000" w:sz="4" w:space="0"/>
              <w:right w:val="single" w:color="000000" w:sz="4" w:space="0"/>
            </w:tcBorders>
          </w:tcPr>
          <w:p w14:paraId="2874A470">
            <w:pPr>
              <w:pageBreakBefore w:val="0"/>
              <w:topLinePunct w:val="0"/>
              <w:bidi w:val="0"/>
              <w:spacing w:line="240" w:lineRule="auto"/>
              <w:ind w:left="0" w:leftChars="0" w:right="0" w:rightChars="0" w:firstLine="480" w:firstLineChars="200"/>
              <w:jc w:val="center"/>
              <w:rPr>
                <w:color w:val="auto"/>
                <w:sz w:val="24"/>
                <w:szCs w:val="24"/>
              </w:rPr>
            </w:pPr>
          </w:p>
        </w:tc>
        <w:tc>
          <w:tcPr>
            <w:tcW w:w="1131" w:type="dxa"/>
            <w:vMerge w:val="continue"/>
            <w:tcBorders>
              <w:left w:val="single" w:color="000000" w:sz="4" w:space="0"/>
            </w:tcBorders>
          </w:tcPr>
          <w:p w14:paraId="647412D0">
            <w:pPr>
              <w:pageBreakBefore w:val="0"/>
              <w:topLinePunct w:val="0"/>
              <w:bidi w:val="0"/>
              <w:spacing w:line="240" w:lineRule="auto"/>
              <w:ind w:left="0" w:leftChars="0" w:right="0" w:rightChars="0" w:firstLine="480" w:firstLineChars="200"/>
              <w:jc w:val="center"/>
              <w:rPr>
                <w:color w:val="auto"/>
                <w:sz w:val="24"/>
                <w:szCs w:val="24"/>
              </w:rPr>
            </w:pPr>
          </w:p>
        </w:tc>
      </w:tr>
      <w:tr w14:paraId="2406F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6" w:hRule="atLeast"/>
        </w:trPr>
        <w:tc>
          <w:tcPr>
            <w:tcW w:w="1951" w:type="dxa"/>
            <w:tcBorders>
              <w:bottom w:val="single" w:color="auto" w:sz="4" w:space="0"/>
            </w:tcBorders>
            <w:vAlign w:val="center"/>
          </w:tcPr>
          <w:p w14:paraId="1645F5E8">
            <w:pPr>
              <w:pageBreakBefore w:val="0"/>
              <w:topLinePunct w:val="0"/>
              <w:bidi w:val="0"/>
              <w:spacing w:line="240" w:lineRule="auto"/>
              <w:ind w:right="0" w:rightChars="0"/>
              <w:jc w:val="center"/>
              <w:rPr>
                <w:rFonts w:hint="eastAsia"/>
                <w:color w:val="auto"/>
                <w:sz w:val="24"/>
                <w:szCs w:val="24"/>
              </w:rPr>
            </w:pPr>
            <w:r>
              <w:rPr>
                <w:rFonts w:hint="eastAsia"/>
                <w:color w:val="auto"/>
                <w:sz w:val="24"/>
                <w:szCs w:val="24"/>
                <w:lang w:val="en-US"/>
              </w:rPr>
              <w:t>菜籽</w:t>
            </w:r>
            <w:r>
              <w:rPr>
                <w:rFonts w:hint="eastAsia"/>
                <w:color w:val="auto"/>
                <w:sz w:val="24"/>
                <w:szCs w:val="24"/>
              </w:rPr>
              <w:t>油</w:t>
            </w:r>
          </w:p>
          <w:p w14:paraId="3824A8C8">
            <w:pPr>
              <w:pageBreakBefore w:val="0"/>
              <w:topLinePunct w:val="0"/>
              <w:bidi w:val="0"/>
              <w:spacing w:line="240" w:lineRule="auto"/>
              <w:ind w:right="0" w:rightChars="0"/>
              <w:jc w:val="center"/>
              <w:rPr>
                <w:color w:val="auto"/>
                <w:sz w:val="24"/>
                <w:szCs w:val="24"/>
              </w:rPr>
            </w:pPr>
            <w:r>
              <w:rPr>
                <w:rFonts w:hint="eastAsia"/>
                <w:color w:val="auto"/>
                <w:sz w:val="24"/>
                <w:szCs w:val="24"/>
              </w:rPr>
              <w:t>（元/公升）</w:t>
            </w:r>
          </w:p>
        </w:tc>
        <w:tc>
          <w:tcPr>
            <w:tcW w:w="3041" w:type="dxa"/>
            <w:tcBorders>
              <w:bottom w:val="single" w:color="auto" w:sz="4" w:space="0"/>
              <w:right w:val="single" w:color="000000" w:sz="4" w:space="0"/>
            </w:tcBorders>
          </w:tcPr>
          <w:p w14:paraId="6B5EC44E">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  牌：</w:t>
            </w:r>
          </w:p>
          <w:p w14:paraId="2553B66D">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1710" w:type="dxa"/>
            <w:tcBorders>
              <w:left w:val="single" w:color="000000" w:sz="4" w:space="0"/>
              <w:bottom w:val="single" w:color="auto" w:sz="4" w:space="0"/>
              <w:right w:val="single" w:color="000000" w:sz="4" w:space="0"/>
            </w:tcBorders>
            <w:vAlign w:val="top"/>
          </w:tcPr>
          <w:p w14:paraId="3D6039E6">
            <w:pPr>
              <w:pageBreakBefore w:val="0"/>
              <w:topLinePunct w:val="0"/>
              <w:bidi w:val="0"/>
              <w:spacing w:line="240" w:lineRule="auto"/>
              <w:ind w:left="0" w:leftChars="0" w:right="0" w:rightChars="0" w:firstLine="480" w:firstLineChars="200"/>
              <w:jc w:val="center"/>
              <w:rPr>
                <w:rFonts w:ascii="宋体" w:hAnsi="宋体" w:eastAsia="宋体" w:cs="宋体"/>
                <w:color w:val="auto"/>
                <w:sz w:val="24"/>
                <w:szCs w:val="24"/>
                <w:lang w:val="zh-CN" w:eastAsia="zh-CN" w:bidi="zh-CN"/>
              </w:rPr>
            </w:pPr>
          </w:p>
        </w:tc>
        <w:tc>
          <w:tcPr>
            <w:tcW w:w="1844" w:type="dxa"/>
            <w:tcBorders>
              <w:left w:val="single" w:color="000000" w:sz="4" w:space="0"/>
              <w:bottom w:val="single" w:color="auto" w:sz="4" w:space="0"/>
              <w:right w:val="single" w:color="000000" w:sz="4" w:space="0"/>
            </w:tcBorders>
          </w:tcPr>
          <w:p w14:paraId="01F50226">
            <w:pPr>
              <w:pageBreakBefore w:val="0"/>
              <w:topLinePunct w:val="0"/>
              <w:bidi w:val="0"/>
              <w:spacing w:line="240" w:lineRule="auto"/>
              <w:ind w:left="0" w:leftChars="0" w:right="0" w:rightChars="0" w:firstLine="480" w:firstLineChars="200"/>
              <w:jc w:val="center"/>
              <w:rPr>
                <w:color w:val="auto"/>
                <w:sz w:val="24"/>
                <w:szCs w:val="24"/>
              </w:rPr>
            </w:pPr>
          </w:p>
        </w:tc>
        <w:tc>
          <w:tcPr>
            <w:tcW w:w="1131" w:type="dxa"/>
            <w:vMerge w:val="continue"/>
            <w:tcBorders>
              <w:left w:val="single" w:color="000000" w:sz="4" w:space="0"/>
            </w:tcBorders>
          </w:tcPr>
          <w:p w14:paraId="546478C4">
            <w:pPr>
              <w:pageBreakBefore w:val="0"/>
              <w:topLinePunct w:val="0"/>
              <w:bidi w:val="0"/>
              <w:spacing w:line="240" w:lineRule="auto"/>
              <w:ind w:left="0" w:leftChars="0" w:right="0" w:rightChars="0" w:firstLine="480" w:firstLineChars="200"/>
              <w:jc w:val="center"/>
              <w:rPr>
                <w:color w:val="auto"/>
                <w:sz w:val="24"/>
                <w:szCs w:val="24"/>
              </w:rPr>
            </w:pPr>
          </w:p>
        </w:tc>
      </w:tr>
      <w:tr w14:paraId="736CE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1951" w:type="dxa"/>
            <w:tcBorders>
              <w:bottom w:val="single" w:color="auto" w:sz="4" w:space="0"/>
            </w:tcBorders>
            <w:vAlign w:val="center"/>
          </w:tcPr>
          <w:p w14:paraId="5BD64B1C">
            <w:pPr>
              <w:pageBreakBefore w:val="0"/>
              <w:topLinePunct w:val="0"/>
              <w:bidi w:val="0"/>
              <w:spacing w:line="240" w:lineRule="auto"/>
              <w:ind w:right="0" w:rightChars="0"/>
              <w:jc w:val="center"/>
              <w:rPr>
                <w:rFonts w:hint="eastAsia"/>
                <w:color w:val="auto"/>
                <w:sz w:val="24"/>
                <w:szCs w:val="24"/>
              </w:rPr>
            </w:pPr>
            <w:r>
              <w:rPr>
                <w:rFonts w:hint="eastAsia"/>
                <w:color w:val="auto"/>
                <w:sz w:val="24"/>
                <w:szCs w:val="24"/>
                <w:lang w:val="en-US" w:eastAsia="zh-CN"/>
              </w:rPr>
              <w:t>纯牛奶</w:t>
            </w:r>
          </w:p>
        </w:tc>
        <w:tc>
          <w:tcPr>
            <w:tcW w:w="3041" w:type="dxa"/>
            <w:tcBorders>
              <w:bottom w:val="single" w:color="auto" w:sz="4" w:space="0"/>
              <w:right w:val="single" w:color="000000" w:sz="4" w:space="0"/>
            </w:tcBorders>
          </w:tcPr>
          <w:p w14:paraId="5ACA2A28">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  牌：</w:t>
            </w:r>
          </w:p>
          <w:p w14:paraId="0953ACB0">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1710" w:type="dxa"/>
            <w:tcBorders>
              <w:left w:val="single" w:color="000000" w:sz="4" w:space="0"/>
              <w:bottom w:val="single" w:color="auto" w:sz="4" w:space="0"/>
              <w:right w:val="single" w:color="000000" w:sz="4" w:space="0"/>
            </w:tcBorders>
            <w:vAlign w:val="top"/>
          </w:tcPr>
          <w:p w14:paraId="1849D59C">
            <w:pPr>
              <w:pageBreakBefore w:val="0"/>
              <w:topLinePunct w:val="0"/>
              <w:bidi w:val="0"/>
              <w:spacing w:line="240" w:lineRule="auto"/>
              <w:ind w:right="0" w:rightChars="0"/>
              <w:jc w:val="both"/>
              <w:rPr>
                <w:rFonts w:ascii="宋体" w:hAnsi="宋体" w:eastAsia="宋体" w:cs="宋体"/>
                <w:color w:val="auto"/>
                <w:sz w:val="24"/>
                <w:szCs w:val="24"/>
                <w:lang w:val="zh-CN" w:eastAsia="zh-CN" w:bidi="zh-CN"/>
              </w:rPr>
            </w:pPr>
            <w:r>
              <w:rPr>
                <w:rFonts w:hint="eastAsia"/>
                <w:color w:val="auto"/>
                <w:sz w:val="24"/>
                <w:szCs w:val="24"/>
                <w:lang w:val="en-US" w:eastAsia="zh-CN"/>
              </w:rPr>
              <w:t>投标优惠率（%）：</w:t>
            </w:r>
          </w:p>
        </w:tc>
        <w:tc>
          <w:tcPr>
            <w:tcW w:w="1844" w:type="dxa"/>
            <w:tcBorders>
              <w:left w:val="single" w:color="000000" w:sz="4" w:space="0"/>
              <w:bottom w:val="single" w:color="auto" w:sz="4" w:space="0"/>
              <w:right w:val="single" w:color="000000" w:sz="4" w:space="0"/>
            </w:tcBorders>
          </w:tcPr>
          <w:p w14:paraId="7865690D">
            <w:pPr>
              <w:pageBreakBefore w:val="0"/>
              <w:topLinePunct w:val="0"/>
              <w:bidi w:val="0"/>
              <w:spacing w:line="240" w:lineRule="auto"/>
              <w:ind w:left="0" w:leftChars="0" w:right="0" w:rightChars="0" w:firstLine="480" w:firstLineChars="200"/>
              <w:jc w:val="center"/>
              <w:rPr>
                <w:color w:val="auto"/>
                <w:sz w:val="24"/>
                <w:szCs w:val="24"/>
              </w:rPr>
            </w:pPr>
          </w:p>
        </w:tc>
        <w:tc>
          <w:tcPr>
            <w:tcW w:w="1131" w:type="dxa"/>
            <w:vMerge w:val="continue"/>
            <w:tcBorders>
              <w:left w:val="single" w:color="000000" w:sz="4" w:space="0"/>
            </w:tcBorders>
          </w:tcPr>
          <w:p w14:paraId="3DA9F72A">
            <w:pPr>
              <w:pageBreakBefore w:val="0"/>
              <w:topLinePunct w:val="0"/>
              <w:bidi w:val="0"/>
              <w:spacing w:line="240" w:lineRule="auto"/>
              <w:ind w:left="0" w:leftChars="0" w:right="0" w:rightChars="0" w:firstLine="480" w:firstLineChars="200"/>
              <w:jc w:val="center"/>
              <w:rPr>
                <w:color w:val="auto"/>
                <w:sz w:val="24"/>
                <w:szCs w:val="24"/>
              </w:rPr>
            </w:pPr>
          </w:p>
        </w:tc>
      </w:tr>
      <w:tr w14:paraId="7A50D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0" w:hRule="atLeast"/>
        </w:trPr>
        <w:tc>
          <w:tcPr>
            <w:tcW w:w="1951" w:type="dxa"/>
            <w:tcBorders>
              <w:top w:val="single" w:color="auto" w:sz="4" w:space="0"/>
              <w:left w:val="single" w:color="auto" w:sz="4" w:space="0"/>
              <w:bottom w:val="single" w:color="auto" w:sz="4" w:space="0"/>
              <w:right w:val="single" w:color="auto" w:sz="4" w:space="0"/>
            </w:tcBorders>
            <w:vAlign w:val="center"/>
          </w:tcPr>
          <w:p w14:paraId="55D5966D">
            <w:pPr>
              <w:pageBreakBefore w:val="0"/>
              <w:topLinePunct w:val="0"/>
              <w:bidi w:val="0"/>
              <w:spacing w:line="240" w:lineRule="auto"/>
              <w:ind w:right="0" w:rightChars="0" w:firstLine="720" w:firstLineChars="300"/>
              <w:jc w:val="both"/>
              <w:rPr>
                <w:rFonts w:hint="eastAsia"/>
                <w:color w:val="auto"/>
                <w:sz w:val="24"/>
                <w:szCs w:val="24"/>
                <w:lang w:val="en-US" w:eastAsia="zh-CN"/>
              </w:rPr>
            </w:pPr>
            <w:r>
              <w:rPr>
                <w:rFonts w:hint="eastAsia"/>
                <w:color w:val="auto"/>
                <w:sz w:val="24"/>
                <w:szCs w:val="24"/>
                <w:lang w:val="en-US" w:eastAsia="zh-CN"/>
              </w:rPr>
              <w:t>杂粮</w:t>
            </w:r>
          </w:p>
        </w:tc>
        <w:tc>
          <w:tcPr>
            <w:tcW w:w="4751" w:type="dxa"/>
            <w:gridSpan w:val="2"/>
            <w:tcBorders>
              <w:top w:val="single" w:color="auto" w:sz="4" w:space="0"/>
              <w:left w:val="single" w:color="auto" w:sz="4" w:space="0"/>
              <w:bottom w:val="single" w:color="auto" w:sz="4" w:space="0"/>
              <w:right w:val="single" w:color="auto" w:sz="4" w:space="0"/>
            </w:tcBorders>
            <w:vAlign w:val="center"/>
          </w:tcPr>
          <w:p w14:paraId="0EC4A4F3">
            <w:pPr>
              <w:pStyle w:val="12"/>
              <w:pageBreakBefore w:val="0"/>
              <w:topLinePunct w:val="0"/>
              <w:bidi w:val="0"/>
              <w:spacing w:line="240" w:lineRule="auto"/>
              <w:ind w:right="0" w:rightChars="0"/>
              <w:rPr>
                <w:rFonts w:hint="default"/>
                <w:color w:val="auto"/>
                <w:sz w:val="24"/>
                <w:szCs w:val="24"/>
                <w:lang w:val="en-US" w:eastAsia="zh-CN"/>
              </w:rPr>
            </w:pPr>
            <w:r>
              <w:rPr>
                <w:rFonts w:hint="eastAsia"/>
                <w:color w:val="auto"/>
                <w:sz w:val="24"/>
                <w:szCs w:val="24"/>
                <w:lang w:val="en-US" w:eastAsia="zh-CN"/>
              </w:rPr>
              <w:t>投标优惠率（%）：</w:t>
            </w:r>
          </w:p>
        </w:tc>
        <w:tc>
          <w:tcPr>
            <w:tcW w:w="1844" w:type="dxa"/>
            <w:tcBorders>
              <w:top w:val="single" w:color="auto" w:sz="4" w:space="0"/>
              <w:left w:val="single" w:color="auto" w:sz="4" w:space="0"/>
              <w:bottom w:val="single" w:color="auto" w:sz="4" w:space="0"/>
              <w:right w:val="single" w:color="auto" w:sz="4" w:space="0"/>
            </w:tcBorders>
            <w:vAlign w:val="center"/>
          </w:tcPr>
          <w:p w14:paraId="4CC9AFA3">
            <w:pPr>
              <w:pStyle w:val="12"/>
              <w:pageBreakBefore w:val="0"/>
              <w:topLinePunct w:val="0"/>
              <w:bidi w:val="0"/>
              <w:spacing w:line="240" w:lineRule="auto"/>
              <w:ind w:left="0" w:leftChars="0" w:right="0" w:rightChars="0" w:firstLine="480" w:firstLineChars="200"/>
              <w:rPr>
                <w:rFonts w:hint="eastAsia"/>
                <w:color w:val="auto"/>
                <w:sz w:val="24"/>
                <w:szCs w:val="24"/>
                <w:lang w:val="en-US" w:eastAsia="zh-CN"/>
              </w:rPr>
            </w:pPr>
          </w:p>
        </w:tc>
        <w:tc>
          <w:tcPr>
            <w:tcW w:w="1131" w:type="dxa"/>
            <w:vMerge w:val="continue"/>
            <w:tcBorders>
              <w:left w:val="single" w:color="000000" w:sz="4" w:space="0"/>
              <w:bottom w:val="single" w:color="auto" w:sz="4" w:space="0"/>
            </w:tcBorders>
            <w:vAlign w:val="center"/>
          </w:tcPr>
          <w:p w14:paraId="64D43094">
            <w:pPr>
              <w:pStyle w:val="12"/>
              <w:pageBreakBefore w:val="0"/>
              <w:topLinePunct w:val="0"/>
              <w:bidi w:val="0"/>
              <w:spacing w:line="240" w:lineRule="auto"/>
              <w:ind w:left="0" w:leftChars="0" w:right="0" w:rightChars="0" w:firstLine="480" w:firstLineChars="200"/>
              <w:rPr>
                <w:rFonts w:hint="eastAsia"/>
                <w:color w:val="auto"/>
                <w:sz w:val="24"/>
                <w:szCs w:val="24"/>
                <w:lang w:val="en-US" w:eastAsia="zh-CN"/>
              </w:rPr>
            </w:pPr>
          </w:p>
        </w:tc>
      </w:tr>
      <w:tr w14:paraId="2FE4E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6" w:hRule="atLeast"/>
        </w:trPr>
        <w:tc>
          <w:tcPr>
            <w:tcW w:w="1951" w:type="dxa"/>
            <w:tcBorders>
              <w:top w:val="single" w:color="auto" w:sz="4" w:space="0"/>
              <w:right w:val="single" w:color="000000" w:sz="4" w:space="0"/>
            </w:tcBorders>
            <w:vAlign w:val="center"/>
          </w:tcPr>
          <w:p w14:paraId="3718A1D3">
            <w:pPr>
              <w:pageBreakBefore w:val="0"/>
              <w:topLinePunct w:val="0"/>
              <w:bidi w:val="0"/>
              <w:spacing w:line="240" w:lineRule="auto"/>
              <w:ind w:right="0" w:rightChars="0"/>
              <w:jc w:val="both"/>
              <w:rPr>
                <w:rFonts w:hint="default"/>
                <w:color w:val="auto"/>
                <w:u w:val="none"/>
                <w:lang w:val="en-US" w:eastAsia="zh-CN"/>
              </w:rPr>
            </w:pPr>
            <w:r>
              <w:rPr>
                <w:rFonts w:hint="eastAsia"/>
                <w:color w:val="auto"/>
                <w:sz w:val="24"/>
                <w:szCs w:val="24"/>
                <w:lang w:val="en-US" w:eastAsia="zh-CN"/>
              </w:rPr>
              <w:t>投标总报价（元）</w:t>
            </w:r>
          </w:p>
        </w:tc>
        <w:tc>
          <w:tcPr>
            <w:tcW w:w="7726" w:type="dxa"/>
            <w:gridSpan w:val="4"/>
            <w:tcBorders>
              <w:top w:val="single" w:color="auto" w:sz="4" w:space="0"/>
              <w:right w:val="single" w:color="000000" w:sz="4" w:space="0"/>
            </w:tcBorders>
            <w:vAlign w:val="center"/>
          </w:tcPr>
          <w:p w14:paraId="619A4EE5">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大写：</w:t>
            </w:r>
          </w:p>
          <w:p w14:paraId="360EF2DA">
            <w:pPr>
              <w:pStyle w:val="12"/>
              <w:pageBreakBefore w:val="0"/>
              <w:topLinePunct w:val="0"/>
              <w:bidi w:val="0"/>
              <w:spacing w:line="240" w:lineRule="auto"/>
              <w:ind w:right="0" w:rightChars="0"/>
              <w:rPr>
                <w:rFonts w:hint="default"/>
                <w:color w:val="auto"/>
                <w:lang w:val="en-US" w:eastAsia="zh-CN"/>
              </w:rPr>
            </w:pPr>
            <w:r>
              <w:rPr>
                <w:rFonts w:hint="eastAsia"/>
                <w:color w:val="auto"/>
                <w:sz w:val="24"/>
                <w:szCs w:val="24"/>
                <w:lang w:val="en-US" w:eastAsia="zh-CN"/>
              </w:rPr>
              <w:t>小写：</w:t>
            </w:r>
          </w:p>
        </w:tc>
      </w:tr>
      <w:tr w14:paraId="604EF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trPr>
        <w:tc>
          <w:tcPr>
            <w:tcW w:w="9677" w:type="dxa"/>
            <w:gridSpan w:val="5"/>
            <w:tcBorders>
              <w:right w:val="single" w:color="000000" w:sz="4" w:space="0"/>
            </w:tcBorders>
          </w:tcPr>
          <w:p w14:paraId="265D3A00">
            <w:pPr>
              <w:keepNext w:val="0"/>
              <w:keepLines w:val="0"/>
              <w:pageBreakBefore w:val="0"/>
              <w:widowControl w:val="0"/>
              <w:kinsoku/>
              <w:wordWrap/>
              <w:overflowPunct/>
              <w:topLinePunct w:val="0"/>
              <w:autoSpaceDE w:val="0"/>
              <w:autoSpaceDN w:val="0"/>
              <w:bidi w:val="0"/>
              <w:adjustRightInd/>
              <w:snapToGrid/>
              <w:spacing w:line="216" w:lineRule="auto"/>
              <w:ind w:left="0" w:leftChars="0" w:right="0" w:rightChars="0" w:firstLine="482" w:firstLineChars="200"/>
              <w:textAlignment w:val="auto"/>
              <w:rPr>
                <w:rFonts w:hint="eastAsia"/>
                <w:b/>
                <w:bCs/>
                <w:color w:val="auto"/>
                <w:sz w:val="24"/>
                <w:szCs w:val="24"/>
              </w:rPr>
            </w:pPr>
            <w:r>
              <w:rPr>
                <w:rFonts w:hint="eastAsia"/>
                <w:b/>
                <w:bCs/>
                <w:color w:val="auto"/>
                <w:sz w:val="24"/>
                <w:szCs w:val="24"/>
              </w:rPr>
              <w:t>备注：</w:t>
            </w:r>
          </w:p>
          <w:p w14:paraId="2AF3B7E6">
            <w:pPr>
              <w:keepNext w:val="0"/>
              <w:keepLines w:val="0"/>
              <w:pageBreakBefore w:val="0"/>
              <w:widowControl w:val="0"/>
              <w:numPr>
                <w:ilvl w:val="0"/>
                <w:numId w:val="0"/>
              </w:numPr>
              <w:kinsoku/>
              <w:wordWrap/>
              <w:overflowPunct/>
              <w:topLinePunct w:val="0"/>
              <w:autoSpaceDE w:val="0"/>
              <w:autoSpaceDN w:val="0"/>
              <w:bidi w:val="0"/>
              <w:adjustRightInd/>
              <w:snapToGrid/>
              <w:spacing w:line="216" w:lineRule="auto"/>
              <w:ind w:right="0" w:rightChars="0" w:firstLine="480" w:firstLineChars="200"/>
              <w:textAlignment w:val="auto"/>
              <w:rPr>
                <w:rFonts w:hint="eastAsia"/>
                <w:b w:val="0"/>
                <w:bCs w:val="0"/>
                <w:color w:val="auto"/>
                <w:sz w:val="24"/>
                <w:szCs w:val="24"/>
              </w:rPr>
            </w:pPr>
            <w:r>
              <w:rPr>
                <w:rFonts w:hint="eastAsia"/>
                <w:b w:val="0"/>
                <w:bCs w:val="0"/>
                <w:color w:val="auto"/>
                <w:sz w:val="24"/>
                <w:szCs w:val="24"/>
                <w:lang w:val="en-US" w:eastAsia="zh-CN"/>
              </w:rPr>
              <w:t>1.投标人自主报价，但报价不得超过最高限价，超过最高限价的报价视为无效报价，本合同包</w:t>
            </w:r>
            <w:r>
              <w:rPr>
                <w:rFonts w:hint="eastAsia"/>
                <w:b w:val="0"/>
                <w:bCs w:val="0"/>
                <w:color w:val="auto"/>
                <w:sz w:val="24"/>
                <w:szCs w:val="24"/>
              </w:rPr>
              <w:t>大米单价限价为：</w:t>
            </w:r>
            <w:r>
              <w:rPr>
                <w:rFonts w:hint="eastAsia"/>
                <w:b w:val="0"/>
                <w:bCs w:val="0"/>
                <w:color w:val="auto"/>
                <w:sz w:val="24"/>
                <w:szCs w:val="24"/>
                <w:lang w:val="en-US" w:eastAsia="zh-CN"/>
              </w:rPr>
              <w:t>4.78</w:t>
            </w:r>
            <w:r>
              <w:rPr>
                <w:rFonts w:hint="eastAsia"/>
                <w:b w:val="0"/>
                <w:bCs w:val="0"/>
                <w:color w:val="auto"/>
                <w:sz w:val="24"/>
                <w:szCs w:val="24"/>
              </w:rPr>
              <w:t>元/千克，面粉单价限价为：</w:t>
            </w:r>
            <w:r>
              <w:rPr>
                <w:rFonts w:hint="eastAsia"/>
                <w:b w:val="0"/>
                <w:bCs w:val="0"/>
                <w:color w:val="auto"/>
                <w:sz w:val="24"/>
                <w:szCs w:val="24"/>
                <w:lang w:val="en-US" w:eastAsia="zh-CN"/>
              </w:rPr>
              <w:t>4.28</w:t>
            </w:r>
            <w:r>
              <w:rPr>
                <w:rFonts w:hint="eastAsia"/>
                <w:b w:val="0"/>
                <w:bCs w:val="0"/>
                <w:color w:val="auto"/>
                <w:sz w:val="24"/>
                <w:szCs w:val="24"/>
              </w:rPr>
              <w:t>元/千克，</w:t>
            </w:r>
            <w:r>
              <w:rPr>
                <w:rFonts w:hint="eastAsia"/>
                <w:b w:val="0"/>
                <w:bCs w:val="0"/>
                <w:color w:val="auto"/>
                <w:sz w:val="24"/>
                <w:szCs w:val="24"/>
                <w:lang w:eastAsia="zh-CN"/>
              </w:rPr>
              <w:t>菜籽</w:t>
            </w:r>
            <w:r>
              <w:rPr>
                <w:rFonts w:hint="eastAsia"/>
                <w:b w:val="0"/>
                <w:bCs w:val="0"/>
                <w:color w:val="auto"/>
                <w:sz w:val="24"/>
                <w:szCs w:val="24"/>
              </w:rPr>
              <w:t>油单价限价为：</w:t>
            </w:r>
            <w:r>
              <w:rPr>
                <w:rFonts w:hint="eastAsia"/>
                <w:b w:val="0"/>
                <w:bCs w:val="0"/>
                <w:color w:val="auto"/>
                <w:sz w:val="24"/>
                <w:szCs w:val="24"/>
                <w:lang w:val="en-US" w:eastAsia="zh-CN"/>
              </w:rPr>
              <w:t>14.31</w:t>
            </w:r>
            <w:r>
              <w:rPr>
                <w:rFonts w:hint="eastAsia"/>
                <w:b w:val="0"/>
                <w:bCs w:val="0"/>
                <w:color w:val="auto"/>
                <w:sz w:val="24"/>
                <w:szCs w:val="24"/>
              </w:rPr>
              <w:t>元/升；</w:t>
            </w:r>
            <w:r>
              <w:rPr>
                <w:rFonts w:hint="eastAsia" w:cs="宋体"/>
                <w:i w:val="0"/>
                <w:iCs w:val="0"/>
                <w:color w:val="auto"/>
                <w:sz w:val="24"/>
                <w:szCs w:val="24"/>
                <w:shd w:val="clear" w:color="auto" w:fill="auto"/>
                <w:lang w:val="en-US" w:eastAsia="zh-CN"/>
              </w:rPr>
              <w:t>每项分项</w:t>
            </w:r>
            <w:r>
              <w:rPr>
                <w:rFonts w:hint="eastAsia" w:cs="宋体"/>
                <w:color w:val="auto"/>
                <w:sz w:val="24"/>
                <w:szCs w:val="24"/>
                <w:highlight w:val="none"/>
                <w:lang w:val="en-US" w:eastAsia="zh-CN"/>
              </w:rPr>
              <w:t>投标价=</w:t>
            </w:r>
            <w:r>
              <w:rPr>
                <w:rFonts w:hint="eastAsia" w:cs="宋体"/>
                <w:i w:val="0"/>
                <w:iCs w:val="0"/>
                <w:color w:val="auto"/>
                <w:sz w:val="24"/>
                <w:szCs w:val="24"/>
                <w:shd w:val="clear" w:color="auto" w:fill="auto"/>
                <w:lang w:val="en-US" w:eastAsia="zh-CN"/>
              </w:rPr>
              <w:t>每项分项</w:t>
            </w:r>
            <w:r>
              <w:rPr>
                <w:rFonts w:hint="eastAsia" w:cs="宋体"/>
                <w:color w:val="auto"/>
                <w:sz w:val="24"/>
                <w:szCs w:val="24"/>
                <w:highlight w:val="none"/>
                <w:lang w:val="en-US" w:eastAsia="zh-CN"/>
              </w:rPr>
              <w:t>投标单价*</w:t>
            </w:r>
            <w:r>
              <w:rPr>
                <w:rFonts w:hint="eastAsia" w:cs="宋体"/>
                <w:i w:val="0"/>
                <w:iCs w:val="0"/>
                <w:color w:val="auto"/>
                <w:sz w:val="24"/>
                <w:szCs w:val="24"/>
                <w:shd w:val="clear" w:color="auto" w:fill="auto"/>
                <w:lang w:val="en-US" w:eastAsia="zh-CN"/>
              </w:rPr>
              <w:t>每项分项</w:t>
            </w:r>
            <w:r>
              <w:rPr>
                <w:rFonts w:hint="eastAsia" w:cs="宋体"/>
                <w:color w:val="auto"/>
                <w:sz w:val="24"/>
                <w:szCs w:val="24"/>
                <w:highlight w:val="none"/>
                <w:lang w:val="en-US" w:eastAsia="zh-CN"/>
              </w:rPr>
              <w:t>数量。</w:t>
            </w:r>
          </w:p>
          <w:p w14:paraId="757A5168">
            <w:pPr>
              <w:keepNext w:val="0"/>
              <w:keepLines w:val="0"/>
              <w:pageBreakBefore w:val="0"/>
              <w:widowControl w:val="0"/>
              <w:numPr>
                <w:ilvl w:val="0"/>
                <w:numId w:val="0"/>
              </w:numPr>
              <w:kinsoku/>
              <w:wordWrap/>
              <w:overflowPunct/>
              <w:topLinePunct w:val="0"/>
              <w:autoSpaceDE w:val="0"/>
              <w:autoSpaceDN w:val="0"/>
              <w:bidi w:val="0"/>
              <w:adjustRightInd/>
              <w:snapToGrid/>
              <w:spacing w:line="216" w:lineRule="auto"/>
              <w:ind w:right="0" w:rightChars="0" w:firstLine="480" w:firstLineChars="200"/>
              <w:textAlignment w:val="auto"/>
              <w:rPr>
                <w:rFonts w:hint="eastAsia"/>
                <w:color w:val="auto"/>
                <w:lang w:val="en-US" w:eastAsia="zh-CN"/>
              </w:rPr>
            </w:pPr>
            <w:r>
              <w:rPr>
                <w:rFonts w:hint="eastAsia" w:cs="宋体"/>
                <w:i w:val="0"/>
                <w:iCs w:val="0"/>
                <w:color w:val="auto"/>
                <w:sz w:val="24"/>
                <w:szCs w:val="24"/>
                <w:shd w:val="clear" w:color="auto" w:fill="auto"/>
                <w:lang w:val="en-US" w:eastAsia="zh-CN"/>
              </w:rPr>
              <w:t>2.</w:t>
            </w:r>
            <w:r>
              <w:rPr>
                <w:rFonts w:hint="eastAsia" w:ascii="宋体" w:hAnsi="宋体" w:eastAsia="宋体" w:cs="宋体"/>
                <w:i w:val="0"/>
                <w:iCs w:val="0"/>
                <w:color w:val="auto"/>
                <w:sz w:val="24"/>
                <w:szCs w:val="24"/>
                <w:shd w:val="clear" w:color="auto" w:fill="auto"/>
              </w:rPr>
              <w:t>投标报价表中</w:t>
            </w:r>
            <w:r>
              <w:rPr>
                <w:rFonts w:hint="eastAsia" w:ascii="宋体" w:hAnsi="宋体" w:eastAsia="宋体" w:cs="宋体"/>
                <w:i w:val="0"/>
                <w:iCs w:val="0"/>
                <w:color w:val="auto"/>
                <w:sz w:val="24"/>
                <w:szCs w:val="24"/>
                <w:shd w:val="clear" w:color="auto" w:fill="auto"/>
                <w:lang w:eastAsia="zh-CN"/>
              </w:rPr>
              <w:t>（</w:t>
            </w:r>
            <w:r>
              <w:rPr>
                <w:rFonts w:hint="eastAsia" w:cs="宋体"/>
                <w:i w:val="0"/>
                <w:iCs w:val="0"/>
                <w:color w:val="auto"/>
                <w:sz w:val="24"/>
                <w:szCs w:val="24"/>
                <w:shd w:val="clear" w:color="auto" w:fill="auto"/>
                <w:lang w:eastAsia="zh-CN"/>
              </w:rPr>
              <w:t>面制品、纯牛奶、</w:t>
            </w:r>
            <w:r>
              <w:rPr>
                <w:rFonts w:hint="eastAsia" w:ascii="宋体" w:hAnsi="宋体" w:eastAsia="宋体" w:cs="宋体"/>
                <w:i w:val="0"/>
                <w:iCs w:val="0"/>
                <w:color w:val="auto"/>
                <w:sz w:val="24"/>
                <w:szCs w:val="24"/>
                <w:shd w:val="clear" w:color="auto" w:fill="auto"/>
                <w:lang w:eastAsia="zh-CN"/>
              </w:rPr>
              <w:t>杂粮）</w:t>
            </w:r>
            <w:r>
              <w:rPr>
                <w:rFonts w:hint="eastAsia" w:ascii="宋体" w:hAnsi="宋体" w:eastAsia="宋体" w:cs="宋体"/>
                <w:i w:val="0"/>
                <w:iCs w:val="0"/>
                <w:color w:val="auto"/>
                <w:sz w:val="24"/>
                <w:szCs w:val="24"/>
                <w:shd w:val="clear" w:color="auto" w:fill="auto"/>
              </w:rPr>
              <w:t>标明的价格为总价，最终结算价格单价</w:t>
            </w:r>
            <w:r>
              <w:rPr>
                <w:rFonts w:hint="eastAsia" w:ascii="宋体" w:hAnsi="宋体" w:eastAsia="宋体" w:cs="宋体"/>
                <w:i w:val="0"/>
                <w:iCs w:val="0"/>
                <w:color w:val="auto"/>
                <w:sz w:val="24"/>
                <w:szCs w:val="24"/>
                <w:shd w:val="clear" w:color="auto" w:fill="auto"/>
                <w:lang w:eastAsia="zh-CN"/>
              </w:rPr>
              <w:t>因</w:t>
            </w:r>
            <w:r>
              <w:rPr>
                <w:rFonts w:hint="eastAsia" w:ascii="宋体" w:hAnsi="宋体" w:eastAsia="宋体" w:cs="宋体"/>
                <w:i w:val="0"/>
                <w:iCs w:val="0"/>
                <w:color w:val="auto"/>
                <w:sz w:val="24"/>
                <w:szCs w:val="24"/>
                <w:shd w:val="clear" w:color="auto" w:fill="auto"/>
                <w:lang w:val="en-US" w:eastAsia="zh-CN"/>
              </w:rPr>
              <w:t>此类原辅料价格因市场行情波动较大，需采取市场采价确定。</w:t>
            </w:r>
            <w:r>
              <w:rPr>
                <w:rFonts w:hint="eastAsia" w:cs="宋体"/>
                <w:i w:val="0"/>
                <w:iCs w:val="0"/>
                <w:color w:val="auto"/>
                <w:sz w:val="24"/>
                <w:szCs w:val="24"/>
                <w:shd w:val="clear" w:color="auto" w:fill="auto"/>
                <w:lang w:val="en-US" w:eastAsia="zh-CN"/>
              </w:rPr>
              <w:t>具体为汉滨区教体局联合区发改部门及各学校成立询价小组，选择在汉滨城区3家及以上大型商超及农贸市场进行询价。每月开展两次市场采价询价工作，将每次所取的市场均价作为后半月的结算价。故每次结算单价的计算方式为：所取的市场均价为基准*（1-优惠率），依据实际供货量据实结算，</w:t>
            </w:r>
            <w:r>
              <w:rPr>
                <w:rFonts w:hint="eastAsia" w:cs="宋体"/>
                <w:b/>
                <w:bCs/>
                <w:color w:val="auto"/>
                <w:sz w:val="24"/>
                <w:szCs w:val="24"/>
                <w:highlight w:val="none"/>
                <w:lang w:val="en-US" w:eastAsia="zh-CN"/>
              </w:rPr>
              <w:t>面制品投标报价=面制品总预算*（</w:t>
            </w:r>
            <w:r>
              <w:rPr>
                <w:rFonts w:hint="eastAsia" w:cs="宋体"/>
                <w:b/>
                <w:bCs/>
                <w:i w:val="0"/>
                <w:iCs w:val="0"/>
                <w:color w:val="auto"/>
                <w:sz w:val="24"/>
                <w:szCs w:val="24"/>
                <w:shd w:val="clear" w:color="auto" w:fill="auto"/>
                <w:lang w:val="en-US" w:eastAsia="zh-CN"/>
              </w:rPr>
              <w:t>1-</w:t>
            </w:r>
            <w:r>
              <w:rPr>
                <w:rFonts w:hint="eastAsia" w:cs="宋体"/>
                <w:b/>
                <w:bCs/>
                <w:color w:val="auto"/>
                <w:sz w:val="24"/>
                <w:szCs w:val="24"/>
                <w:highlight w:val="none"/>
                <w:lang w:val="en-US" w:eastAsia="zh-CN"/>
              </w:rPr>
              <w:t>投标优惠率），纯牛奶投标报价=纯牛奶总预算*（</w:t>
            </w:r>
            <w:r>
              <w:rPr>
                <w:rFonts w:hint="eastAsia" w:cs="宋体"/>
                <w:b/>
                <w:bCs/>
                <w:i w:val="0"/>
                <w:iCs w:val="0"/>
                <w:color w:val="auto"/>
                <w:sz w:val="24"/>
                <w:szCs w:val="24"/>
                <w:shd w:val="clear" w:color="auto" w:fill="auto"/>
                <w:lang w:val="en-US" w:eastAsia="zh-CN"/>
              </w:rPr>
              <w:t>1-</w:t>
            </w:r>
            <w:r>
              <w:rPr>
                <w:rFonts w:hint="eastAsia" w:cs="宋体"/>
                <w:b/>
                <w:bCs/>
                <w:color w:val="auto"/>
                <w:sz w:val="24"/>
                <w:szCs w:val="24"/>
                <w:highlight w:val="none"/>
                <w:lang w:val="en-US" w:eastAsia="zh-CN"/>
              </w:rPr>
              <w:t>投标优惠率），杂粮投标报价=杂粮总预算*（</w:t>
            </w:r>
            <w:r>
              <w:rPr>
                <w:rFonts w:hint="eastAsia" w:cs="宋体"/>
                <w:b/>
                <w:bCs/>
                <w:i w:val="0"/>
                <w:iCs w:val="0"/>
                <w:color w:val="auto"/>
                <w:sz w:val="24"/>
                <w:szCs w:val="24"/>
                <w:shd w:val="clear" w:color="auto" w:fill="auto"/>
                <w:lang w:val="en-US" w:eastAsia="zh-CN"/>
              </w:rPr>
              <w:t>1-</w:t>
            </w:r>
            <w:r>
              <w:rPr>
                <w:rFonts w:hint="eastAsia" w:cs="宋体"/>
                <w:b/>
                <w:bCs/>
                <w:color w:val="auto"/>
                <w:sz w:val="24"/>
                <w:szCs w:val="24"/>
                <w:highlight w:val="none"/>
                <w:lang w:val="en-US" w:eastAsia="zh-CN"/>
              </w:rPr>
              <w:t>投标优惠率）</w:t>
            </w:r>
            <w:r>
              <w:rPr>
                <w:rFonts w:hint="eastAsia"/>
                <w:color w:val="auto"/>
                <w:lang w:val="en-US" w:eastAsia="zh-CN"/>
              </w:rPr>
              <w:t>。</w:t>
            </w:r>
          </w:p>
          <w:p w14:paraId="3A0254DC">
            <w:pPr>
              <w:keepNext w:val="0"/>
              <w:keepLines w:val="0"/>
              <w:pageBreakBefore w:val="0"/>
              <w:widowControl w:val="0"/>
              <w:numPr>
                <w:ilvl w:val="0"/>
                <w:numId w:val="0"/>
              </w:numPr>
              <w:kinsoku/>
              <w:wordWrap/>
              <w:overflowPunct/>
              <w:topLinePunct w:val="0"/>
              <w:autoSpaceDE w:val="0"/>
              <w:autoSpaceDN w:val="0"/>
              <w:bidi w:val="0"/>
              <w:adjustRightInd/>
              <w:snapToGrid/>
              <w:spacing w:line="216" w:lineRule="auto"/>
              <w:ind w:left="440" w:leftChars="0" w:right="0" w:rightChars="0"/>
              <w:textAlignment w:val="auto"/>
              <w:rPr>
                <w:rFonts w:hint="eastAsia"/>
                <w:b w:val="0"/>
                <w:bCs w:val="0"/>
                <w:color w:val="auto"/>
                <w:sz w:val="24"/>
                <w:szCs w:val="24"/>
                <w:lang w:val="en-US" w:eastAsia="zh-CN"/>
              </w:rPr>
            </w:pPr>
            <w:r>
              <w:rPr>
                <w:rFonts w:hint="eastAsia"/>
                <w:b w:val="0"/>
                <w:bCs w:val="0"/>
                <w:color w:val="auto"/>
                <w:sz w:val="24"/>
                <w:szCs w:val="24"/>
                <w:lang w:val="en-US" w:eastAsia="zh-CN"/>
              </w:rPr>
              <w:t>3.为便于评审，以投标总报价作为评审依据（投标总价为以上报价表中所有分项报价之和），结算时将以中标单价按实际采购数量据实结算。</w:t>
            </w:r>
          </w:p>
          <w:p w14:paraId="377380B3">
            <w:pPr>
              <w:keepNext w:val="0"/>
              <w:keepLines w:val="0"/>
              <w:pageBreakBefore w:val="0"/>
              <w:widowControl w:val="0"/>
              <w:kinsoku/>
              <w:wordWrap/>
              <w:overflowPunct/>
              <w:topLinePunct w:val="0"/>
              <w:autoSpaceDE w:val="0"/>
              <w:autoSpaceDN w:val="0"/>
              <w:bidi w:val="0"/>
              <w:adjustRightInd/>
              <w:snapToGrid/>
              <w:spacing w:line="216" w:lineRule="auto"/>
              <w:ind w:firstLine="482" w:firstLineChars="200"/>
              <w:textAlignment w:val="auto"/>
              <w:rPr>
                <w:rFonts w:hint="default"/>
                <w:color w:val="auto"/>
                <w:lang w:val="en-US" w:eastAsia="zh-CN"/>
              </w:rPr>
            </w:pPr>
            <w:r>
              <w:rPr>
                <w:rFonts w:hint="eastAsia" w:cs="宋体"/>
                <w:b/>
                <w:bCs/>
                <w:color w:val="auto"/>
                <w:kern w:val="0"/>
                <w:sz w:val="24"/>
                <w:szCs w:val="24"/>
                <w:lang w:val="en-US" w:eastAsia="zh-CN" w:bidi="ar"/>
              </w:rPr>
              <w:t>4.报价时数量等相关数据参考本招标文件《第三章 招标采购内容及服务要求》的数据。</w:t>
            </w:r>
          </w:p>
          <w:p w14:paraId="1CEF5934">
            <w:pPr>
              <w:keepNext w:val="0"/>
              <w:keepLines w:val="0"/>
              <w:pageBreakBefore w:val="0"/>
              <w:widowControl w:val="0"/>
              <w:kinsoku/>
              <w:wordWrap/>
              <w:overflowPunct/>
              <w:topLinePunct w:val="0"/>
              <w:autoSpaceDE w:val="0"/>
              <w:autoSpaceDN w:val="0"/>
              <w:bidi w:val="0"/>
              <w:adjustRightInd/>
              <w:snapToGrid/>
              <w:spacing w:line="216" w:lineRule="auto"/>
              <w:ind w:left="0" w:leftChars="0" w:right="0" w:rightChars="0" w:firstLine="480" w:firstLineChars="200"/>
              <w:textAlignment w:val="auto"/>
              <w:rPr>
                <w:rFonts w:hint="eastAsia"/>
                <w:color w:val="auto"/>
                <w:sz w:val="24"/>
                <w:szCs w:val="24"/>
              </w:rPr>
            </w:pPr>
            <w:r>
              <w:rPr>
                <w:rFonts w:hint="eastAsia"/>
                <w:color w:val="auto"/>
                <w:sz w:val="24"/>
                <w:szCs w:val="24"/>
                <w:lang w:val="en-US" w:eastAsia="zh-CN"/>
              </w:rPr>
              <w:t>5.报价应</w:t>
            </w:r>
            <w:r>
              <w:rPr>
                <w:rFonts w:hint="eastAsia"/>
                <w:color w:val="auto"/>
                <w:sz w:val="24"/>
                <w:szCs w:val="24"/>
              </w:rPr>
              <w:t>包括</w:t>
            </w:r>
            <w:r>
              <w:rPr>
                <w:rFonts w:hint="eastAsia"/>
                <w:color w:val="auto"/>
                <w:sz w:val="24"/>
                <w:szCs w:val="24"/>
                <w:lang w:eastAsia="zh-CN"/>
              </w:rPr>
              <w:t>涉及</w:t>
            </w:r>
            <w:r>
              <w:rPr>
                <w:rFonts w:hint="eastAsia"/>
                <w:color w:val="auto"/>
                <w:sz w:val="24"/>
                <w:szCs w:val="24"/>
              </w:rPr>
              <w:t>的食品采购、包装、运输、装卸、加工、供货服务期限、配送</w:t>
            </w:r>
            <w:r>
              <w:rPr>
                <w:rFonts w:hint="eastAsia"/>
                <w:color w:val="auto"/>
                <w:sz w:val="24"/>
                <w:szCs w:val="24"/>
                <w:lang w:eastAsia="zh-CN"/>
              </w:rPr>
              <w:t>（</w:t>
            </w:r>
            <w:r>
              <w:rPr>
                <w:rFonts w:hint="eastAsia"/>
                <w:color w:val="auto"/>
                <w:sz w:val="24"/>
                <w:szCs w:val="24"/>
              </w:rPr>
              <w:t>配送到指定学校地点</w:t>
            </w:r>
            <w:r>
              <w:rPr>
                <w:rFonts w:hint="eastAsia"/>
                <w:color w:val="auto"/>
                <w:sz w:val="24"/>
                <w:szCs w:val="24"/>
                <w:lang w:eastAsia="zh-CN"/>
              </w:rPr>
              <w:t>）</w:t>
            </w:r>
            <w:r>
              <w:rPr>
                <w:rFonts w:hint="eastAsia"/>
                <w:color w:val="auto"/>
                <w:sz w:val="24"/>
                <w:szCs w:val="24"/>
              </w:rPr>
              <w:t>、售后服务及国家按现行税收政策征收的一切税费等。</w:t>
            </w:r>
          </w:p>
          <w:p w14:paraId="2A3A1DDD">
            <w:pPr>
              <w:keepNext w:val="0"/>
              <w:keepLines w:val="0"/>
              <w:pageBreakBefore w:val="0"/>
              <w:widowControl w:val="0"/>
              <w:kinsoku/>
              <w:wordWrap/>
              <w:overflowPunct/>
              <w:topLinePunct w:val="0"/>
              <w:autoSpaceDE w:val="0"/>
              <w:autoSpaceDN w:val="0"/>
              <w:bidi w:val="0"/>
              <w:adjustRightInd/>
              <w:snapToGrid/>
              <w:spacing w:line="216" w:lineRule="auto"/>
              <w:ind w:left="0" w:leftChars="0" w:right="0" w:rightChars="0" w:firstLine="480" w:firstLineChars="200"/>
              <w:textAlignment w:val="auto"/>
              <w:rPr>
                <w:rFonts w:hint="eastAsia"/>
                <w:color w:val="auto"/>
                <w:sz w:val="24"/>
                <w:szCs w:val="24"/>
                <w:lang w:val="en-US" w:eastAsia="zh-CN"/>
              </w:rPr>
            </w:pPr>
            <w:r>
              <w:rPr>
                <w:rFonts w:hint="eastAsia"/>
                <w:color w:val="auto"/>
                <w:sz w:val="24"/>
                <w:szCs w:val="24"/>
                <w:lang w:val="en-US" w:eastAsia="zh-CN"/>
              </w:rPr>
              <w:t>6.</w:t>
            </w:r>
            <w:r>
              <w:rPr>
                <w:rFonts w:hint="eastAsia"/>
                <w:color w:val="auto"/>
                <w:sz w:val="24"/>
                <w:szCs w:val="24"/>
              </w:rPr>
              <w:t>表内报价内容以元为单位，可精确到分。</w:t>
            </w:r>
          </w:p>
        </w:tc>
      </w:tr>
    </w:tbl>
    <w:p w14:paraId="2A3AE641">
      <w:pPr>
        <w:pageBreakBefore w:val="0"/>
        <w:topLinePunct w:val="0"/>
        <w:bidi w:val="0"/>
        <w:spacing w:line="500" w:lineRule="exact"/>
        <w:ind w:left="0" w:leftChars="0" w:right="0" w:rightChars="0" w:firstLine="480" w:firstLineChars="200"/>
        <w:jc w:val="both"/>
        <w:rPr>
          <w:rFonts w:hint="eastAsia"/>
          <w:color w:val="auto"/>
          <w:sz w:val="24"/>
          <w:szCs w:val="24"/>
          <w:lang w:val="en-US"/>
        </w:rPr>
      </w:pPr>
      <w:r>
        <w:rPr>
          <w:rFonts w:hint="eastAsia"/>
          <w:color w:val="auto"/>
          <w:sz w:val="24"/>
          <w:szCs w:val="24"/>
          <w:lang w:eastAsia="zh-CN"/>
        </w:rPr>
        <w:t>供应商（</w:t>
      </w:r>
      <w:r>
        <w:rPr>
          <w:rFonts w:hint="eastAsia"/>
          <w:color w:val="auto"/>
          <w:sz w:val="24"/>
          <w:szCs w:val="24"/>
          <w:lang w:val="en-US" w:eastAsia="zh-CN"/>
        </w:rPr>
        <w:t>公章</w:t>
      </w:r>
      <w:r>
        <w:rPr>
          <w:rFonts w:hint="eastAsia"/>
          <w:color w:val="auto"/>
          <w:sz w:val="24"/>
          <w:szCs w:val="24"/>
          <w:lang w:eastAsia="zh-CN"/>
        </w:rPr>
        <w:t>）：</w:t>
      </w:r>
    </w:p>
    <w:p w14:paraId="2C8733F6">
      <w:pPr>
        <w:pageBreakBefore w:val="0"/>
        <w:topLinePunct w:val="0"/>
        <w:bidi w:val="0"/>
        <w:spacing w:line="500" w:lineRule="exact"/>
        <w:ind w:left="0" w:leftChars="0" w:right="0" w:rightChars="0" w:firstLine="480" w:firstLineChars="200"/>
        <w:jc w:val="both"/>
        <w:rPr>
          <w:rFonts w:hint="eastAsia"/>
          <w:color w:val="auto"/>
          <w:sz w:val="24"/>
          <w:szCs w:val="24"/>
          <w:lang w:val="en-US" w:eastAsia="zh-CN"/>
        </w:rPr>
      </w:pPr>
      <w:r>
        <w:rPr>
          <w:rFonts w:hint="eastAsia"/>
          <w:color w:val="auto"/>
          <w:sz w:val="24"/>
          <w:szCs w:val="24"/>
          <w:lang w:val="en-US" w:eastAsia="zh-CN"/>
        </w:rPr>
        <w:t>法定代表人或授权委托人（签字或盖章）：</w:t>
      </w:r>
    </w:p>
    <w:p w14:paraId="5B426E7E">
      <w:pPr>
        <w:pageBreakBefore w:val="0"/>
        <w:topLinePunct w:val="0"/>
        <w:bidi w:val="0"/>
        <w:spacing w:line="500" w:lineRule="exact"/>
        <w:ind w:left="0" w:leftChars="0" w:right="0" w:rightChars="0" w:firstLine="480" w:firstLineChars="200"/>
        <w:jc w:val="both"/>
        <w:rPr>
          <w:rFonts w:hint="eastAsia"/>
          <w:b/>
          <w:bCs/>
          <w:color w:val="auto"/>
          <w:sz w:val="32"/>
          <w:szCs w:val="32"/>
          <w:lang w:val="en-US" w:eastAsia="zh-CN"/>
        </w:rPr>
      </w:pPr>
      <w:r>
        <w:rPr>
          <w:rFonts w:hint="eastAsia"/>
          <w:color w:val="auto"/>
          <w:sz w:val="24"/>
          <w:szCs w:val="24"/>
          <w:lang w:val="en-US" w:eastAsia="zh-CN"/>
        </w:rPr>
        <w:t>日期：</w:t>
      </w:r>
      <w:r>
        <w:rPr>
          <w:rFonts w:hint="eastAsia"/>
          <w:color w:val="auto"/>
          <w:sz w:val="24"/>
          <w:szCs w:val="24"/>
        </w:rPr>
        <w:t xml:space="preserve">年 </w:t>
      </w:r>
      <w:r>
        <w:rPr>
          <w:rFonts w:hint="eastAsia"/>
          <w:color w:val="auto"/>
          <w:sz w:val="24"/>
          <w:szCs w:val="24"/>
          <w:lang w:val="en-US" w:eastAsia="zh-CN"/>
        </w:rPr>
        <w:t xml:space="preserve">  </w:t>
      </w:r>
      <w:r>
        <w:rPr>
          <w:rFonts w:hint="eastAsia"/>
          <w:color w:val="auto"/>
          <w:sz w:val="24"/>
          <w:szCs w:val="24"/>
        </w:rPr>
        <w:t xml:space="preserve">月 </w:t>
      </w:r>
      <w:r>
        <w:rPr>
          <w:rFonts w:hint="eastAsia"/>
          <w:color w:val="auto"/>
          <w:sz w:val="24"/>
          <w:szCs w:val="24"/>
          <w:lang w:val="en-US" w:eastAsia="zh-CN"/>
        </w:rPr>
        <w:t xml:space="preserve">  </w:t>
      </w:r>
      <w:r>
        <w:rPr>
          <w:rFonts w:hint="eastAsia"/>
          <w:color w:val="auto"/>
          <w:sz w:val="24"/>
          <w:szCs w:val="24"/>
        </w:rPr>
        <w:t>日</w:t>
      </w:r>
    </w:p>
    <w:p w14:paraId="34E9394F">
      <w:pPr>
        <w:pageBreakBefore w:val="0"/>
        <w:topLinePunct w:val="0"/>
        <w:bidi w:val="0"/>
        <w:spacing w:line="500" w:lineRule="exact"/>
        <w:ind w:left="0" w:leftChars="0" w:right="0" w:rightChars="0" w:firstLine="643" w:firstLineChars="200"/>
        <w:jc w:val="center"/>
        <w:rPr>
          <w:rFonts w:hint="eastAsia"/>
          <w:b/>
          <w:bCs/>
          <w:color w:val="auto"/>
          <w:sz w:val="32"/>
          <w:szCs w:val="32"/>
          <w:lang w:val="en-US" w:eastAsia="zh-CN"/>
        </w:rPr>
      </w:pPr>
    </w:p>
    <w:p w14:paraId="2FFB178F">
      <w:pPr>
        <w:pageBreakBefore w:val="0"/>
        <w:topLinePunct w:val="0"/>
        <w:bidi w:val="0"/>
        <w:spacing w:line="500" w:lineRule="exact"/>
        <w:ind w:left="0" w:leftChars="0" w:right="0" w:rightChars="0" w:firstLine="643" w:firstLineChars="200"/>
        <w:jc w:val="center"/>
        <w:rPr>
          <w:rFonts w:hint="default" w:eastAsia="宋体"/>
          <w:b/>
          <w:bCs/>
          <w:color w:val="auto"/>
          <w:lang w:val="en-US" w:eastAsia="zh-CN"/>
        </w:rPr>
      </w:pPr>
      <w:r>
        <w:rPr>
          <w:rFonts w:hint="eastAsia"/>
          <w:b/>
          <w:bCs/>
          <w:color w:val="auto"/>
          <w:sz w:val="32"/>
          <w:szCs w:val="32"/>
          <w:lang w:val="en-US" w:eastAsia="zh-CN"/>
        </w:rPr>
        <w:t>合同包二</w:t>
      </w:r>
    </w:p>
    <w:p w14:paraId="38962CA2">
      <w:pPr>
        <w:pStyle w:val="12"/>
        <w:pageBreakBefore w:val="0"/>
        <w:topLinePunct w:val="0"/>
        <w:bidi w:val="0"/>
        <w:spacing w:line="500" w:lineRule="exact"/>
        <w:ind w:left="0" w:leftChars="0" w:right="0" w:rightChars="0" w:firstLine="480" w:firstLineChars="200"/>
        <w:rPr>
          <w:color w:val="auto"/>
          <w:sz w:val="12"/>
        </w:rPr>
      </w:pPr>
      <w:r>
        <w:rPr>
          <w:color w:val="auto"/>
        </w:rPr>
        <w:t>项目名称：</w:t>
      </w:r>
    </w:p>
    <w:tbl>
      <w:tblPr>
        <w:tblStyle w:val="23"/>
        <w:tblpPr w:leftFromText="180" w:rightFromText="180" w:vertAnchor="text" w:horzAnchor="page" w:tblpX="868" w:tblpY="200"/>
        <w:tblOverlap w:val="never"/>
        <w:tblW w:w="1035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714"/>
        <w:gridCol w:w="4106"/>
        <w:gridCol w:w="2361"/>
        <w:gridCol w:w="1208"/>
        <w:gridCol w:w="970"/>
      </w:tblGrid>
      <w:tr w14:paraId="12BCB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2" w:hRule="atLeast"/>
        </w:trPr>
        <w:tc>
          <w:tcPr>
            <w:tcW w:w="1714" w:type="dxa"/>
            <w:vAlign w:val="center"/>
          </w:tcPr>
          <w:p w14:paraId="0FD81D34">
            <w:pPr>
              <w:pageBreakBefore w:val="0"/>
              <w:topLinePunct w:val="0"/>
              <w:bidi w:val="0"/>
              <w:spacing w:line="240" w:lineRule="auto"/>
              <w:ind w:left="0" w:leftChars="0" w:right="0" w:rightChars="0" w:firstLine="480" w:firstLineChars="200"/>
              <w:jc w:val="center"/>
              <w:rPr>
                <w:color w:val="auto"/>
                <w:sz w:val="24"/>
                <w:szCs w:val="24"/>
              </w:rPr>
            </w:pPr>
            <w:r>
              <w:rPr>
                <w:color w:val="auto"/>
                <w:sz w:val="24"/>
                <w:szCs w:val="24"/>
                <w:lang w:val="en-US" w:bidi="ar-SA"/>
              </w:rPr>
              <mc:AlternateContent>
                <mc:Choice Requires="wps">
                  <w:drawing>
                    <wp:anchor distT="0" distB="0" distL="114300" distR="114300" simplePos="0" relativeHeight="251675648" behindDoc="0" locked="0" layoutInCell="1" allowOverlap="1">
                      <wp:simplePos x="0" y="0"/>
                      <wp:positionH relativeFrom="column">
                        <wp:posOffset>11430</wp:posOffset>
                      </wp:positionH>
                      <wp:positionV relativeFrom="paragraph">
                        <wp:posOffset>8890</wp:posOffset>
                      </wp:positionV>
                      <wp:extent cx="1061720" cy="605155"/>
                      <wp:effectExtent l="2540" t="4445" r="2540" b="19050"/>
                      <wp:wrapNone/>
                      <wp:docPr id="2" name="直线 23"/>
                      <wp:cNvGraphicFramePr/>
                      <a:graphic xmlns:a="http://schemas.openxmlformats.org/drawingml/2006/main">
                        <a:graphicData uri="http://schemas.microsoft.com/office/word/2010/wordprocessingShape">
                          <wps:wsp>
                            <wps:cNvCnPr/>
                            <wps:spPr>
                              <a:xfrm>
                                <a:off x="0" y="0"/>
                                <a:ext cx="1061720" cy="60515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23" o:spid="_x0000_s1026" o:spt="20" style="position:absolute;left:0pt;margin-left:0.9pt;margin-top:0.7pt;height:47.65pt;width:83.6pt;z-index:251675648;mso-width-relative:page;mso-height-relative:page;" filled="f" stroked="t" coordsize="21600,21600" o:gfxdata="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mMdaDUAAAABgEAAA8A&#10;AAAAAAAAAQAgAAAAIgAAAGRycy9kb3ducmV2LnhtbFBLAQIUABQAAAAIAIdO4kBvhNaz4gEAANUD&#10;AAAOAAAAAAAAAAEAIAAAACMBAABkcnMvZTJvRG9jLnhtbFBLBQYAAAAABgAGAFkBAAB3BQAAAAA=&#10;">
                      <v:fill on="f" focussize="0,0"/>
                      <v:stroke color="#000000" joinstyle="round"/>
                      <v:imagedata o:title=""/>
                      <o:lock v:ext="edit" aspectratio="f"/>
                    </v:line>
                  </w:pict>
                </mc:Fallback>
              </mc:AlternateContent>
            </w:r>
            <w:r>
              <w:rPr>
                <w:rFonts w:hint="eastAsia"/>
                <w:color w:val="auto"/>
                <w:sz w:val="24"/>
                <w:szCs w:val="24"/>
                <w:lang w:val="en-US"/>
              </w:rPr>
              <w:t xml:space="preserve"> </w:t>
            </w:r>
            <w:r>
              <w:rPr>
                <w:rFonts w:hint="eastAsia"/>
                <w:color w:val="auto"/>
                <w:sz w:val="24"/>
                <w:szCs w:val="24"/>
              </w:rPr>
              <w:t>报价内容</w:t>
            </w:r>
          </w:p>
          <w:p w14:paraId="4843DF07">
            <w:pPr>
              <w:pageBreakBefore w:val="0"/>
              <w:topLinePunct w:val="0"/>
              <w:bidi w:val="0"/>
              <w:spacing w:line="240" w:lineRule="auto"/>
              <w:ind w:left="0" w:leftChars="0" w:right="0" w:rightChars="0" w:firstLine="480" w:firstLineChars="200"/>
              <w:jc w:val="center"/>
              <w:rPr>
                <w:color w:val="auto"/>
                <w:sz w:val="24"/>
                <w:szCs w:val="24"/>
              </w:rPr>
            </w:pPr>
          </w:p>
          <w:p w14:paraId="249E4B83">
            <w:pPr>
              <w:pageBreakBefore w:val="0"/>
              <w:topLinePunct w:val="0"/>
              <w:bidi w:val="0"/>
              <w:spacing w:line="240" w:lineRule="auto"/>
              <w:ind w:right="0" w:rightChars="0"/>
              <w:jc w:val="both"/>
              <w:rPr>
                <w:color w:val="auto"/>
                <w:sz w:val="24"/>
                <w:szCs w:val="24"/>
              </w:rPr>
            </w:pPr>
            <w:r>
              <w:rPr>
                <w:rFonts w:hint="eastAsia"/>
                <w:color w:val="auto"/>
                <w:sz w:val="24"/>
                <w:szCs w:val="24"/>
              </w:rPr>
              <w:t>投标内容</w:t>
            </w:r>
          </w:p>
        </w:tc>
        <w:tc>
          <w:tcPr>
            <w:tcW w:w="4106" w:type="dxa"/>
            <w:tcBorders>
              <w:right w:val="single" w:color="000000" w:sz="4" w:space="0"/>
            </w:tcBorders>
            <w:vAlign w:val="center"/>
          </w:tcPr>
          <w:p w14:paraId="5561EEB0">
            <w:pPr>
              <w:pageBreakBefore w:val="0"/>
              <w:topLinePunct w:val="0"/>
              <w:bidi w:val="0"/>
              <w:spacing w:line="240" w:lineRule="auto"/>
              <w:ind w:left="0" w:leftChars="0" w:right="0" w:rightChars="0" w:firstLine="1680" w:firstLineChars="700"/>
              <w:jc w:val="both"/>
              <w:rPr>
                <w:rFonts w:hint="default"/>
                <w:color w:val="auto"/>
                <w:sz w:val="24"/>
                <w:szCs w:val="24"/>
                <w:lang w:val="en-US" w:eastAsia="zh-CN"/>
              </w:rPr>
            </w:pPr>
            <w:r>
              <w:rPr>
                <w:rFonts w:hint="eastAsia"/>
                <w:color w:val="auto"/>
                <w:sz w:val="24"/>
                <w:szCs w:val="24"/>
                <w:lang w:val="en-US" w:eastAsia="zh-CN"/>
              </w:rPr>
              <w:t>所投产品</w:t>
            </w:r>
          </w:p>
        </w:tc>
        <w:tc>
          <w:tcPr>
            <w:tcW w:w="2361" w:type="dxa"/>
            <w:tcBorders>
              <w:left w:val="single" w:color="000000" w:sz="4" w:space="0"/>
              <w:right w:val="single" w:color="000000" w:sz="4" w:space="0"/>
            </w:tcBorders>
            <w:vAlign w:val="center"/>
          </w:tcPr>
          <w:p w14:paraId="6811B69E">
            <w:pPr>
              <w:pageBreakBefore w:val="0"/>
              <w:topLinePunct w:val="0"/>
              <w:bidi w:val="0"/>
              <w:spacing w:line="240" w:lineRule="auto"/>
              <w:ind w:right="0" w:rightChars="0"/>
              <w:jc w:val="both"/>
              <w:rPr>
                <w:rFonts w:hint="default" w:eastAsia="宋体"/>
                <w:color w:val="auto"/>
                <w:sz w:val="24"/>
                <w:szCs w:val="24"/>
                <w:lang w:val="en-US" w:eastAsia="zh-CN"/>
              </w:rPr>
            </w:pPr>
            <w:r>
              <w:rPr>
                <w:rFonts w:hint="eastAsia"/>
                <w:color w:val="auto"/>
                <w:sz w:val="24"/>
                <w:szCs w:val="24"/>
                <w:lang w:val="en-US" w:eastAsia="zh-CN"/>
              </w:rPr>
              <w:t>肉类食材、鸡蛋投标优惠率（%）</w:t>
            </w:r>
          </w:p>
        </w:tc>
        <w:tc>
          <w:tcPr>
            <w:tcW w:w="1208" w:type="dxa"/>
            <w:tcBorders>
              <w:left w:val="single" w:color="000000" w:sz="4" w:space="0"/>
            </w:tcBorders>
            <w:vAlign w:val="center"/>
          </w:tcPr>
          <w:p w14:paraId="3D4DBEA2">
            <w:pPr>
              <w:pageBreakBefore w:val="0"/>
              <w:topLinePunct w:val="0"/>
              <w:bidi w:val="0"/>
              <w:spacing w:line="240" w:lineRule="auto"/>
              <w:ind w:right="0" w:rightChars="0"/>
              <w:jc w:val="center"/>
              <w:rPr>
                <w:rFonts w:hint="eastAsia" w:eastAsia="宋体"/>
                <w:color w:val="auto"/>
                <w:sz w:val="24"/>
                <w:szCs w:val="24"/>
                <w:lang w:eastAsia="zh-CN"/>
              </w:rPr>
            </w:pPr>
            <w:r>
              <w:rPr>
                <w:rFonts w:hint="eastAsia" w:eastAsia="宋体"/>
                <w:color w:val="auto"/>
                <w:sz w:val="24"/>
                <w:szCs w:val="24"/>
                <w:lang w:eastAsia="zh-CN"/>
              </w:rPr>
              <w:t>投标报价（</w:t>
            </w:r>
            <w:r>
              <w:rPr>
                <w:rFonts w:hint="eastAsia" w:eastAsia="宋体"/>
                <w:color w:val="auto"/>
                <w:sz w:val="24"/>
                <w:szCs w:val="24"/>
                <w:lang w:val="en-US" w:eastAsia="zh-CN"/>
              </w:rPr>
              <w:t>元</w:t>
            </w:r>
            <w:r>
              <w:rPr>
                <w:rFonts w:hint="eastAsia" w:eastAsia="宋体"/>
                <w:color w:val="auto"/>
                <w:sz w:val="24"/>
                <w:szCs w:val="24"/>
                <w:lang w:eastAsia="zh-CN"/>
              </w:rPr>
              <w:t>）</w:t>
            </w:r>
          </w:p>
        </w:tc>
        <w:tc>
          <w:tcPr>
            <w:tcW w:w="970" w:type="dxa"/>
            <w:tcBorders>
              <w:left w:val="single" w:color="000000" w:sz="4" w:space="0"/>
            </w:tcBorders>
            <w:vAlign w:val="center"/>
          </w:tcPr>
          <w:p w14:paraId="18E82385">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供货期</w:t>
            </w:r>
          </w:p>
        </w:tc>
      </w:tr>
      <w:tr w14:paraId="1FB8D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3" w:hRule="atLeast"/>
        </w:trPr>
        <w:tc>
          <w:tcPr>
            <w:tcW w:w="1714" w:type="dxa"/>
            <w:vAlign w:val="center"/>
          </w:tcPr>
          <w:p w14:paraId="3F77C7FD">
            <w:pPr>
              <w:pageBreakBefore w:val="0"/>
              <w:topLinePunct w:val="0"/>
              <w:bidi w:val="0"/>
              <w:spacing w:line="240" w:lineRule="auto"/>
              <w:ind w:right="0" w:rightChars="0"/>
              <w:jc w:val="center"/>
              <w:rPr>
                <w:rFonts w:hint="eastAsia" w:eastAsia="宋体"/>
                <w:color w:val="auto"/>
                <w:sz w:val="24"/>
                <w:szCs w:val="24"/>
                <w:lang w:eastAsia="zh-CN"/>
              </w:rPr>
            </w:pPr>
            <w:r>
              <w:rPr>
                <w:rFonts w:hint="eastAsia"/>
                <w:color w:val="auto"/>
                <w:sz w:val="24"/>
                <w:szCs w:val="24"/>
                <w:lang w:val="en-US" w:eastAsia="zh-CN"/>
              </w:rPr>
              <w:t>猪肉</w:t>
            </w:r>
          </w:p>
        </w:tc>
        <w:tc>
          <w:tcPr>
            <w:tcW w:w="4106" w:type="dxa"/>
            <w:tcBorders>
              <w:right w:val="single" w:color="000000" w:sz="4" w:space="0"/>
            </w:tcBorders>
            <w:vAlign w:val="center"/>
          </w:tcPr>
          <w:p w14:paraId="5F915944">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2889F8FC">
            <w:pPr>
              <w:pageBreakBefore w:val="0"/>
              <w:topLinePunct w:val="0"/>
              <w:bidi w:val="0"/>
              <w:spacing w:line="240" w:lineRule="auto"/>
              <w:ind w:right="0" w:rightChars="0"/>
              <w:jc w:val="both"/>
            </w:pPr>
            <w:r>
              <w:rPr>
                <w:rFonts w:hint="eastAsia"/>
                <w:color w:val="auto"/>
                <w:sz w:val="24"/>
                <w:szCs w:val="24"/>
                <w:lang w:val="en-US" w:eastAsia="zh-CN"/>
              </w:rPr>
              <w:t>生产商：</w:t>
            </w:r>
          </w:p>
        </w:tc>
        <w:tc>
          <w:tcPr>
            <w:tcW w:w="2361" w:type="dxa"/>
            <w:vMerge w:val="restart"/>
            <w:tcBorders>
              <w:left w:val="single" w:color="000000" w:sz="4" w:space="0"/>
              <w:right w:val="single" w:color="000000" w:sz="4" w:space="0"/>
            </w:tcBorders>
            <w:vAlign w:val="center"/>
          </w:tcPr>
          <w:p w14:paraId="430674FF">
            <w:pPr>
              <w:pageBreakBefore w:val="0"/>
              <w:topLinePunct w:val="0"/>
              <w:bidi w:val="0"/>
              <w:spacing w:line="240" w:lineRule="auto"/>
              <w:ind w:left="0" w:leftChars="0" w:right="0" w:rightChars="0" w:firstLine="480" w:firstLineChars="200"/>
              <w:jc w:val="center"/>
              <w:rPr>
                <w:color w:val="auto"/>
                <w:sz w:val="24"/>
                <w:szCs w:val="24"/>
              </w:rPr>
            </w:pPr>
            <w:r>
              <w:rPr>
                <w:rFonts w:hint="eastAsia"/>
                <w:color w:val="auto"/>
                <w:sz w:val="24"/>
                <w:szCs w:val="24"/>
                <w:u w:val="single"/>
                <w:lang w:val="en-US" w:eastAsia="zh-CN"/>
              </w:rPr>
              <w:t xml:space="preserve">    </w:t>
            </w:r>
            <w:r>
              <w:rPr>
                <w:rFonts w:hint="eastAsia"/>
                <w:color w:val="auto"/>
                <w:sz w:val="24"/>
                <w:szCs w:val="24"/>
                <w:u w:val="none"/>
                <w:lang w:val="en-US" w:eastAsia="zh-CN"/>
              </w:rPr>
              <w:t>%</w:t>
            </w:r>
          </w:p>
        </w:tc>
        <w:tc>
          <w:tcPr>
            <w:tcW w:w="1208" w:type="dxa"/>
            <w:tcBorders>
              <w:left w:val="single" w:color="000000" w:sz="4" w:space="0"/>
            </w:tcBorders>
            <w:vAlign w:val="center"/>
          </w:tcPr>
          <w:p w14:paraId="636225F3">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750C8FC6">
            <w:pPr>
              <w:pageBreakBefore w:val="0"/>
              <w:topLinePunct w:val="0"/>
              <w:bidi w:val="0"/>
              <w:spacing w:line="240" w:lineRule="auto"/>
              <w:ind w:left="0" w:leftChars="0" w:right="0" w:rightChars="0" w:firstLine="480" w:firstLineChars="200"/>
              <w:jc w:val="center"/>
              <w:rPr>
                <w:color w:val="auto"/>
                <w:sz w:val="24"/>
                <w:szCs w:val="24"/>
              </w:rPr>
            </w:pPr>
          </w:p>
        </w:tc>
      </w:tr>
      <w:tr w14:paraId="3CC53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62" w:hRule="atLeast"/>
        </w:trPr>
        <w:tc>
          <w:tcPr>
            <w:tcW w:w="1714" w:type="dxa"/>
            <w:vAlign w:val="center"/>
          </w:tcPr>
          <w:p w14:paraId="34E5D12C">
            <w:pPr>
              <w:pageBreakBefore w:val="0"/>
              <w:topLinePunct w:val="0"/>
              <w:bidi w:val="0"/>
              <w:spacing w:line="240" w:lineRule="auto"/>
              <w:ind w:right="0" w:rightChars="0"/>
              <w:jc w:val="center"/>
              <w:rPr>
                <w:rFonts w:hint="eastAsia"/>
                <w:color w:val="auto"/>
                <w:sz w:val="24"/>
                <w:szCs w:val="24"/>
              </w:rPr>
            </w:pPr>
            <w:r>
              <w:rPr>
                <w:rFonts w:hint="eastAsia"/>
                <w:color w:val="auto"/>
                <w:sz w:val="24"/>
                <w:szCs w:val="24"/>
              </w:rPr>
              <w:t>鸡蛋</w:t>
            </w:r>
          </w:p>
        </w:tc>
        <w:tc>
          <w:tcPr>
            <w:tcW w:w="4106" w:type="dxa"/>
            <w:tcBorders>
              <w:right w:val="single" w:color="000000" w:sz="4" w:space="0"/>
            </w:tcBorders>
            <w:vAlign w:val="center"/>
          </w:tcPr>
          <w:p w14:paraId="2F604586">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6B5A8387">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361" w:type="dxa"/>
            <w:vMerge w:val="continue"/>
            <w:tcBorders>
              <w:left w:val="single" w:color="000000" w:sz="4" w:space="0"/>
              <w:right w:val="single" w:color="000000" w:sz="4" w:space="0"/>
            </w:tcBorders>
            <w:vAlign w:val="center"/>
          </w:tcPr>
          <w:p w14:paraId="44577F4A">
            <w:pPr>
              <w:pageBreakBefore w:val="0"/>
              <w:topLinePunct w:val="0"/>
              <w:bidi w:val="0"/>
              <w:spacing w:line="240" w:lineRule="auto"/>
              <w:ind w:left="0" w:leftChars="0" w:right="0" w:rightChars="0" w:firstLine="480" w:firstLineChars="200"/>
              <w:jc w:val="center"/>
              <w:rPr>
                <w:rFonts w:hint="eastAsia"/>
                <w:color w:val="auto"/>
                <w:sz w:val="24"/>
                <w:szCs w:val="24"/>
                <w:u w:val="single"/>
                <w:lang w:val="en-US" w:eastAsia="zh-CN"/>
              </w:rPr>
            </w:pPr>
          </w:p>
        </w:tc>
        <w:tc>
          <w:tcPr>
            <w:tcW w:w="1208" w:type="dxa"/>
            <w:tcBorders>
              <w:left w:val="single" w:color="000000" w:sz="4" w:space="0"/>
            </w:tcBorders>
            <w:vAlign w:val="center"/>
          </w:tcPr>
          <w:p w14:paraId="11ED2B16">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180B6F55">
            <w:pPr>
              <w:pageBreakBefore w:val="0"/>
              <w:topLinePunct w:val="0"/>
              <w:bidi w:val="0"/>
              <w:spacing w:line="240" w:lineRule="auto"/>
              <w:ind w:left="0" w:leftChars="0" w:right="0" w:rightChars="0" w:firstLine="480" w:firstLineChars="200"/>
              <w:jc w:val="center"/>
              <w:rPr>
                <w:color w:val="auto"/>
                <w:sz w:val="24"/>
                <w:szCs w:val="24"/>
              </w:rPr>
            </w:pPr>
          </w:p>
        </w:tc>
      </w:tr>
      <w:tr w14:paraId="0F3B5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1" w:hRule="atLeast"/>
        </w:trPr>
        <w:tc>
          <w:tcPr>
            <w:tcW w:w="1714" w:type="dxa"/>
            <w:vAlign w:val="center"/>
          </w:tcPr>
          <w:p w14:paraId="0DAB2805">
            <w:pPr>
              <w:pageBreakBefore w:val="0"/>
              <w:topLinePunct w:val="0"/>
              <w:bidi w:val="0"/>
              <w:spacing w:line="240" w:lineRule="auto"/>
              <w:ind w:right="0" w:rightChars="0"/>
              <w:jc w:val="center"/>
              <w:rPr>
                <w:rFonts w:hint="eastAsia" w:eastAsia="宋体"/>
                <w:color w:val="auto"/>
                <w:sz w:val="24"/>
                <w:szCs w:val="24"/>
                <w:lang w:val="en-US" w:eastAsia="zh-CN"/>
              </w:rPr>
            </w:pPr>
            <w:r>
              <w:rPr>
                <w:rFonts w:hint="eastAsia"/>
                <w:color w:val="auto"/>
                <w:sz w:val="24"/>
                <w:szCs w:val="24"/>
                <w:lang w:val="en-US" w:eastAsia="zh-CN"/>
              </w:rPr>
              <w:t>牛肉</w:t>
            </w:r>
          </w:p>
        </w:tc>
        <w:tc>
          <w:tcPr>
            <w:tcW w:w="4106" w:type="dxa"/>
            <w:tcBorders>
              <w:right w:val="single" w:color="000000" w:sz="4" w:space="0"/>
            </w:tcBorders>
            <w:vAlign w:val="center"/>
          </w:tcPr>
          <w:p w14:paraId="1ADB1FA9">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1AC1A725">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361" w:type="dxa"/>
            <w:vMerge w:val="continue"/>
            <w:tcBorders>
              <w:left w:val="single" w:color="000000" w:sz="4" w:space="0"/>
              <w:right w:val="single" w:color="000000" w:sz="4" w:space="0"/>
            </w:tcBorders>
            <w:vAlign w:val="center"/>
          </w:tcPr>
          <w:p w14:paraId="2F395AF1">
            <w:pPr>
              <w:pageBreakBefore w:val="0"/>
              <w:topLinePunct w:val="0"/>
              <w:bidi w:val="0"/>
              <w:spacing w:line="240" w:lineRule="auto"/>
              <w:ind w:left="0" w:leftChars="0" w:right="0" w:rightChars="0" w:firstLine="480" w:firstLineChars="200"/>
              <w:jc w:val="center"/>
              <w:rPr>
                <w:rFonts w:hint="eastAsia"/>
                <w:color w:val="auto"/>
                <w:sz w:val="24"/>
                <w:szCs w:val="24"/>
                <w:u w:val="single"/>
                <w:lang w:val="en-US" w:eastAsia="zh-CN"/>
              </w:rPr>
            </w:pPr>
          </w:p>
        </w:tc>
        <w:tc>
          <w:tcPr>
            <w:tcW w:w="1208" w:type="dxa"/>
            <w:tcBorders>
              <w:left w:val="single" w:color="000000" w:sz="4" w:space="0"/>
            </w:tcBorders>
            <w:vAlign w:val="center"/>
          </w:tcPr>
          <w:p w14:paraId="0C335A13">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08CB0B48">
            <w:pPr>
              <w:pageBreakBefore w:val="0"/>
              <w:topLinePunct w:val="0"/>
              <w:bidi w:val="0"/>
              <w:spacing w:line="240" w:lineRule="auto"/>
              <w:ind w:left="0" w:leftChars="0" w:right="0" w:rightChars="0" w:firstLine="480" w:firstLineChars="200"/>
              <w:jc w:val="center"/>
              <w:rPr>
                <w:color w:val="auto"/>
                <w:sz w:val="24"/>
                <w:szCs w:val="24"/>
              </w:rPr>
            </w:pPr>
          </w:p>
        </w:tc>
      </w:tr>
      <w:tr w14:paraId="5B697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trPr>
        <w:tc>
          <w:tcPr>
            <w:tcW w:w="1714" w:type="dxa"/>
            <w:vAlign w:val="center"/>
          </w:tcPr>
          <w:p w14:paraId="76184F09">
            <w:pPr>
              <w:pageBreakBefore w:val="0"/>
              <w:topLinePunct w:val="0"/>
              <w:bidi w:val="0"/>
              <w:spacing w:line="240" w:lineRule="auto"/>
              <w:ind w:right="0" w:rightChars="0"/>
              <w:jc w:val="center"/>
              <w:rPr>
                <w:rFonts w:hint="eastAsia" w:eastAsia="宋体"/>
                <w:color w:val="auto"/>
                <w:sz w:val="24"/>
                <w:szCs w:val="24"/>
                <w:lang w:val="en-US" w:eastAsia="zh-CN"/>
              </w:rPr>
            </w:pPr>
            <w:r>
              <w:rPr>
                <w:rFonts w:hint="eastAsia"/>
                <w:color w:val="auto"/>
                <w:sz w:val="24"/>
                <w:szCs w:val="24"/>
                <w:lang w:val="en-US" w:eastAsia="zh-CN"/>
              </w:rPr>
              <w:t>羊肉</w:t>
            </w:r>
          </w:p>
        </w:tc>
        <w:tc>
          <w:tcPr>
            <w:tcW w:w="4106" w:type="dxa"/>
            <w:tcBorders>
              <w:right w:val="single" w:color="000000" w:sz="4" w:space="0"/>
            </w:tcBorders>
            <w:vAlign w:val="center"/>
          </w:tcPr>
          <w:p w14:paraId="6A2B6C4B">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28DD632F">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361" w:type="dxa"/>
            <w:vMerge w:val="continue"/>
            <w:tcBorders>
              <w:left w:val="single" w:color="000000" w:sz="4" w:space="0"/>
              <w:right w:val="single" w:color="000000" w:sz="4" w:space="0"/>
            </w:tcBorders>
            <w:vAlign w:val="center"/>
          </w:tcPr>
          <w:p w14:paraId="33DCAC1E">
            <w:pPr>
              <w:pageBreakBefore w:val="0"/>
              <w:topLinePunct w:val="0"/>
              <w:bidi w:val="0"/>
              <w:spacing w:line="240" w:lineRule="auto"/>
              <w:ind w:left="0" w:leftChars="0" w:right="0" w:rightChars="0" w:firstLine="480" w:firstLineChars="200"/>
              <w:jc w:val="center"/>
              <w:rPr>
                <w:rFonts w:hint="eastAsia"/>
                <w:color w:val="auto"/>
                <w:sz w:val="24"/>
                <w:szCs w:val="24"/>
                <w:u w:val="single"/>
                <w:lang w:val="en-US" w:eastAsia="zh-CN"/>
              </w:rPr>
            </w:pPr>
          </w:p>
        </w:tc>
        <w:tc>
          <w:tcPr>
            <w:tcW w:w="1208" w:type="dxa"/>
            <w:tcBorders>
              <w:left w:val="single" w:color="000000" w:sz="4" w:space="0"/>
            </w:tcBorders>
            <w:vAlign w:val="center"/>
          </w:tcPr>
          <w:p w14:paraId="73332A21">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4B169909">
            <w:pPr>
              <w:pageBreakBefore w:val="0"/>
              <w:topLinePunct w:val="0"/>
              <w:bidi w:val="0"/>
              <w:spacing w:line="240" w:lineRule="auto"/>
              <w:ind w:left="0" w:leftChars="0" w:right="0" w:rightChars="0" w:firstLine="480" w:firstLineChars="200"/>
              <w:jc w:val="center"/>
              <w:rPr>
                <w:color w:val="auto"/>
                <w:sz w:val="24"/>
                <w:szCs w:val="24"/>
              </w:rPr>
            </w:pPr>
          </w:p>
        </w:tc>
      </w:tr>
      <w:tr w14:paraId="73D07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7" w:hRule="atLeast"/>
        </w:trPr>
        <w:tc>
          <w:tcPr>
            <w:tcW w:w="1714" w:type="dxa"/>
            <w:vAlign w:val="center"/>
          </w:tcPr>
          <w:p w14:paraId="33001A04">
            <w:pPr>
              <w:pageBreakBefore w:val="0"/>
              <w:topLinePunct w:val="0"/>
              <w:bidi w:val="0"/>
              <w:spacing w:line="240" w:lineRule="auto"/>
              <w:ind w:right="0" w:rightChars="0"/>
              <w:jc w:val="center"/>
              <w:rPr>
                <w:rFonts w:hint="default"/>
                <w:color w:val="auto"/>
                <w:sz w:val="24"/>
                <w:szCs w:val="24"/>
                <w:lang w:val="en-US" w:eastAsia="zh-CN"/>
              </w:rPr>
            </w:pPr>
            <w:r>
              <w:rPr>
                <w:rFonts w:hint="eastAsia"/>
                <w:color w:val="auto"/>
                <w:sz w:val="24"/>
                <w:szCs w:val="24"/>
                <w:lang w:val="en-US" w:eastAsia="zh-CN"/>
              </w:rPr>
              <w:t>鸡肉</w:t>
            </w:r>
          </w:p>
        </w:tc>
        <w:tc>
          <w:tcPr>
            <w:tcW w:w="4106" w:type="dxa"/>
            <w:tcBorders>
              <w:right w:val="single" w:color="000000" w:sz="4" w:space="0"/>
            </w:tcBorders>
            <w:vAlign w:val="center"/>
          </w:tcPr>
          <w:p w14:paraId="0197C2FB">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32CC84C2">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361" w:type="dxa"/>
            <w:vMerge w:val="continue"/>
            <w:tcBorders>
              <w:left w:val="single" w:color="000000" w:sz="4" w:space="0"/>
              <w:right w:val="single" w:color="000000" w:sz="4" w:space="0"/>
            </w:tcBorders>
            <w:vAlign w:val="center"/>
          </w:tcPr>
          <w:p w14:paraId="2540EF9F">
            <w:pPr>
              <w:pageBreakBefore w:val="0"/>
              <w:topLinePunct w:val="0"/>
              <w:bidi w:val="0"/>
              <w:spacing w:line="240" w:lineRule="auto"/>
              <w:ind w:left="0" w:leftChars="0" w:right="0" w:rightChars="0" w:firstLine="480" w:firstLineChars="200"/>
              <w:jc w:val="center"/>
              <w:rPr>
                <w:rFonts w:hint="eastAsia"/>
                <w:color w:val="auto"/>
                <w:sz w:val="24"/>
                <w:szCs w:val="24"/>
                <w:u w:val="single"/>
                <w:lang w:val="en-US" w:eastAsia="zh-CN"/>
              </w:rPr>
            </w:pPr>
          </w:p>
        </w:tc>
        <w:tc>
          <w:tcPr>
            <w:tcW w:w="1208" w:type="dxa"/>
            <w:tcBorders>
              <w:left w:val="single" w:color="000000" w:sz="4" w:space="0"/>
            </w:tcBorders>
            <w:vAlign w:val="center"/>
          </w:tcPr>
          <w:p w14:paraId="1BDAB6E7">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6F3FE79C">
            <w:pPr>
              <w:pageBreakBefore w:val="0"/>
              <w:topLinePunct w:val="0"/>
              <w:bidi w:val="0"/>
              <w:spacing w:line="240" w:lineRule="auto"/>
              <w:ind w:left="0" w:leftChars="0" w:right="0" w:rightChars="0" w:firstLine="480" w:firstLineChars="200"/>
              <w:jc w:val="center"/>
              <w:rPr>
                <w:color w:val="auto"/>
                <w:sz w:val="24"/>
                <w:szCs w:val="24"/>
              </w:rPr>
            </w:pPr>
          </w:p>
        </w:tc>
      </w:tr>
      <w:tr w14:paraId="52BF9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0" w:hRule="atLeast"/>
        </w:trPr>
        <w:tc>
          <w:tcPr>
            <w:tcW w:w="1714" w:type="dxa"/>
            <w:vAlign w:val="center"/>
          </w:tcPr>
          <w:p w14:paraId="75DBC7FF">
            <w:pPr>
              <w:pageBreakBefore w:val="0"/>
              <w:topLinePunct w:val="0"/>
              <w:bidi w:val="0"/>
              <w:spacing w:line="240" w:lineRule="auto"/>
              <w:ind w:right="0" w:rightChars="0"/>
              <w:jc w:val="center"/>
              <w:rPr>
                <w:rFonts w:hint="eastAsia"/>
                <w:color w:val="auto"/>
                <w:sz w:val="24"/>
                <w:szCs w:val="24"/>
              </w:rPr>
            </w:pPr>
            <w:r>
              <w:rPr>
                <w:rFonts w:hint="eastAsia"/>
                <w:color w:val="auto"/>
                <w:sz w:val="24"/>
                <w:szCs w:val="24"/>
                <w:lang w:val="en-US" w:eastAsia="zh-CN"/>
              </w:rPr>
              <w:t>投标总报价（元）</w:t>
            </w:r>
          </w:p>
        </w:tc>
        <w:tc>
          <w:tcPr>
            <w:tcW w:w="8645" w:type="dxa"/>
            <w:gridSpan w:val="4"/>
            <w:vAlign w:val="center"/>
          </w:tcPr>
          <w:p w14:paraId="7C744E5E">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大写：</w:t>
            </w:r>
          </w:p>
          <w:p w14:paraId="3D1C89C5">
            <w:pPr>
              <w:pageBreakBefore w:val="0"/>
              <w:topLinePunct w:val="0"/>
              <w:bidi w:val="0"/>
              <w:spacing w:line="240" w:lineRule="auto"/>
              <w:ind w:right="0" w:rightChars="0"/>
              <w:jc w:val="both"/>
              <w:rPr>
                <w:color w:val="auto"/>
                <w:sz w:val="24"/>
                <w:szCs w:val="24"/>
              </w:rPr>
            </w:pPr>
            <w:r>
              <w:rPr>
                <w:rFonts w:hint="eastAsia"/>
                <w:color w:val="auto"/>
                <w:sz w:val="24"/>
                <w:szCs w:val="24"/>
                <w:lang w:val="en-US" w:eastAsia="zh-CN"/>
              </w:rPr>
              <w:t>小写：</w:t>
            </w:r>
          </w:p>
        </w:tc>
      </w:tr>
      <w:tr w14:paraId="5F6CC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0" w:hRule="atLeast"/>
        </w:trPr>
        <w:tc>
          <w:tcPr>
            <w:tcW w:w="10359" w:type="dxa"/>
            <w:gridSpan w:val="5"/>
            <w:vAlign w:val="center"/>
          </w:tcPr>
          <w:p w14:paraId="709F4EFA">
            <w:pPr>
              <w:pageBreakBefore w:val="0"/>
              <w:topLinePunct w:val="0"/>
              <w:bidi w:val="0"/>
              <w:spacing w:line="500" w:lineRule="exact"/>
              <w:ind w:left="0" w:leftChars="0" w:right="0" w:rightChars="0" w:firstLine="482" w:firstLineChars="200"/>
              <w:rPr>
                <w:rFonts w:hint="eastAsia"/>
                <w:b/>
                <w:bCs/>
                <w:color w:val="auto"/>
                <w:sz w:val="24"/>
                <w:szCs w:val="24"/>
              </w:rPr>
            </w:pPr>
            <w:r>
              <w:rPr>
                <w:rFonts w:hint="eastAsia"/>
                <w:b/>
                <w:bCs/>
                <w:color w:val="auto"/>
                <w:sz w:val="24"/>
                <w:szCs w:val="24"/>
              </w:rPr>
              <w:t>备注：</w:t>
            </w:r>
          </w:p>
          <w:p w14:paraId="4E8B71A2">
            <w:pPr>
              <w:pageBreakBefore w:val="0"/>
              <w:numPr>
                <w:ilvl w:val="0"/>
                <w:numId w:val="0"/>
              </w:numPr>
              <w:topLinePunct w:val="0"/>
              <w:bidi w:val="0"/>
              <w:spacing w:line="240" w:lineRule="auto"/>
              <w:ind w:right="0" w:rightChars="0" w:firstLine="480" w:firstLineChars="200"/>
              <w:rPr>
                <w:rFonts w:hint="eastAsia"/>
                <w:b w:val="0"/>
                <w:bCs w:val="0"/>
                <w:color w:val="auto"/>
                <w:sz w:val="24"/>
                <w:szCs w:val="24"/>
              </w:rPr>
            </w:pPr>
            <w:r>
              <w:rPr>
                <w:rFonts w:hint="eastAsia" w:cs="宋体"/>
                <w:i w:val="0"/>
                <w:iCs w:val="0"/>
                <w:color w:val="auto"/>
                <w:sz w:val="24"/>
                <w:szCs w:val="24"/>
                <w:shd w:val="clear" w:color="auto" w:fill="auto"/>
                <w:lang w:val="en-US" w:eastAsia="zh-CN"/>
              </w:rPr>
              <w:t>1.</w:t>
            </w:r>
            <w:r>
              <w:rPr>
                <w:rFonts w:hint="eastAsia" w:ascii="宋体" w:hAnsi="宋体" w:eastAsia="宋体" w:cs="宋体"/>
                <w:i w:val="0"/>
                <w:iCs w:val="0"/>
                <w:color w:val="auto"/>
                <w:sz w:val="24"/>
                <w:szCs w:val="24"/>
                <w:shd w:val="clear" w:color="auto" w:fill="auto"/>
              </w:rPr>
              <w:t>投标报价表中</w:t>
            </w:r>
            <w:r>
              <w:rPr>
                <w:rFonts w:hint="eastAsia" w:ascii="宋体" w:hAnsi="宋体" w:eastAsia="宋体" w:cs="宋体"/>
                <w:i w:val="0"/>
                <w:iCs w:val="0"/>
                <w:color w:val="auto"/>
                <w:sz w:val="24"/>
                <w:szCs w:val="24"/>
                <w:shd w:val="clear" w:color="auto" w:fill="auto"/>
                <w:lang w:eastAsia="zh-CN"/>
              </w:rPr>
              <w:t>（</w:t>
            </w:r>
            <w:r>
              <w:rPr>
                <w:rFonts w:hint="eastAsia" w:cs="宋体"/>
                <w:i w:val="0"/>
                <w:iCs w:val="0"/>
                <w:color w:val="auto"/>
                <w:sz w:val="24"/>
                <w:szCs w:val="24"/>
                <w:shd w:val="clear" w:color="auto" w:fill="auto"/>
                <w:lang w:val="en-US" w:eastAsia="zh-CN"/>
              </w:rPr>
              <w:t>肉类食材、鸡蛋</w:t>
            </w:r>
            <w:r>
              <w:rPr>
                <w:rFonts w:hint="eastAsia" w:ascii="宋体" w:hAnsi="宋体" w:eastAsia="宋体"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标明的价格为总价，最终结算价格单价</w:t>
            </w:r>
            <w:r>
              <w:rPr>
                <w:rFonts w:hint="eastAsia" w:ascii="宋体" w:hAnsi="宋体" w:eastAsia="宋体" w:cs="宋体"/>
                <w:i w:val="0"/>
                <w:iCs w:val="0"/>
                <w:color w:val="auto"/>
                <w:sz w:val="24"/>
                <w:szCs w:val="24"/>
                <w:shd w:val="clear" w:color="auto" w:fill="auto"/>
                <w:lang w:eastAsia="zh-CN"/>
              </w:rPr>
              <w:t>因</w:t>
            </w:r>
            <w:r>
              <w:rPr>
                <w:rFonts w:hint="eastAsia" w:ascii="宋体" w:hAnsi="宋体" w:eastAsia="宋体" w:cs="宋体"/>
                <w:i w:val="0"/>
                <w:iCs w:val="0"/>
                <w:color w:val="auto"/>
                <w:sz w:val="24"/>
                <w:szCs w:val="24"/>
                <w:shd w:val="clear" w:color="auto" w:fill="auto"/>
                <w:lang w:val="en-US" w:eastAsia="zh-CN"/>
              </w:rPr>
              <w:t>此类原辅料价格因市场行情波动较大，需采取市场采价确定。</w:t>
            </w:r>
            <w:r>
              <w:rPr>
                <w:rFonts w:hint="eastAsia" w:cs="宋体"/>
                <w:i w:val="0"/>
                <w:iCs w:val="0"/>
                <w:color w:val="auto"/>
                <w:sz w:val="24"/>
                <w:szCs w:val="24"/>
                <w:shd w:val="clear" w:color="auto" w:fill="auto"/>
                <w:lang w:val="en-US" w:eastAsia="zh-CN"/>
              </w:rPr>
              <w:t>具体为汉滨区教体局联合区发改部门及各学校成立询价小组，选择在汉滨城区3家及以上大型商超及农贸市场进行询价。每月开展两次市场采价询价工作，将每次所取的市场均价作为后半月的结算价。故每次结算单价的计算方式为：所取的市场均价为基准*（1-优惠率），依据实际供货量据实结算，</w:t>
            </w:r>
            <w:r>
              <w:rPr>
                <w:rFonts w:hint="eastAsia" w:cs="宋体"/>
                <w:b/>
                <w:bCs/>
                <w:color w:val="auto"/>
                <w:sz w:val="24"/>
                <w:szCs w:val="24"/>
                <w:highlight w:val="none"/>
                <w:lang w:val="en-US" w:eastAsia="zh-CN"/>
              </w:rPr>
              <w:t>投标报价=本标段</w:t>
            </w:r>
            <w:r>
              <w:rPr>
                <w:rFonts w:hint="eastAsia"/>
                <w:b/>
                <w:bCs/>
                <w:color w:val="auto"/>
                <w:sz w:val="24"/>
                <w:szCs w:val="24"/>
                <w:lang w:val="en-US" w:eastAsia="zh-CN"/>
              </w:rPr>
              <w:t>总预算</w:t>
            </w:r>
            <w:r>
              <w:rPr>
                <w:rFonts w:hint="eastAsia" w:cs="宋体"/>
                <w:b/>
                <w:bCs/>
                <w:color w:val="auto"/>
                <w:sz w:val="24"/>
                <w:szCs w:val="24"/>
                <w:highlight w:val="none"/>
                <w:lang w:val="en-US" w:eastAsia="zh-CN"/>
              </w:rPr>
              <w:t>*（1-投标优惠率）</w:t>
            </w:r>
            <w:r>
              <w:rPr>
                <w:rFonts w:hint="eastAsia"/>
                <w:color w:val="auto"/>
                <w:lang w:val="en-US" w:eastAsia="zh-CN"/>
              </w:rPr>
              <w:t>。</w:t>
            </w:r>
          </w:p>
          <w:p w14:paraId="081148FC">
            <w:pPr>
              <w:pageBreakBefore w:val="0"/>
              <w:numPr>
                <w:ilvl w:val="0"/>
                <w:numId w:val="0"/>
              </w:numPr>
              <w:topLinePunct w:val="0"/>
              <w:bidi w:val="0"/>
              <w:spacing w:line="240" w:lineRule="auto"/>
              <w:ind w:right="0" w:rightChars="0" w:firstLine="480" w:firstLineChars="200"/>
              <w:rPr>
                <w:rFonts w:hint="eastAsia"/>
                <w:b w:val="0"/>
                <w:bCs w:val="0"/>
                <w:color w:val="auto"/>
                <w:sz w:val="24"/>
                <w:szCs w:val="24"/>
                <w:lang w:val="en-US" w:eastAsia="zh-CN"/>
              </w:rPr>
            </w:pPr>
            <w:r>
              <w:rPr>
                <w:rFonts w:hint="eastAsia"/>
                <w:b w:val="0"/>
                <w:bCs w:val="0"/>
                <w:color w:val="auto"/>
                <w:sz w:val="24"/>
                <w:szCs w:val="24"/>
                <w:lang w:val="en-US" w:eastAsia="zh-CN"/>
              </w:rPr>
              <w:t>2.为便于评审，以投标总报价作为评审依据（投标总价为以上报价表中所有分项报价之和），结算时将以中标单价按实际采购数量据实结算。</w:t>
            </w:r>
          </w:p>
          <w:p w14:paraId="01CEB9E7">
            <w:pPr>
              <w:spacing w:line="240" w:lineRule="auto"/>
              <w:ind w:firstLine="482" w:firstLineChars="200"/>
              <w:rPr>
                <w:rFonts w:hint="eastAsia"/>
                <w:color w:val="auto"/>
                <w:lang w:val="en-US" w:eastAsia="zh-CN"/>
              </w:rPr>
            </w:pPr>
            <w:r>
              <w:rPr>
                <w:rFonts w:hint="eastAsia" w:cs="宋体"/>
                <w:b/>
                <w:bCs/>
                <w:color w:val="auto"/>
                <w:kern w:val="0"/>
                <w:sz w:val="24"/>
                <w:szCs w:val="24"/>
                <w:lang w:val="en-US" w:eastAsia="zh-CN" w:bidi="ar"/>
              </w:rPr>
              <w:t>3.报价时数量等相关数据参考本招标文件《第三章 招标采购内容及服务要求》的数据。</w:t>
            </w:r>
          </w:p>
          <w:p w14:paraId="53818006">
            <w:pPr>
              <w:pageBreakBefore w:val="0"/>
              <w:topLinePunct w:val="0"/>
              <w:bidi w:val="0"/>
              <w:spacing w:line="240" w:lineRule="auto"/>
              <w:ind w:left="0" w:leftChars="0" w:right="0" w:rightChars="0" w:firstLine="480" w:firstLineChars="200"/>
              <w:rPr>
                <w:rFonts w:hint="eastAsia"/>
                <w:color w:val="auto"/>
                <w:sz w:val="24"/>
                <w:szCs w:val="24"/>
              </w:rPr>
            </w:pPr>
            <w:r>
              <w:rPr>
                <w:rFonts w:hint="eastAsia"/>
                <w:color w:val="auto"/>
                <w:sz w:val="24"/>
                <w:szCs w:val="24"/>
                <w:lang w:val="en-US" w:eastAsia="zh-CN"/>
              </w:rPr>
              <w:t>4.报价应</w:t>
            </w:r>
            <w:r>
              <w:rPr>
                <w:rFonts w:hint="eastAsia"/>
                <w:color w:val="auto"/>
                <w:sz w:val="24"/>
                <w:szCs w:val="24"/>
              </w:rPr>
              <w:t>包括</w:t>
            </w:r>
            <w:r>
              <w:rPr>
                <w:rFonts w:hint="eastAsia"/>
                <w:color w:val="auto"/>
                <w:sz w:val="24"/>
                <w:szCs w:val="24"/>
                <w:lang w:eastAsia="zh-CN"/>
              </w:rPr>
              <w:t>涉及</w:t>
            </w:r>
            <w:r>
              <w:rPr>
                <w:rFonts w:hint="eastAsia"/>
                <w:color w:val="auto"/>
                <w:sz w:val="24"/>
                <w:szCs w:val="24"/>
              </w:rPr>
              <w:t>的食品采购、包装、运输、装卸、加工、供货服务期限、配送</w:t>
            </w:r>
            <w:r>
              <w:rPr>
                <w:rFonts w:hint="eastAsia"/>
                <w:color w:val="auto"/>
                <w:sz w:val="24"/>
                <w:szCs w:val="24"/>
                <w:lang w:eastAsia="zh-CN"/>
              </w:rPr>
              <w:t>（</w:t>
            </w:r>
            <w:r>
              <w:rPr>
                <w:rFonts w:hint="eastAsia"/>
                <w:color w:val="auto"/>
                <w:sz w:val="24"/>
                <w:szCs w:val="24"/>
              </w:rPr>
              <w:t>配送到指定学校地点</w:t>
            </w:r>
            <w:r>
              <w:rPr>
                <w:rFonts w:hint="eastAsia"/>
                <w:color w:val="auto"/>
                <w:sz w:val="24"/>
                <w:szCs w:val="24"/>
                <w:lang w:eastAsia="zh-CN"/>
              </w:rPr>
              <w:t>）</w:t>
            </w:r>
            <w:r>
              <w:rPr>
                <w:rFonts w:hint="eastAsia"/>
                <w:color w:val="auto"/>
                <w:sz w:val="24"/>
                <w:szCs w:val="24"/>
              </w:rPr>
              <w:t>、售后服务及国家按现行税收政策征收的一切税费等。</w:t>
            </w:r>
          </w:p>
          <w:p w14:paraId="5202E133">
            <w:pPr>
              <w:pStyle w:val="12"/>
              <w:pageBreakBefore w:val="0"/>
              <w:numPr>
                <w:ilvl w:val="0"/>
                <w:numId w:val="0"/>
              </w:numPr>
              <w:topLinePunct w:val="0"/>
              <w:bidi w:val="0"/>
              <w:spacing w:line="240" w:lineRule="auto"/>
              <w:ind w:left="0" w:leftChars="0" w:right="0" w:rightChars="0" w:firstLine="480" w:firstLineChars="200"/>
              <w:rPr>
                <w:rFonts w:hint="eastAsia"/>
                <w:color w:val="auto"/>
              </w:rPr>
            </w:pPr>
            <w:r>
              <w:rPr>
                <w:rFonts w:hint="eastAsia"/>
                <w:color w:val="auto"/>
                <w:sz w:val="24"/>
                <w:szCs w:val="24"/>
                <w:lang w:val="en-US" w:eastAsia="zh-CN"/>
              </w:rPr>
              <w:t>5.</w:t>
            </w:r>
            <w:r>
              <w:rPr>
                <w:rFonts w:hint="eastAsia"/>
                <w:color w:val="auto"/>
                <w:sz w:val="24"/>
                <w:szCs w:val="24"/>
              </w:rPr>
              <w:t>表内报价内容以元为单位，可精确到分。</w:t>
            </w:r>
          </w:p>
        </w:tc>
      </w:tr>
    </w:tbl>
    <w:p w14:paraId="08C6F812">
      <w:pPr>
        <w:pageBreakBefore w:val="0"/>
        <w:topLinePunct w:val="0"/>
        <w:bidi w:val="0"/>
        <w:spacing w:line="500" w:lineRule="exact"/>
        <w:ind w:left="0" w:leftChars="0" w:right="0" w:rightChars="0" w:firstLine="480" w:firstLineChars="200"/>
        <w:jc w:val="both"/>
        <w:rPr>
          <w:rFonts w:hint="eastAsia"/>
          <w:color w:val="auto"/>
          <w:sz w:val="24"/>
          <w:szCs w:val="24"/>
          <w:lang w:eastAsia="zh-CN"/>
        </w:rPr>
      </w:pPr>
    </w:p>
    <w:p w14:paraId="5A39F05D">
      <w:pPr>
        <w:pageBreakBefore w:val="0"/>
        <w:topLinePunct w:val="0"/>
        <w:bidi w:val="0"/>
        <w:spacing w:line="500" w:lineRule="exact"/>
        <w:ind w:left="0" w:leftChars="0" w:right="0" w:rightChars="0" w:firstLine="480" w:firstLineChars="200"/>
        <w:jc w:val="both"/>
        <w:rPr>
          <w:rFonts w:hint="eastAsia"/>
          <w:color w:val="auto"/>
          <w:sz w:val="24"/>
          <w:szCs w:val="24"/>
          <w:lang w:val="en-US"/>
        </w:rPr>
      </w:pPr>
      <w:r>
        <w:rPr>
          <w:rFonts w:hint="eastAsia"/>
          <w:color w:val="auto"/>
          <w:sz w:val="24"/>
          <w:szCs w:val="24"/>
          <w:lang w:eastAsia="zh-CN"/>
        </w:rPr>
        <w:t>供应商（</w:t>
      </w:r>
      <w:r>
        <w:rPr>
          <w:rFonts w:hint="eastAsia"/>
          <w:color w:val="auto"/>
          <w:sz w:val="24"/>
          <w:szCs w:val="24"/>
          <w:lang w:val="en-US" w:eastAsia="zh-CN"/>
        </w:rPr>
        <w:t>公章</w:t>
      </w:r>
      <w:r>
        <w:rPr>
          <w:rFonts w:hint="eastAsia"/>
          <w:color w:val="auto"/>
          <w:sz w:val="24"/>
          <w:szCs w:val="24"/>
          <w:lang w:eastAsia="zh-CN"/>
        </w:rPr>
        <w:t>）：</w:t>
      </w:r>
    </w:p>
    <w:p w14:paraId="305A03AB">
      <w:pPr>
        <w:pageBreakBefore w:val="0"/>
        <w:topLinePunct w:val="0"/>
        <w:bidi w:val="0"/>
        <w:spacing w:line="500" w:lineRule="exact"/>
        <w:ind w:left="0" w:leftChars="0" w:right="0" w:rightChars="0" w:firstLine="480" w:firstLineChars="200"/>
        <w:jc w:val="both"/>
        <w:rPr>
          <w:rFonts w:hint="eastAsia"/>
          <w:color w:val="auto"/>
          <w:sz w:val="24"/>
          <w:szCs w:val="24"/>
          <w:lang w:val="zh-CN" w:eastAsia="zh-CN"/>
        </w:rPr>
      </w:pPr>
      <w:r>
        <w:rPr>
          <w:rFonts w:hint="eastAsia"/>
          <w:color w:val="auto"/>
          <w:sz w:val="24"/>
          <w:szCs w:val="24"/>
          <w:lang w:val="en-US" w:eastAsia="zh-CN"/>
        </w:rPr>
        <w:t>法定代表人或授权委托人（签字或盖章）：</w:t>
      </w:r>
    </w:p>
    <w:p w14:paraId="19AD6A86">
      <w:pPr>
        <w:pStyle w:val="12"/>
        <w:pageBreakBefore w:val="0"/>
        <w:tabs>
          <w:tab w:val="left" w:pos="3998"/>
          <w:tab w:val="left" w:pos="6318"/>
        </w:tabs>
        <w:topLinePunct w:val="0"/>
        <w:bidi w:val="0"/>
        <w:spacing w:line="500" w:lineRule="exact"/>
        <w:ind w:left="0" w:leftChars="0" w:right="0" w:rightChars="0" w:firstLine="480" w:firstLineChars="200"/>
        <w:rPr>
          <w:rFonts w:hint="eastAsia"/>
          <w:color w:val="auto"/>
          <w:sz w:val="24"/>
          <w:szCs w:val="24"/>
        </w:rPr>
      </w:pPr>
      <w:r>
        <w:rPr>
          <w:rFonts w:hint="eastAsia"/>
          <w:color w:val="auto"/>
          <w:sz w:val="24"/>
          <w:szCs w:val="24"/>
          <w:lang w:val="en-US" w:eastAsia="zh-CN"/>
        </w:rPr>
        <w:t>日期：</w:t>
      </w:r>
      <w:r>
        <w:rPr>
          <w:rFonts w:hint="eastAsia"/>
          <w:color w:val="auto"/>
          <w:sz w:val="24"/>
          <w:szCs w:val="24"/>
        </w:rPr>
        <w:t xml:space="preserve">年 </w:t>
      </w:r>
      <w:r>
        <w:rPr>
          <w:rFonts w:hint="eastAsia"/>
          <w:color w:val="auto"/>
          <w:sz w:val="24"/>
          <w:szCs w:val="24"/>
          <w:lang w:val="en-US" w:eastAsia="zh-CN"/>
        </w:rPr>
        <w:t xml:space="preserve">  </w:t>
      </w:r>
      <w:r>
        <w:rPr>
          <w:rFonts w:hint="eastAsia"/>
          <w:color w:val="auto"/>
          <w:sz w:val="24"/>
          <w:szCs w:val="24"/>
        </w:rPr>
        <w:t xml:space="preserve">月 </w:t>
      </w:r>
      <w:r>
        <w:rPr>
          <w:rFonts w:hint="eastAsia"/>
          <w:color w:val="auto"/>
          <w:sz w:val="24"/>
          <w:szCs w:val="24"/>
          <w:lang w:val="en-US" w:eastAsia="zh-CN"/>
        </w:rPr>
        <w:t xml:space="preserve">  </w:t>
      </w:r>
      <w:r>
        <w:rPr>
          <w:rFonts w:hint="eastAsia"/>
          <w:color w:val="auto"/>
          <w:sz w:val="24"/>
          <w:szCs w:val="24"/>
        </w:rPr>
        <w:t>日</w:t>
      </w:r>
    </w:p>
    <w:p w14:paraId="2BCB6638">
      <w:pPr>
        <w:pageBreakBefore w:val="0"/>
        <w:topLinePunct w:val="0"/>
        <w:bidi w:val="0"/>
        <w:spacing w:line="500" w:lineRule="exact"/>
        <w:ind w:right="0" w:rightChars="0"/>
        <w:rPr>
          <w:color w:val="auto"/>
        </w:rPr>
        <w:sectPr>
          <w:pgSz w:w="11910" w:h="16840"/>
          <w:pgMar w:top="1060" w:right="1020" w:bottom="1200" w:left="1040" w:header="872" w:footer="1005" w:gutter="0"/>
          <w:pgNumType w:fmt="decimal"/>
          <w:cols w:space="720" w:num="1"/>
        </w:sectPr>
      </w:pPr>
    </w:p>
    <w:p w14:paraId="4E6880EC">
      <w:pPr>
        <w:pageBreakBefore w:val="0"/>
        <w:topLinePunct w:val="0"/>
        <w:bidi w:val="0"/>
        <w:spacing w:line="500" w:lineRule="exact"/>
        <w:ind w:right="0" w:rightChars="0"/>
        <w:jc w:val="center"/>
        <w:rPr>
          <w:rFonts w:hint="eastAsia"/>
          <w:b/>
          <w:bCs/>
          <w:color w:val="auto"/>
          <w:sz w:val="32"/>
          <w:szCs w:val="32"/>
          <w:lang w:val="en-US" w:eastAsia="zh-CN"/>
        </w:rPr>
      </w:pPr>
      <w:r>
        <w:rPr>
          <w:rFonts w:hint="eastAsia"/>
          <w:b/>
          <w:bCs/>
          <w:color w:val="auto"/>
          <w:sz w:val="32"/>
          <w:szCs w:val="32"/>
          <w:lang w:val="en-US" w:eastAsia="zh-CN"/>
        </w:rPr>
        <w:t>合同包三</w:t>
      </w:r>
    </w:p>
    <w:p w14:paraId="20DF9C2A">
      <w:pPr>
        <w:pStyle w:val="12"/>
        <w:pageBreakBefore w:val="0"/>
        <w:topLinePunct w:val="0"/>
        <w:bidi w:val="0"/>
        <w:spacing w:line="500" w:lineRule="exact"/>
        <w:ind w:right="0" w:rightChars="0" w:firstLine="480" w:firstLineChars="200"/>
        <w:rPr>
          <w:color w:val="auto"/>
        </w:rPr>
      </w:pPr>
      <w:r>
        <w:rPr>
          <w:rFonts w:hint="eastAsia"/>
          <w:color w:val="auto"/>
          <w:lang w:val="en-US" w:eastAsia="zh-CN"/>
        </w:rPr>
        <w:t>项目名称</w:t>
      </w:r>
      <w:r>
        <w:rPr>
          <w:color w:val="auto"/>
        </w:rPr>
        <w:t>：</w:t>
      </w:r>
    </w:p>
    <w:tbl>
      <w:tblPr>
        <w:tblStyle w:val="23"/>
        <w:tblW w:w="9630" w:type="dxa"/>
        <w:tblInd w:w="19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73"/>
        <w:gridCol w:w="2223"/>
        <w:gridCol w:w="2024"/>
        <w:gridCol w:w="2070"/>
        <w:gridCol w:w="1340"/>
      </w:tblGrid>
      <w:tr w14:paraId="0EA5D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0" w:hRule="atLeast"/>
        </w:trPr>
        <w:tc>
          <w:tcPr>
            <w:tcW w:w="1973" w:type="dxa"/>
            <w:vAlign w:val="center"/>
          </w:tcPr>
          <w:p w14:paraId="5548AAA5">
            <w:pPr>
              <w:pageBreakBefore w:val="0"/>
              <w:topLinePunct w:val="0"/>
              <w:bidi w:val="0"/>
              <w:spacing w:line="500" w:lineRule="exact"/>
              <w:ind w:left="0" w:leftChars="0" w:right="0" w:rightChars="0" w:firstLine="880" w:firstLineChars="400"/>
              <w:rPr>
                <w:rFonts w:hint="eastAsia"/>
                <w:color w:val="auto"/>
                <w:sz w:val="24"/>
                <w:szCs w:val="24"/>
              </w:rPr>
            </w:pPr>
            <w:r>
              <w:rPr>
                <w:color w:val="auto"/>
                <w:lang w:val="en-US" w:bidi="ar-SA"/>
              </w:rPr>
              <mc:AlternateContent>
                <mc:Choice Requires="wps">
                  <w:drawing>
                    <wp:anchor distT="0" distB="0" distL="114300" distR="114300" simplePos="0" relativeHeight="251672576" behindDoc="1" locked="0" layoutInCell="1" allowOverlap="1">
                      <wp:simplePos x="0" y="0"/>
                      <wp:positionH relativeFrom="page">
                        <wp:posOffset>8890</wp:posOffset>
                      </wp:positionH>
                      <wp:positionV relativeFrom="paragraph">
                        <wp:posOffset>635</wp:posOffset>
                      </wp:positionV>
                      <wp:extent cx="1254125" cy="635000"/>
                      <wp:effectExtent l="1905" t="4445" r="20320" b="8255"/>
                      <wp:wrapNone/>
                      <wp:docPr id="4" name="直线 6"/>
                      <wp:cNvGraphicFramePr/>
                      <a:graphic xmlns:a="http://schemas.openxmlformats.org/drawingml/2006/main">
                        <a:graphicData uri="http://schemas.microsoft.com/office/word/2010/wordprocessingShape">
                          <wps:wsp>
                            <wps:cNvCnPr/>
                            <wps:spPr>
                              <a:xfrm>
                                <a:off x="0" y="0"/>
                                <a:ext cx="1254125" cy="635000"/>
                              </a:xfrm>
                              <a:prstGeom prst="line">
                                <a:avLst/>
                              </a:prstGeom>
                              <a:ln w="6350" cap="flat" cmpd="sng">
                                <a:solidFill>
                                  <a:srgbClr val="000000"/>
                                </a:solidFill>
                                <a:prstDash val="solid"/>
                                <a:headEnd type="none" w="med" len="med"/>
                                <a:tailEnd type="none" w="med" len="med"/>
                              </a:ln>
                            </wps:spPr>
                            <wps:bodyPr/>
                          </wps:wsp>
                        </a:graphicData>
                      </a:graphic>
                    </wp:anchor>
                  </w:drawing>
                </mc:Choice>
                <mc:Fallback>
                  <w:pict>
                    <v:line id="直线 6" o:spid="_x0000_s1026" o:spt="20" style="position:absolute;left:0pt;margin-left:0.7pt;margin-top:0.05pt;height:50pt;width:98.75pt;mso-position-horizontal-relative:page;z-index:-251643904;mso-width-relative:page;mso-height-relative:page;" filled="f" stroked="t" coordsize="21600,21600" o:gfxdata="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ggw0XRAAAABgEAAA8AAAAA&#10;AAAAAQAgAAAAIgAAAGRycy9kb3ducmV2LnhtbFBLAQIUABQAAAAIAIdO4kAbpRu44gEAANQDAAAO&#10;AAAAAAAAAAEAIAAAACABAABkcnMvZTJvRG9jLnhtbFBLBQYAAAAABgAGAFkBAAB0BQAAAAA=&#10;">
                      <v:fill on="f" focussize="0,0"/>
                      <v:stroke weight="0.5pt" color="#000000" joinstyle="round"/>
                      <v:imagedata o:title=""/>
                      <o:lock v:ext="edit" aspectratio="f"/>
                    </v:line>
                  </w:pict>
                </mc:Fallback>
              </mc:AlternateContent>
            </w:r>
            <w:r>
              <w:rPr>
                <w:rFonts w:hint="eastAsia"/>
                <w:color w:val="auto"/>
                <w:sz w:val="24"/>
                <w:szCs w:val="24"/>
              </w:rPr>
              <w:t>报价内容</w:t>
            </w:r>
          </w:p>
          <w:p w14:paraId="4296009F">
            <w:pPr>
              <w:pageBreakBefore w:val="0"/>
              <w:topLinePunct w:val="0"/>
              <w:bidi w:val="0"/>
              <w:spacing w:line="500" w:lineRule="exact"/>
              <w:ind w:right="0" w:rightChars="0"/>
              <w:rPr>
                <w:color w:val="auto"/>
                <w:sz w:val="24"/>
                <w:szCs w:val="24"/>
              </w:rPr>
            </w:pPr>
            <w:r>
              <w:rPr>
                <w:rFonts w:hint="eastAsia"/>
                <w:color w:val="auto"/>
                <w:sz w:val="24"/>
                <w:szCs w:val="24"/>
              </w:rPr>
              <w:t>投标内容</w:t>
            </w:r>
          </w:p>
        </w:tc>
        <w:tc>
          <w:tcPr>
            <w:tcW w:w="2223" w:type="dxa"/>
            <w:tcBorders>
              <w:right w:val="single" w:color="000000" w:sz="4" w:space="0"/>
            </w:tcBorders>
            <w:vAlign w:val="center"/>
          </w:tcPr>
          <w:p w14:paraId="1D9EDC57">
            <w:pPr>
              <w:pageBreakBefore w:val="0"/>
              <w:topLinePunct w:val="0"/>
              <w:bidi w:val="0"/>
              <w:spacing w:line="500" w:lineRule="exact"/>
              <w:ind w:right="0" w:rightChars="0"/>
              <w:jc w:val="center"/>
              <w:rPr>
                <w:color w:val="auto"/>
                <w:sz w:val="24"/>
                <w:szCs w:val="24"/>
              </w:rPr>
            </w:pPr>
            <w:r>
              <w:rPr>
                <w:rFonts w:hint="eastAsia"/>
                <w:color w:val="auto"/>
                <w:sz w:val="24"/>
                <w:szCs w:val="24"/>
                <w:lang w:val="en-US" w:eastAsia="zh-CN"/>
              </w:rPr>
              <w:t>所投产品</w:t>
            </w:r>
          </w:p>
        </w:tc>
        <w:tc>
          <w:tcPr>
            <w:tcW w:w="2024" w:type="dxa"/>
            <w:tcBorders>
              <w:right w:val="single" w:color="000000" w:sz="4" w:space="0"/>
            </w:tcBorders>
            <w:vAlign w:val="center"/>
          </w:tcPr>
          <w:p w14:paraId="6B71C2CE">
            <w:pPr>
              <w:pageBreakBefore w:val="0"/>
              <w:topLinePunct w:val="0"/>
              <w:bidi w:val="0"/>
              <w:spacing w:line="500" w:lineRule="exact"/>
              <w:ind w:right="0" w:rightChars="0"/>
              <w:jc w:val="center"/>
              <w:rPr>
                <w:rFonts w:hint="default"/>
                <w:color w:val="auto"/>
                <w:sz w:val="24"/>
                <w:szCs w:val="24"/>
                <w:lang w:val="en-US"/>
              </w:rPr>
            </w:pPr>
            <w:r>
              <w:rPr>
                <w:rFonts w:hint="eastAsia"/>
                <w:color w:val="auto"/>
                <w:sz w:val="24"/>
                <w:szCs w:val="24"/>
                <w:lang w:val="en-US" w:eastAsia="zh-CN"/>
              </w:rPr>
              <w:t>投标报价（元）</w:t>
            </w:r>
          </w:p>
        </w:tc>
        <w:tc>
          <w:tcPr>
            <w:tcW w:w="2070" w:type="dxa"/>
            <w:tcBorders>
              <w:left w:val="single" w:color="000000" w:sz="4" w:space="0"/>
            </w:tcBorders>
            <w:vAlign w:val="center"/>
          </w:tcPr>
          <w:p w14:paraId="194904FF">
            <w:pPr>
              <w:pageBreakBefore w:val="0"/>
              <w:topLinePunct w:val="0"/>
              <w:bidi w:val="0"/>
              <w:spacing w:line="500" w:lineRule="exact"/>
              <w:ind w:right="0" w:rightChars="0"/>
              <w:jc w:val="center"/>
              <w:rPr>
                <w:rFonts w:hint="default" w:eastAsia="宋体"/>
                <w:color w:val="auto"/>
                <w:sz w:val="24"/>
                <w:szCs w:val="24"/>
                <w:lang w:val="en-US" w:eastAsia="zh-CN"/>
              </w:rPr>
            </w:pPr>
            <w:r>
              <w:rPr>
                <w:rFonts w:hint="eastAsia"/>
                <w:color w:val="auto"/>
                <w:sz w:val="24"/>
                <w:szCs w:val="24"/>
                <w:lang w:val="en-US" w:eastAsia="zh-CN"/>
              </w:rPr>
              <w:t>优惠率</w:t>
            </w:r>
          </w:p>
        </w:tc>
        <w:tc>
          <w:tcPr>
            <w:tcW w:w="1340" w:type="dxa"/>
            <w:tcBorders>
              <w:left w:val="single" w:color="000000" w:sz="4" w:space="0"/>
            </w:tcBorders>
            <w:vAlign w:val="center"/>
          </w:tcPr>
          <w:p w14:paraId="78FD0A51">
            <w:pPr>
              <w:pageBreakBefore w:val="0"/>
              <w:topLinePunct w:val="0"/>
              <w:bidi w:val="0"/>
              <w:spacing w:line="500" w:lineRule="exact"/>
              <w:ind w:right="0" w:rightChars="0"/>
              <w:jc w:val="center"/>
              <w:rPr>
                <w:rFonts w:hint="eastAsia"/>
                <w:color w:val="auto"/>
                <w:sz w:val="24"/>
                <w:szCs w:val="24"/>
                <w:lang w:val="en-US" w:eastAsia="zh-CN"/>
              </w:rPr>
            </w:pPr>
            <w:r>
              <w:rPr>
                <w:rFonts w:hint="eastAsia"/>
                <w:color w:val="auto"/>
                <w:sz w:val="24"/>
                <w:szCs w:val="24"/>
                <w:lang w:val="en-US" w:eastAsia="zh-CN"/>
              </w:rPr>
              <w:t>供货期</w:t>
            </w:r>
          </w:p>
        </w:tc>
      </w:tr>
      <w:tr w14:paraId="332BB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96" w:hRule="atLeast"/>
        </w:trPr>
        <w:tc>
          <w:tcPr>
            <w:tcW w:w="1973" w:type="dxa"/>
            <w:vAlign w:val="center"/>
          </w:tcPr>
          <w:p w14:paraId="07C29043">
            <w:pPr>
              <w:pageBreakBefore w:val="0"/>
              <w:topLinePunct w:val="0"/>
              <w:bidi w:val="0"/>
              <w:spacing w:line="500" w:lineRule="exact"/>
              <w:ind w:right="0" w:rightChars="0"/>
              <w:jc w:val="center"/>
              <w:rPr>
                <w:rFonts w:hint="default" w:eastAsia="宋体"/>
                <w:color w:val="auto"/>
                <w:sz w:val="24"/>
                <w:szCs w:val="24"/>
                <w:lang w:val="en-US" w:eastAsia="zh-CN"/>
              </w:rPr>
            </w:pPr>
            <w:r>
              <w:rPr>
                <w:rFonts w:hint="eastAsia"/>
                <w:color w:val="auto"/>
                <w:sz w:val="24"/>
                <w:szCs w:val="24"/>
              </w:rPr>
              <w:t>蔬菜、水果</w:t>
            </w:r>
            <w:r>
              <w:rPr>
                <w:rFonts w:hint="eastAsia"/>
                <w:color w:val="auto"/>
                <w:sz w:val="24"/>
                <w:szCs w:val="24"/>
                <w:lang w:eastAsia="zh-CN"/>
              </w:rPr>
              <w:t>、</w:t>
            </w:r>
            <w:r>
              <w:rPr>
                <w:rFonts w:hint="eastAsia"/>
                <w:color w:val="auto"/>
                <w:sz w:val="24"/>
                <w:szCs w:val="24"/>
              </w:rPr>
              <w:t>干货</w:t>
            </w:r>
            <w:r>
              <w:rPr>
                <w:rFonts w:hint="eastAsia"/>
                <w:color w:val="auto"/>
                <w:sz w:val="24"/>
                <w:szCs w:val="24"/>
                <w:lang w:eastAsia="zh-CN"/>
              </w:rPr>
              <w:t>、</w:t>
            </w:r>
            <w:r>
              <w:rPr>
                <w:rFonts w:hint="eastAsia"/>
                <w:color w:val="auto"/>
                <w:sz w:val="24"/>
                <w:szCs w:val="24"/>
              </w:rPr>
              <w:t>调味品</w:t>
            </w:r>
          </w:p>
        </w:tc>
        <w:tc>
          <w:tcPr>
            <w:tcW w:w="2223" w:type="dxa"/>
            <w:tcBorders>
              <w:right w:val="single" w:color="000000" w:sz="4" w:space="0"/>
            </w:tcBorders>
            <w:vAlign w:val="center"/>
          </w:tcPr>
          <w:p w14:paraId="281BEDA1">
            <w:pPr>
              <w:pageBreakBefore w:val="0"/>
              <w:topLinePunct w:val="0"/>
              <w:bidi w:val="0"/>
              <w:spacing w:line="500" w:lineRule="exact"/>
              <w:ind w:right="0" w:rightChars="0"/>
              <w:jc w:val="both"/>
              <w:rPr>
                <w:rFonts w:hint="eastAsia"/>
                <w:color w:val="auto"/>
                <w:sz w:val="24"/>
                <w:szCs w:val="24"/>
                <w:lang w:val="en-US" w:eastAsia="zh-CN"/>
              </w:rPr>
            </w:pPr>
            <w:r>
              <w:rPr>
                <w:rFonts w:hint="eastAsia"/>
                <w:color w:val="auto"/>
                <w:sz w:val="24"/>
                <w:szCs w:val="24"/>
                <w:lang w:val="en-US" w:eastAsia="zh-CN"/>
              </w:rPr>
              <w:t>品牌（如有）：</w:t>
            </w:r>
          </w:p>
          <w:p w14:paraId="13F80D02">
            <w:pPr>
              <w:pageBreakBefore w:val="0"/>
              <w:topLinePunct w:val="0"/>
              <w:bidi w:val="0"/>
              <w:spacing w:line="500" w:lineRule="exact"/>
              <w:ind w:right="0" w:rightChars="0"/>
              <w:jc w:val="both"/>
              <w:rPr>
                <w:color w:val="auto"/>
                <w:sz w:val="24"/>
                <w:szCs w:val="24"/>
              </w:rPr>
            </w:pPr>
            <w:r>
              <w:rPr>
                <w:rFonts w:hint="eastAsia"/>
                <w:color w:val="auto"/>
                <w:sz w:val="24"/>
                <w:szCs w:val="24"/>
                <w:lang w:val="en-US" w:eastAsia="zh-CN"/>
              </w:rPr>
              <w:t>生产商：</w:t>
            </w:r>
          </w:p>
        </w:tc>
        <w:tc>
          <w:tcPr>
            <w:tcW w:w="2024" w:type="dxa"/>
            <w:tcBorders>
              <w:right w:val="single" w:color="000000" w:sz="4" w:space="0"/>
            </w:tcBorders>
            <w:vAlign w:val="center"/>
          </w:tcPr>
          <w:p w14:paraId="20983C55">
            <w:pPr>
              <w:pageBreakBefore w:val="0"/>
              <w:topLinePunct w:val="0"/>
              <w:bidi w:val="0"/>
              <w:spacing w:line="500" w:lineRule="exact"/>
              <w:ind w:left="0" w:leftChars="0" w:right="0" w:rightChars="0" w:firstLine="480" w:firstLineChars="200"/>
              <w:jc w:val="both"/>
              <w:rPr>
                <w:rFonts w:hint="default" w:eastAsia="宋体"/>
                <w:color w:val="auto"/>
                <w:sz w:val="24"/>
                <w:szCs w:val="24"/>
                <w:u w:val="single"/>
                <w:lang w:val="en-US" w:eastAsia="zh-CN"/>
              </w:rPr>
            </w:pPr>
          </w:p>
        </w:tc>
        <w:tc>
          <w:tcPr>
            <w:tcW w:w="2070" w:type="dxa"/>
            <w:tcBorders>
              <w:left w:val="single" w:color="000000" w:sz="4" w:space="0"/>
            </w:tcBorders>
            <w:vAlign w:val="center"/>
          </w:tcPr>
          <w:p w14:paraId="64FBD98E">
            <w:pPr>
              <w:pageBreakBefore w:val="0"/>
              <w:topLinePunct w:val="0"/>
              <w:bidi w:val="0"/>
              <w:spacing w:line="500" w:lineRule="exact"/>
              <w:ind w:left="0" w:leftChars="0" w:right="0" w:rightChars="0" w:firstLine="720" w:firstLineChars="300"/>
              <w:jc w:val="both"/>
              <w:rPr>
                <w:color w:val="auto"/>
                <w:sz w:val="24"/>
                <w:szCs w:val="24"/>
              </w:rPr>
            </w:pPr>
            <w:r>
              <w:rPr>
                <w:rFonts w:hint="eastAsia"/>
                <w:color w:val="auto"/>
                <w:sz w:val="24"/>
                <w:szCs w:val="24"/>
                <w:u w:val="single"/>
                <w:lang w:val="en-US" w:eastAsia="zh-CN"/>
              </w:rPr>
              <w:t xml:space="preserve">    </w:t>
            </w:r>
            <w:r>
              <w:rPr>
                <w:rFonts w:hint="eastAsia"/>
                <w:color w:val="auto"/>
                <w:sz w:val="24"/>
                <w:szCs w:val="24"/>
                <w:u w:val="none"/>
                <w:lang w:val="en-US" w:eastAsia="zh-CN"/>
              </w:rPr>
              <w:t>%</w:t>
            </w:r>
          </w:p>
        </w:tc>
        <w:tc>
          <w:tcPr>
            <w:tcW w:w="1340" w:type="dxa"/>
            <w:tcBorders>
              <w:left w:val="single" w:color="000000" w:sz="4" w:space="0"/>
            </w:tcBorders>
            <w:vAlign w:val="center"/>
          </w:tcPr>
          <w:p w14:paraId="10EA0AFC">
            <w:pPr>
              <w:pageBreakBefore w:val="0"/>
              <w:topLinePunct w:val="0"/>
              <w:bidi w:val="0"/>
              <w:spacing w:line="500" w:lineRule="exact"/>
              <w:ind w:left="0" w:leftChars="0" w:right="0" w:rightChars="0" w:firstLine="480" w:firstLineChars="200"/>
              <w:jc w:val="center"/>
              <w:rPr>
                <w:color w:val="auto"/>
                <w:sz w:val="24"/>
                <w:szCs w:val="24"/>
              </w:rPr>
            </w:pPr>
          </w:p>
        </w:tc>
      </w:tr>
      <w:tr w14:paraId="0D278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2" w:hRule="atLeast"/>
        </w:trPr>
        <w:tc>
          <w:tcPr>
            <w:tcW w:w="1973" w:type="dxa"/>
            <w:tcBorders>
              <w:top w:val="single" w:color="000000" w:sz="4" w:space="0"/>
            </w:tcBorders>
            <w:vAlign w:val="center"/>
          </w:tcPr>
          <w:p w14:paraId="290DEA07">
            <w:pPr>
              <w:pageBreakBefore w:val="0"/>
              <w:topLinePunct w:val="0"/>
              <w:bidi w:val="0"/>
              <w:spacing w:line="500" w:lineRule="exact"/>
              <w:ind w:right="0" w:rightChars="0"/>
              <w:jc w:val="center"/>
              <w:rPr>
                <w:rFonts w:hint="eastAsia" w:eastAsia="宋体"/>
                <w:color w:val="auto"/>
                <w:sz w:val="24"/>
                <w:szCs w:val="24"/>
                <w:lang w:val="en-US" w:eastAsia="zh-CN"/>
              </w:rPr>
            </w:pPr>
            <w:r>
              <w:rPr>
                <w:rFonts w:hint="eastAsia"/>
                <w:color w:val="auto"/>
                <w:sz w:val="24"/>
                <w:szCs w:val="24"/>
                <w:lang w:val="en-US" w:eastAsia="zh-CN"/>
              </w:rPr>
              <w:t>投标总报价（元）</w:t>
            </w:r>
          </w:p>
        </w:tc>
        <w:tc>
          <w:tcPr>
            <w:tcW w:w="7657" w:type="dxa"/>
            <w:gridSpan w:val="4"/>
            <w:tcBorders>
              <w:top w:val="single" w:color="000000" w:sz="4" w:space="0"/>
            </w:tcBorders>
            <w:vAlign w:val="center"/>
          </w:tcPr>
          <w:p w14:paraId="19C9245D">
            <w:pPr>
              <w:pageBreakBefore w:val="0"/>
              <w:topLinePunct w:val="0"/>
              <w:bidi w:val="0"/>
              <w:spacing w:line="500" w:lineRule="exact"/>
              <w:ind w:right="0" w:rightChars="0"/>
              <w:jc w:val="both"/>
              <w:rPr>
                <w:rFonts w:hint="eastAsia"/>
                <w:color w:val="auto"/>
                <w:sz w:val="24"/>
                <w:szCs w:val="24"/>
                <w:lang w:val="en-US" w:eastAsia="zh-CN"/>
              </w:rPr>
            </w:pPr>
            <w:r>
              <w:rPr>
                <w:rFonts w:hint="eastAsia"/>
                <w:color w:val="auto"/>
                <w:sz w:val="24"/>
                <w:szCs w:val="24"/>
                <w:lang w:val="en-US" w:eastAsia="zh-CN"/>
              </w:rPr>
              <w:t>大写：</w:t>
            </w:r>
          </w:p>
          <w:p w14:paraId="455789FC">
            <w:pPr>
              <w:pStyle w:val="12"/>
              <w:pageBreakBefore w:val="0"/>
              <w:topLinePunct w:val="0"/>
              <w:bidi w:val="0"/>
              <w:spacing w:line="500" w:lineRule="exact"/>
              <w:ind w:right="0" w:rightChars="0"/>
              <w:rPr>
                <w:rFonts w:hint="default"/>
                <w:color w:val="auto"/>
                <w:lang w:val="en-US" w:eastAsia="zh-CN"/>
              </w:rPr>
            </w:pPr>
            <w:r>
              <w:rPr>
                <w:rFonts w:hint="eastAsia"/>
                <w:color w:val="auto"/>
                <w:sz w:val="24"/>
                <w:szCs w:val="24"/>
                <w:lang w:val="en-US" w:eastAsia="zh-CN"/>
              </w:rPr>
              <w:t>小写：</w:t>
            </w:r>
          </w:p>
        </w:tc>
      </w:tr>
      <w:tr w14:paraId="79D99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16" w:hRule="atLeast"/>
        </w:trPr>
        <w:tc>
          <w:tcPr>
            <w:tcW w:w="9630" w:type="dxa"/>
            <w:gridSpan w:val="5"/>
            <w:vAlign w:val="center"/>
          </w:tcPr>
          <w:p w14:paraId="707F2F38">
            <w:pPr>
              <w:pageBreakBefore w:val="0"/>
              <w:topLinePunct w:val="0"/>
              <w:bidi w:val="0"/>
              <w:spacing w:line="500" w:lineRule="exact"/>
              <w:ind w:right="0" w:rightChars="0"/>
              <w:rPr>
                <w:rFonts w:hint="eastAsia"/>
                <w:b/>
                <w:bCs/>
                <w:color w:val="auto"/>
                <w:sz w:val="24"/>
                <w:szCs w:val="24"/>
              </w:rPr>
            </w:pPr>
            <w:r>
              <w:rPr>
                <w:rFonts w:hint="eastAsia"/>
                <w:b/>
                <w:bCs/>
                <w:color w:val="auto"/>
                <w:sz w:val="24"/>
                <w:szCs w:val="24"/>
              </w:rPr>
              <w:t>注：</w:t>
            </w:r>
          </w:p>
          <w:p w14:paraId="16BBBEF6">
            <w:pPr>
              <w:pStyle w:val="8"/>
              <w:pageBreakBefore w:val="0"/>
              <w:numPr>
                <w:ilvl w:val="0"/>
                <w:numId w:val="0"/>
              </w:numPr>
              <w:topLinePunct w:val="0"/>
              <w:bidi w:val="0"/>
              <w:spacing w:line="360" w:lineRule="auto"/>
              <w:ind w:left="0" w:leftChars="0" w:right="0" w:rightChars="0" w:firstLine="480" w:firstLineChars="200"/>
              <w:rPr>
                <w:rFonts w:hint="eastAsia"/>
                <w:b w:val="0"/>
                <w:bCs w:val="0"/>
                <w:color w:val="auto"/>
                <w:sz w:val="24"/>
                <w:szCs w:val="24"/>
                <w:lang w:val="en-US" w:eastAsia="zh-CN"/>
              </w:rPr>
            </w:pPr>
            <w:r>
              <w:rPr>
                <w:rFonts w:hint="eastAsia"/>
                <w:b w:val="0"/>
                <w:bCs w:val="0"/>
                <w:color w:val="auto"/>
                <w:sz w:val="24"/>
                <w:szCs w:val="24"/>
                <w:lang w:val="en-US" w:eastAsia="zh-CN"/>
              </w:rPr>
              <w:t>1.投标报价表中（全区营养午餐蔬菜、水果、干货及调味品）标明的价格为总价，最终结算价格单价因此类原辅料因价格市场行情波动较大，需采取市场采价确定。具体为汉滨区教体局联合区发改部门及各学校成立询价小组，选择在汉滨城区3家及以上大型商超及农贸市场进行询价。每月开展两次市场采价询价工作</w:t>
            </w:r>
            <w:r>
              <w:rPr>
                <w:rFonts w:hint="eastAsia" w:cs="宋体"/>
                <w:i w:val="0"/>
                <w:iCs w:val="0"/>
                <w:color w:val="auto"/>
                <w:sz w:val="24"/>
                <w:szCs w:val="24"/>
                <w:highlight w:val="none"/>
                <w:u w:val="none"/>
                <w:lang w:val="en-US" w:eastAsia="zh-CN"/>
              </w:rPr>
              <w:t>（调味品每学期采价一次）</w:t>
            </w:r>
            <w:r>
              <w:rPr>
                <w:rFonts w:hint="eastAsia"/>
                <w:b w:val="0"/>
                <w:bCs w:val="0"/>
                <w:color w:val="auto"/>
                <w:sz w:val="24"/>
                <w:szCs w:val="24"/>
                <w:lang w:val="en-US" w:eastAsia="zh-CN"/>
              </w:rPr>
              <w:t>，将每次所取的市场均价作为后半月的结算价。故每次结算单价的计算方式为：所取的市场均价为基准*（1-优惠率），依据实际供货量据实结算，</w:t>
            </w:r>
            <w:r>
              <w:rPr>
                <w:rFonts w:hint="eastAsia"/>
                <w:b/>
                <w:bCs/>
                <w:color w:val="auto"/>
                <w:sz w:val="24"/>
                <w:szCs w:val="24"/>
                <w:lang w:val="en-US" w:eastAsia="zh-CN"/>
              </w:rPr>
              <w:t>投标报价=</w:t>
            </w:r>
            <w:r>
              <w:rPr>
                <w:rFonts w:hint="eastAsia" w:cs="宋体"/>
                <w:b/>
                <w:bCs/>
                <w:color w:val="auto"/>
                <w:sz w:val="24"/>
                <w:szCs w:val="24"/>
                <w:highlight w:val="none"/>
                <w:lang w:val="en-US" w:eastAsia="zh-CN"/>
              </w:rPr>
              <w:t>本标段</w:t>
            </w:r>
            <w:r>
              <w:rPr>
                <w:rFonts w:hint="eastAsia"/>
                <w:b/>
                <w:bCs/>
                <w:color w:val="auto"/>
                <w:sz w:val="24"/>
                <w:szCs w:val="24"/>
                <w:lang w:val="en-US" w:eastAsia="zh-CN"/>
              </w:rPr>
              <w:t>总预算*</w:t>
            </w:r>
            <w:r>
              <w:rPr>
                <w:rFonts w:hint="eastAsia" w:cs="宋体"/>
                <w:b/>
                <w:bCs/>
                <w:color w:val="auto"/>
                <w:sz w:val="24"/>
                <w:szCs w:val="24"/>
                <w:highlight w:val="none"/>
                <w:lang w:val="en-US" w:eastAsia="zh-CN"/>
              </w:rPr>
              <w:t>（</w:t>
            </w:r>
            <w:r>
              <w:rPr>
                <w:rFonts w:hint="eastAsia" w:cs="宋体"/>
                <w:b/>
                <w:bCs/>
                <w:i w:val="0"/>
                <w:iCs w:val="0"/>
                <w:color w:val="auto"/>
                <w:sz w:val="24"/>
                <w:szCs w:val="24"/>
                <w:shd w:val="clear" w:color="auto" w:fill="auto"/>
                <w:lang w:val="en-US" w:eastAsia="zh-CN"/>
              </w:rPr>
              <w:t>1-</w:t>
            </w:r>
            <w:r>
              <w:rPr>
                <w:rFonts w:hint="eastAsia" w:cs="宋体"/>
                <w:b/>
                <w:bCs/>
                <w:color w:val="auto"/>
                <w:sz w:val="24"/>
                <w:szCs w:val="24"/>
                <w:highlight w:val="none"/>
                <w:lang w:val="en-US" w:eastAsia="zh-CN"/>
              </w:rPr>
              <w:t>投标优惠率）</w:t>
            </w:r>
            <w:r>
              <w:rPr>
                <w:rFonts w:hint="eastAsia"/>
                <w:b w:val="0"/>
                <w:bCs w:val="0"/>
                <w:color w:val="auto"/>
                <w:sz w:val="24"/>
                <w:szCs w:val="24"/>
                <w:lang w:val="en-US" w:eastAsia="zh-CN"/>
              </w:rPr>
              <w:t>。</w:t>
            </w:r>
          </w:p>
          <w:p w14:paraId="712C83E1">
            <w:pPr>
              <w:spacing w:line="360" w:lineRule="auto"/>
              <w:ind w:firstLine="482" w:firstLineChars="200"/>
              <w:rPr>
                <w:rFonts w:hint="eastAsia"/>
                <w:color w:val="auto"/>
                <w:lang w:val="en-US" w:eastAsia="zh-CN"/>
              </w:rPr>
            </w:pPr>
            <w:r>
              <w:rPr>
                <w:rFonts w:hint="eastAsia" w:cs="宋体"/>
                <w:b/>
                <w:bCs/>
                <w:color w:val="auto"/>
                <w:kern w:val="0"/>
                <w:sz w:val="24"/>
                <w:szCs w:val="24"/>
                <w:lang w:val="en-US" w:eastAsia="zh-CN" w:bidi="ar"/>
              </w:rPr>
              <w:t>2.报价时数量等相关数据参考本招标文件《第三章  招标采购内容及服务要求》的数据。</w:t>
            </w:r>
          </w:p>
          <w:p w14:paraId="6CE3FC1E">
            <w:pPr>
              <w:pageBreakBefore w:val="0"/>
              <w:topLinePunct w:val="0"/>
              <w:bidi w:val="0"/>
              <w:spacing w:line="360" w:lineRule="auto"/>
              <w:ind w:left="0" w:leftChars="0" w:right="0" w:rightChars="0" w:firstLine="480" w:firstLineChars="200"/>
              <w:rPr>
                <w:rFonts w:hint="eastAsia"/>
                <w:color w:val="auto"/>
                <w:sz w:val="24"/>
                <w:szCs w:val="24"/>
              </w:rPr>
            </w:pPr>
            <w:r>
              <w:rPr>
                <w:rFonts w:hint="eastAsia"/>
                <w:color w:val="auto"/>
                <w:sz w:val="24"/>
                <w:szCs w:val="24"/>
                <w:lang w:val="en-US" w:eastAsia="zh-CN"/>
              </w:rPr>
              <w:t>3.报价应</w:t>
            </w:r>
            <w:r>
              <w:rPr>
                <w:rFonts w:hint="eastAsia"/>
                <w:color w:val="auto"/>
                <w:sz w:val="24"/>
                <w:szCs w:val="24"/>
              </w:rPr>
              <w:t>包括</w:t>
            </w:r>
            <w:r>
              <w:rPr>
                <w:rFonts w:hint="eastAsia"/>
                <w:color w:val="auto"/>
                <w:sz w:val="24"/>
                <w:szCs w:val="24"/>
                <w:lang w:eastAsia="zh-CN"/>
              </w:rPr>
              <w:t>涉及</w:t>
            </w:r>
            <w:r>
              <w:rPr>
                <w:rFonts w:hint="eastAsia"/>
                <w:color w:val="auto"/>
                <w:sz w:val="24"/>
                <w:szCs w:val="24"/>
              </w:rPr>
              <w:t>的食品采购、包装、运输、装卸、加工、供货服务期限、配送</w:t>
            </w:r>
            <w:r>
              <w:rPr>
                <w:rFonts w:hint="eastAsia"/>
                <w:color w:val="auto"/>
                <w:sz w:val="24"/>
                <w:szCs w:val="24"/>
                <w:lang w:eastAsia="zh-CN"/>
              </w:rPr>
              <w:t>（</w:t>
            </w:r>
            <w:r>
              <w:rPr>
                <w:rFonts w:hint="eastAsia"/>
                <w:color w:val="auto"/>
                <w:sz w:val="24"/>
                <w:szCs w:val="24"/>
              </w:rPr>
              <w:t>配送到指定学校地点</w:t>
            </w:r>
            <w:r>
              <w:rPr>
                <w:rFonts w:hint="eastAsia"/>
                <w:color w:val="auto"/>
                <w:sz w:val="24"/>
                <w:szCs w:val="24"/>
                <w:lang w:eastAsia="zh-CN"/>
              </w:rPr>
              <w:t>）</w:t>
            </w:r>
            <w:r>
              <w:rPr>
                <w:rFonts w:hint="eastAsia"/>
                <w:color w:val="auto"/>
                <w:sz w:val="24"/>
                <w:szCs w:val="24"/>
              </w:rPr>
              <w:t>、售后服务及国家按现行税收政策征收的一切税费等。</w:t>
            </w:r>
          </w:p>
          <w:p w14:paraId="7B2723B3">
            <w:pPr>
              <w:pageBreakBefore w:val="0"/>
              <w:topLinePunct w:val="0"/>
              <w:bidi w:val="0"/>
              <w:spacing w:line="360" w:lineRule="auto"/>
              <w:ind w:left="0" w:leftChars="0" w:right="0" w:rightChars="0" w:firstLine="480" w:firstLineChars="200"/>
              <w:rPr>
                <w:rFonts w:hint="eastAsia"/>
                <w:color w:val="auto"/>
              </w:rPr>
            </w:pPr>
            <w:r>
              <w:rPr>
                <w:rFonts w:hint="eastAsia"/>
                <w:color w:val="auto"/>
                <w:sz w:val="24"/>
                <w:szCs w:val="24"/>
                <w:lang w:val="en-US" w:eastAsia="zh-CN"/>
              </w:rPr>
              <w:t>4.</w:t>
            </w:r>
            <w:r>
              <w:rPr>
                <w:rFonts w:hint="eastAsia"/>
                <w:color w:val="auto"/>
                <w:sz w:val="24"/>
                <w:szCs w:val="24"/>
              </w:rPr>
              <w:t>表内报价内容以元为单位，可精确到分。</w:t>
            </w:r>
          </w:p>
        </w:tc>
      </w:tr>
    </w:tbl>
    <w:p w14:paraId="38E7EC05">
      <w:pPr>
        <w:pageBreakBefore w:val="0"/>
        <w:topLinePunct w:val="0"/>
        <w:bidi w:val="0"/>
        <w:spacing w:line="500" w:lineRule="exact"/>
        <w:ind w:left="0" w:leftChars="0" w:right="0" w:rightChars="0" w:firstLine="480" w:firstLineChars="200"/>
        <w:jc w:val="center"/>
        <w:rPr>
          <w:color w:val="auto"/>
          <w:sz w:val="24"/>
          <w:szCs w:val="24"/>
        </w:rPr>
      </w:pPr>
    </w:p>
    <w:p w14:paraId="14321E5D">
      <w:pPr>
        <w:pageBreakBefore w:val="0"/>
        <w:topLinePunct w:val="0"/>
        <w:bidi w:val="0"/>
        <w:spacing w:line="500" w:lineRule="exact"/>
        <w:ind w:left="0" w:leftChars="0" w:right="0" w:rightChars="0" w:firstLine="480" w:firstLineChars="200"/>
        <w:jc w:val="both"/>
        <w:rPr>
          <w:rFonts w:hint="eastAsia"/>
          <w:color w:val="auto"/>
          <w:sz w:val="24"/>
          <w:szCs w:val="24"/>
          <w:lang w:val="en-US"/>
        </w:rPr>
      </w:pPr>
      <w:r>
        <w:rPr>
          <w:rFonts w:hint="eastAsia"/>
          <w:color w:val="auto"/>
          <w:sz w:val="24"/>
          <w:szCs w:val="24"/>
          <w:lang w:eastAsia="zh-CN"/>
        </w:rPr>
        <w:t>供应商（</w:t>
      </w:r>
      <w:r>
        <w:rPr>
          <w:rFonts w:hint="eastAsia"/>
          <w:color w:val="auto"/>
          <w:sz w:val="24"/>
          <w:szCs w:val="24"/>
          <w:lang w:val="en-US" w:eastAsia="zh-CN"/>
        </w:rPr>
        <w:t>公章</w:t>
      </w:r>
      <w:r>
        <w:rPr>
          <w:rFonts w:hint="eastAsia"/>
          <w:color w:val="auto"/>
          <w:sz w:val="24"/>
          <w:szCs w:val="24"/>
          <w:lang w:eastAsia="zh-CN"/>
        </w:rPr>
        <w:t>）：</w:t>
      </w:r>
    </w:p>
    <w:p w14:paraId="004EAA64">
      <w:pPr>
        <w:pageBreakBefore w:val="0"/>
        <w:topLinePunct w:val="0"/>
        <w:bidi w:val="0"/>
        <w:spacing w:line="500" w:lineRule="exact"/>
        <w:ind w:left="0" w:leftChars="0" w:right="0" w:rightChars="0" w:firstLine="480" w:firstLineChars="200"/>
        <w:jc w:val="both"/>
        <w:rPr>
          <w:rFonts w:hint="eastAsia"/>
          <w:color w:val="auto"/>
          <w:sz w:val="24"/>
          <w:szCs w:val="24"/>
          <w:lang w:val="zh-CN" w:eastAsia="zh-CN"/>
        </w:rPr>
      </w:pPr>
      <w:r>
        <w:rPr>
          <w:rFonts w:hint="eastAsia"/>
          <w:color w:val="auto"/>
          <w:sz w:val="24"/>
          <w:szCs w:val="24"/>
          <w:lang w:val="en-US" w:eastAsia="zh-CN"/>
        </w:rPr>
        <w:t>法定代表人或授权委托人（签字或盖章）：</w:t>
      </w:r>
    </w:p>
    <w:p w14:paraId="4A553791">
      <w:pPr>
        <w:pStyle w:val="12"/>
        <w:pageBreakBefore w:val="0"/>
        <w:tabs>
          <w:tab w:val="left" w:pos="3998"/>
          <w:tab w:val="left" w:pos="6318"/>
        </w:tabs>
        <w:topLinePunct w:val="0"/>
        <w:bidi w:val="0"/>
        <w:spacing w:line="500" w:lineRule="exact"/>
        <w:ind w:left="0" w:leftChars="0" w:right="0" w:rightChars="0" w:firstLine="480" w:firstLineChars="200"/>
        <w:rPr>
          <w:color w:val="auto"/>
        </w:rPr>
      </w:pPr>
      <w:r>
        <w:rPr>
          <w:rFonts w:hint="eastAsia"/>
          <w:color w:val="auto"/>
          <w:sz w:val="24"/>
          <w:szCs w:val="24"/>
          <w:lang w:val="en-US" w:eastAsia="zh-CN"/>
        </w:rPr>
        <w:t>日期：</w:t>
      </w:r>
      <w:r>
        <w:rPr>
          <w:rFonts w:hint="eastAsia"/>
          <w:color w:val="auto"/>
          <w:sz w:val="24"/>
          <w:szCs w:val="24"/>
        </w:rPr>
        <w:t xml:space="preserve">年 </w:t>
      </w:r>
      <w:r>
        <w:rPr>
          <w:rFonts w:hint="eastAsia"/>
          <w:color w:val="auto"/>
          <w:sz w:val="24"/>
          <w:szCs w:val="24"/>
          <w:lang w:val="en-US" w:eastAsia="zh-CN"/>
        </w:rPr>
        <w:t xml:space="preserve">  </w:t>
      </w:r>
      <w:r>
        <w:rPr>
          <w:rFonts w:hint="eastAsia"/>
          <w:color w:val="auto"/>
          <w:sz w:val="24"/>
          <w:szCs w:val="24"/>
        </w:rPr>
        <w:t xml:space="preserve">月 </w:t>
      </w:r>
      <w:r>
        <w:rPr>
          <w:rFonts w:hint="eastAsia"/>
          <w:color w:val="auto"/>
          <w:sz w:val="24"/>
          <w:szCs w:val="24"/>
          <w:lang w:val="en-US" w:eastAsia="zh-CN"/>
        </w:rPr>
        <w:t xml:space="preserve">  </w:t>
      </w:r>
      <w:r>
        <w:rPr>
          <w:rFonts w:hint="eastAsia"/>
          <w:color w:val="auto"/>
          <w:sz w:val="24"/>
          <w:szCs w:val="24"/>
        </w:rPr>
        <w:t>日</w:t>
      </w:r>
    </w:p>
    <w:p w14:paraId="0084CA81">
      <w:pPr>
        <w:pStyle w:val="12"/>
        <w:pageBreakBefore w:val="0"/>
        <w:topLinePunct w:val="0"/>
        <w:bidi w:val="0"/>
        <w:spacing w:line="500" w:lineRule="exact"/>
        <w:ind w:left="0" w:leftChars="0" w:right="0" w:rightChars="0" w:firstLine="643" w:firstLineChars="200"/>
        <w:jc w:val="center"/>
        <w:rPr>
          <w:rFonts w:hint="eastAsia"/>
          <w:b/>
          <w:bCs/>
          <w:color w:val="auto"/>
          <w:sz w:val="32"/>
          <w:szCs w:val="32"/>
          <w:lang w:val="en-US" w:eastAsia="zh-CN"/>
        </w:rPr>
      </w:pPr>
    </w:p>
    <w:p w14:paraId="555FC661">
      <w:pPr>
        <w:pStyle w:val="12"/>
        <w:pageBreakBefore w:val="0"/>
        <w:topLinePunct w:val="0"/>
        <w:bidi w:val="0"/>
        <w:spacing w:line="500" w:lineRule="exact"/>
        <w:ind w:left="0" w:leftChars="0" w:right="0" w:rightChars="0" w:firstLine="643" w:firstLineChars="200"/>
        <w:jc w:val="center"/>
        <w:rPr>
          <w:rFonts w:hint="eastAsia"/>
          <w:b/>
          <w:bCs/>
          <w:color w:val="auto"/>
          <w:sz w:val="32"/>
          <w:szCs w:val="32"/>
          <w:lang w:val="en-US" w:eastAsia="zh-CN"/>
        </w:rPr>
      </w:pPr>
    </w:p>
    <w:p w14:paraId="4BCD28DE">
      <w:pPr>
        <w:pStyle w:val="12"/>
        <w:pageBreakBefore w:val="0"/>
        <w:topLinePunct w:val="0"/>
        <w:bidi w:val="0"/>
        <w:spacing w:line="500" w:lineRule="exact"/>
        <w:ind w:left="0" w:leftChars="0" w:right="0" w:rightChars="0" w:firstLine="643" w:firstLineChars="200"/>
        <w:jc w:val="center"/>
        <w:rPr>
          <w:rFonts w:hint="eastAsia"/>
          <w:b/>
          <w:bCs/>
          <w:color w:val="auto"/>
          <w:sz w:val="32"/>
          <w:szCs w:val="32"/>
          <w:lang w:val="en-US" w:eastAsia="zh-CN"/>
        </w:rPr>
      </w:pPr>
    </w:p>
    <w:p w14:paraId="23D6E951">
      <w:pPr>
        <w:pStyle w:val="12"/>
        <w:pageBreakBefore w:val="0"/>
        <w:topLinePunct w:val="0"/>
        <w:bidi w:val="0"/>
        <w:spacing w:line="500" w:lineRule="exact"/>
        <w:ind w:left="0" w:leftChars="0" w:right="0" w:rightChars="0" w:firstLine="643" w:firstLineChars="200"/>
        <w:jc w:val="center"/>
        <w:rPr>
          <w:rFonts w:hint="eastAsia"/>
          <w:b/>
          <w:bCs/>
          <w:color w:val="auto"/>
          <w:sz w:val="32"/>
          <w:szCs w:val="32"/>
          <w:lang w:val="en-US" w:eastAsia="zh-CN"/>
        </w:rPr>
      </w:pPr>
    </w:p>
    <w:p w14:paraId="3626F0E6">
      <w:pPr>
        <w:pStyle w:val="12"/>
        <w:pageBreakBefore w:val="0"/>
        <w:topLinePunct w:val="0"/>
        <w:bidi w:val="0"/>
        <w:spacing w:line="500" w:lineRule="exact"/>
        <w:ind w:left="0" w:leftChars="0" w:right="0" w:rightChars="0" w:firstLine="643" w:firstLineChars="200"/>
        <w:jc w:val="center"/>
        <w:rPr>
          <w:rFonts w:hint="eastAsia"/>
          <w:b/>
          <w:bCs/>
          <w:color w:val="auto"/>
          <w:sz w:val="32"/>
          <w:szCs w:val="32"/>
          <w:lang w:val="en-US" w:eastAsia="zh-CN"/>
        </w:rPr>
      </w:pPr>
      <w:r>
        <w:rPr>
          <w:rFonts w:hint="eastAsia"/>
          <w:b/>
          <w:bCs/>
          <w:color w:val="auto"/>
          <w:sz w:val="32"/>
          <w:szCs w:val="32"/>
          <w:lang w:val="en-US" w:eastAsia="zh-CN"/>
        </w:rPr>
        <w:t>合同包四</w:t>
      </w:r>
    </w:p>
    <w:p w14:paraId="6178691F">
      <w:pPr>
        <w:pStyle w:val="12"/>
        <w:pageBreakBefore w:val="0"/>
        <w:topLinePunct w:val="0"/>
        <w:bidi w:val="0"/>
        <w:spacing w:line="500" w:lineRule="exact"/>
        <w:ind w:left="0" w:leftChars="0" w:right="0" w:rightChars="0" w:firstLine="480" w:firstLineChars="200"/>
        <w:rPr>
          <w:rFonts w:hint="default" w:eastAsia="宋体"/>
          <w:color w:val="auto"/>
          <w:sz w:val="12"/>
          <w:lang w:val="en-US" w:eastAsia="zh-CN"/>
        </w:rPr>
      </w:pPr>
      <w:r>
        <w:rPr>
          <w:color w:val="auto"/>
        </w:rPr>
        <w:t>项目名称：</w:t>
      </w:r>
      <w:r>
        <w:rPr>
          <w:rFonts w:hint="eastAsia"/>
          <w:color w:val="auto"/>
          <w:lang w:val="en-US" w:eastAsia="zh-CN"/>
        </w:rPr>
        <w:t xml:space="preserve">                                                    </w:t>
      </w:r>
    </w:p>
    <w:tbl>
      <w:tblPr>
        <w:tblStyle w:val="23"/>
        <w:tblpPr w:leftFromText="180" w:rightFromText="180" w:vertAnchor="text" w:horzAnchor="page" w:tblpX="1163" w:tblpY="274"/>
        <w:tblOverlap w:val="never"/>
        <w:tblW w:w="967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51"/>
        <w:gridCol w:w="2815"/>
        <w:gridCol w:w="2213"/>
        <w:gridCol w:w="1567"/>
        <w:gridCol w:w="1131"/>
      </w:tblGrid>
      <w:tr w14:paraId="36527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1951" w:type="dxa"/>
          </w:tcPr>
          <w:p w14:paraId="31B31778">
            <w:pPr>
              <w:pageBreakBefore w:val="0"/>
              <w:topLinePunct w:val="0"/>
              <w:bidi w:val="0"/>
              <w:spacing w:line="240" w:lineRule="auto"/>
              <w:ind w:left="0" w:leftChars="0" w:right="0" w:rightChars="0" w:firstLine="480" w:firstLineChars="200"/>
              <w:jc w:val="center"/>
              <w:rPr>
                <w:color w:val="auto"/>
                <w:sz w:val="24"/>
                <w:szCs w:val="24"/>
              </w:rPr>
            </w:pPr>
            <w:r>
              <w:rPr>
                <w:color w:val="auto"/>
                <w:sz w:val="24"/>
                <w:szCs w:val="24"/>
                <w:lang w:val="en-US" w:bidi="ar-SA"/>
              </w:rPr>
              <mc:AlternateContent>
                <mc:Choice Requires="wps">
                  <w:drawing>
                    <wp:anchor distT="0" distB="0" distL="114300" distR="114300" simplePos="0" relativeHeight="251685888" behindDoc="0" locked="0" layoutInCell="1" allowOverlap="1">
                      <wp:simplePos x="0" y="0"/>
                      <wp:positionH relativeFrom="column">
                        <wp:posOffset>31115</wp:posOffset>
                      </wp:positionH>
                      <wp:positionV relativeFrom="paragraph">
                        <wp:posOffset>22860</wp:posOffset>
                      </wp:positionV>
                      <wp:extent cx="1180465" cy="547370"/>
                      <wp:effectExtent l="1905" t="4445" r="17780" b="19685"/>
                      <wp:wrapNone/>
                      <wp:docPr id="3" name="直线 23"/>
                      <wp:cNvGraphicFramePr/>
                      <a:graphic xmlns:a="http://schemas.openxmlformats.org/drawingml/2006/main">
                        <a:graphicData uri="http://schemas.microsoft.com/office/word/2010/wordprocessingShape">
                          <wps:wsp>
                            <wps:cNvCnPr/>
                            <wps:spPr>
                              <a:xfrm>
                                <a:off x="0" y="0"/>
                                <a:ext cx="1180465" cy="54737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23" o:spid="_x0000_s1026" o:spt="20" style="position:absolute;left:0pt;margin-left:2.45pt;margin-top:1.8pt;height:43.1pt;width:92.95pt;z-index:251685888;mso-width-relative:page;mso-height-relative:page;" filled="f" stroked="t" coordsize="21600,21600" o:gfxdata="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C1OF3zVAAAA&#10;BgEAAA8AAAAAAAAAAQAgAAAAIgAAAGRycy9kb3ducmV2LnhtbFBLAQIUABQAAAAIAIdO4kCo4Oxe&#10;5wEAANUDAAAOAAAAAAAAAAEAIAAAACQBAABkcnMvZTJvRG9jLnhtbFBLBQYAAAAABgAGAFkBAAB9&#10;BQAAAAA=&#10;">
                      <v:fill on="f" focussize="0,0"/>
                      <v:stroke color="#000000" joinstyle="round"/>
                      <v:imagedata o:title=""/>
                      <o:lock v:ext="edit" aspectratio="f"/>
                    </v:line>
                  </w:pict>
                </mc:Fallback>
              </mc:AlternateContent>
            </w:r>
            <w:r>
              <w:rPr>
                <w:rFonts w:hint="eastAsia"/>
                <w:color w:val="auto"/>
                <w:sz w:val="24"/>
                <w:szCs w:val="24"/>
                <w:lang w:val="en-US"/>
              </w:rPr>
              <w:t xml:space="preserve">    </w:t>
            </w:r>
            <w:r>
              <w:rPr>
                <w:rFonts w:hint="eastAsia"/>
                <w:color w:val="auto"/>
                <w:sz w:val="24"/>
                <w:szCs w:val="24"/>
              </w:rPr>
              <w:t>报价内容</w:t>
            </w:r>
          </w:p>
          <w:p w14:paraId="5EC8BB96">
            <w:pPr>
              <w:pageBreakBefore w:val="0"/>
              <w:topLinePunct w:val="0"/>
              <w:bidi w:val="0"/>
              <w:spacing w:line="240" w:lineRule="auto"/>
              <w:ind w:right="0" w:rightChars="0"/>
              <w:jc w:val="both"/>
              <w:rPr>
                <w:rFonts w:hint="eastAsia"/>
                <w:color w:val="auto"/>
                <w:sz w:val="24"/>
                <w:szCs w:val="24"/>
              </w:rPr>
            </w:pPr>
          </w:p>
          <w:p w14:paraId="274EA07A">
            <w:pPr>
              <w:pageBreakBefore w:val="0"/>
              <w:topLinePunct w:val="0"/>
              <w:bidi w:val="0"/>
              <w:spacing w:line="240" w:lineRule="auto"/>
              <w:ind w:right="0" w:rightChars="0"/>
              <w:jc w:val="both"/>
              <w:rPr>
                <w:color w:val="auto"/>
                <w:sz w:val="24"/>
                <w:szCs w:val="24"/>
              </w:rPr>
            </w:pPr>
            <w:r>
              <w:rPr>
                <w:rFonts w:hint="eastAsia"/>
                <w:color w:val="auto"/>
                <w:sz w:val="24"/>
                <w:szCs w:val="24"/>
              </w:rPr>
              <w:t>投标内容</w:t>
            </w:r>
          </w:p>
        </w:tc>
        <w:tc>
          <w:tcPr>
            <w:tcW w:w="2815" w:type="dxa"/>
            <w:tcBorders>
              <w:right w:val="single" w:color="000000" w:sz="4" w:space="0"/>
            </w:tcBorders>
            <w:vAlign w:val="center"/>
          </w:tcPr>
          <w:p w14:paraId="665697AF">
            <w:pPr>
              <w:pageBreakBefore w:val="0"/>
              <w:topLinePunct w:val="0"/>
              <w:bidi w:val="0"/>
              <w:spacing w:line="240" w:lineRule="auto"/>
              <w:ind w:left="0" w:leftChars="0" w:right="0" w:rightChars="0" w:firstLine="960" w:firstLineChars="400"/>
              <w:jc w:val="both"/>
              <w:rPr>
                <w:rFonts w:hint="default"/>
                <w:color w:val="auto"/>
                <w:sz w:val="24"/>
                <w:szCs w:val="24"/>
                <w:lang w:val="en-US" w:eastAsia="zh-CN"/>
              </w:rPr>
            </w:pPr>
            <w:r>
              <w:rPr>
                <w:rFonts w:hint="eastAsia"/>
                <w:color w:val="auto"/>
                <w:sz w:val="24"/>
                <w:szCs w:val="24"/>
                <w:lang w:val="en-US" w:eastAsia="zh-CN"/>
              </w:rPr>
              <w:t>所投产品</w:t>
            </w:r>
          </w:p>
        </w:tc>
        <w:tc>
          <w:tcPr>
            <w:tcW w:w="2213" w:type="dxa"/>
            <w:tcBorders>
              <w:left w:val="single" w:color="000000" w:sz="4" w:space="0"/>
              <w:right w:val="single" w:color="000000" w:sz="4" w:space="0"/>
            </w:tcBorders>
            <w:vAlign w:val="center"/>
          </w:tcPr>
          <w:p w14:paraId="07BEF08F">
            <w:pPr>
              <w:pageBreakBefore w:val="0"/>
              <w:topLinePunct w:val="0"/>
              <w:bidi w:val="0"/>
              <w:spacing w:line="240" w:lineRule="auto"/>
              <w:ind w:right="0" w:rightChars="0"/>
              <w:jc w:val="center"/>
              <w:rPr>
                <w:rFonts w:hint="default" w:eastAsia="宋体"/>
                <w:color w:val="auto"/>
                <w:sz w:val="24"/>
                <w:szCs w:val="24"/>
                <w:lang w:val="en-US" w:eastAsia="zh-CN"/>
              </w:rPr>
            </w:pPr>
            <w:r>
              <w:rPr>
                <w:rFonts w:hint="default" w:eastAsia="宋体"/>
                <w:color w:val="auto"/>
                <w:sz w:val="24"/>
                <w:szCs w:val="24"/>
                <w:lang w:val="en-US" w:eastAsia="zh-CN"/>
              </w:rPr>
              <w:t>投标单价</w:t>
            </w:r>
          </w:p>
          <w:p w14:paraId="24553C9A">
            <w:pPr>
              <w:pageBreakBefore w:val="0"/>
              <w:topLinePunct w:val="0"/>
              <w:bidi w:val="0"/>
              <w:spacing w:line="240" w:lineRule="auto"/>
              <w:ind w:right="0" w:rightChars="0"/>
              <w:jc w:val="center"/>
              <w:rPr>
                <w:rFonts w:hint="default" w:eastAsia="宋体"/>
                <w:color w:val="auto"/>
                <w:sz w:val="24"/>
                <w:szCs w:val="24"/>
                <w:lang w:val="en-US" w:eastAsia="zh-CN"/>
              </w:rPr>
            </w:pPr>
            <w:r>
              <w:rPr>
                <w:rFonts w:hint="eastAsia"/>
                <w:color w:val="auto"/>
                <w:sz w:val="24"/>
                <w:szCs w:val="24"/>
                <w:lang w:val="en-US" w:eastAsia="zh-CN"/>
              </w:rPr>
              <w:t>（元）</w:t>
            </w:r>
          </w:p>
        </w:tc>
        <w:tc>
          <w:tcPr>
            <w:tcW w:w="1567" w:type="dxa"/>
            <w:tcBorders>
              <w:left w:val="single" w:color="000000" w:sz="4" w:space="0"/>
              <w:right w:val="single" w:color="000000" w:sz="4" w:space="0"/>
            </w:tcBorders>
            <w:vAlign w:val="center"/>
          </w:tcPr>
          <w:p w14:paraId="344F6B82">
            <w:pPr>
              <w:pageBreakBefore w:val="0"/>
              <w:topLinePunct w:val="0"/>
              <w:bidi w:val="0"/>
              <w:spacing w:line="240" w:lineRule="auto"/>
              <w:ind w:right="0" w:rightChars="0"/>
              <w:jc w:val="center"/>
              <w:rPr>
                <w:rFonts w:hint="eastAsia"/>
                <w:color w:val="auto"/>
                <w:sz w:val="24"/>
                <w:szCs w:val="24"/>
              </w:rPr>
            </w:pPr>
            <w:r>
              <w:rPr>
                <w:rFonts w:hint="eastAsia"/>
                <w:color w:val="auto"/>
                <w:sz w:val="24"/>
                <w:szCs w:val="24"/>
              </w:rPr>
              <w:t>投标报价</w:t>
            </w:r>
          </w:p>
          <w:p w14:paraId="61FA736C">
            <w:pPr>
              <w:pageBreakBefore w:val="0"/>
              <w:topLinePunct w:val="0"/>
              <w:bidi w:val="0"/>
              <w:spacing w:line="240" w:lineRule="auto"/>
              <w:ind w:right="0" w:rightChars="0"/>
              <w:jc w:val="center"/>
              <w:rPr>
                <w:rFonts w:hint="default" w:eastAsia="宋体"/>
                <w:color w:val="auto"/>
                <w:sz w:val="24"/>
                <w:szCs w:val="24"/>
                <w:lang w:val="en-US" w:eastAsia="zh-CN"/>
              </w:rPr>
            </w:pPr>
            <w:r>
              <w:rPr>
                <w:rFonts w:hint="eastAsia"/>
                <w:color w:val="auto"/>
                <w:sz w:val="24"/>
                <w:szCs w:val="24"/>
                <w:lang w:eastAsia="zh-CN"/>
              </w:rPr>
              <w:t>（</w:t>
            </w:r>
            <w:r>
              <w:rPr>
                <w:rFonts w:hint="eastAsia"/>
                <w:color w:val="auto"/>
                <w:sz w:val="24"/>
                <w:szCs w:val="24"/>
                <w:lang w:val="en-US" w:eastAsia="zh-CN"/>
              </w:rPr>
              <w:t>元</w:t>
            </w:r>
            <w:r>
              <w:rPr>
                <w:rFonts w:hint="eastAsia"/>
                <w:color w:val="auto"/>
                <w:sz w:val="24"/>
                <w:szCs w:val="24"/>
                <w:lang w:eastAsia="zh-CN"/>
              </w:rPr>
              <w:t>）</w:t>
            </w:r>
          </w:p>
        </w:tc>
        <w:tc>
          <w:tcPr>
            <w:tcW w:w="1131" w:type="dxa"/>
            <w:tcBorders>
              <w:left w:val="single" w:color="000000" w:sz="4" w:space="0"/>
            </w:tcBorders>
            <w:vAlign w:val="center"/>
          </w:tcPr>
          <w:p w14:paraId="46F07993">
            <w:pPr>
              <w:pageBreakBefore w:val="0"/>
              <w:topLinePunct w:val="0"/>
              <w:bidi w:val="0"/>
              <w:spacing w:line="240" w:lineRule="auto"/>
              <w:ind w:right="0" w:rightChars="0"/>
              <w:jc w:val="center"/>
              <w:rPr>
                <w:rFonts w:hint="default" w:eastAsia="宋体"/>
                <w:color w:val="auto"/>
                <w:sz w:val="24"/>
                <w:szCs w:val="24"/>
                <w:lang w:val="en-US" w:eastAsia="zh-CN"/>
              </w:rPr>
            </w:pPr>
            <w:r>
              <w:rPr>
                <w:rFonts w:hint="eastAsia"/>
                <w:color w:val="auto"/>
                <w:sz w:val="24"/>
                <w:szCs w:val="24"/>
                <w:lang w:val="en-US" w:eastAsia="zh-CN"/>
              </w:rPr>
              <w:t>供货期</w:t>
            </w:r>
          </w:p>
        </w:tc>
      </w:tr>
      <w:tr w14:paraId="2F56F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7" w:hRule="atLeast"/>
        </w:trPr>
        <w:tc>
          <w:tcPr>
            <w:tcW w:w="1951" w:type="dxa"/>
            <w:vAlign w:val="center"/>
          </w:tcPr>
          <w:p w14:paraId="1F7162A6">
            <w:pPr>
              <w:pageBreakBefore w:val="0"/>
              <w:topLinePunct w:val="0"/>
              <w:bidi w:val="0"/>
              <w:spacing w:line="240" w:lineRule="auto"/>
              <w:ind w:left="0" w:leftChars="0" w:right="0" w:rightChars="0" w:firstLine="720" w:firstLineChars="300"/>
              <w:jc w:val="both"/>
              <w:rPr>
                <w:rFonts w:hint="eastAsia" w:eastAsia="宋体"/>
                <w:color w:val="auto"/>
                <w:sz w:val="24"/>
                <w:szCs w:val="24"/>
                <w:lang w:val="en-US" w:eastAsia="zh-CN"/>
              </w:rPr>
            </w:pPr>
            <w:r>
              <w:rPr>
                <w:rFonts w:hint="eastAsia"/>
                <w:color w:val="auto"/>
                <w:sz w:val="24"/>
                <w:szCs w:val="24"/>
                <w:lang w:val="en-US" w:eastAsia="zh-CN"/>
              </w:rPr>
              <w:t>大米</w:t>
            </w:r>
          </w:p>
          <w:p w14:paraId="175C9D48">
            <w:pPr>
              <w:pageBreakBefore w:val="0"/>
              <w:topLinePunct w:val="0"/>
              <w:bidi w:val="0"/>
              <w:spacing w:line="240" w:lineRule="auto"/>
              <w:ind w:right="0" w:rightChars="0"/>
              <w:jc w:val="center"/>
              <w:rPr>
                <w:color w:val="auto"/>
                <w:sz w:val="24"/>
                <w:szCs w:val="24"/>
              </w:rPr>
            </w:pPr>
            <w:r>
              <w:rPr>
                <w:rFonts w:hint="eastAsia"/>
                <w:color w:val="auto"/>
                <w:sz w:val="24"/>
                <w:szCs w:val="24"/>
              </w:rPr>
              <w:t>（元/千克）</w:t>
            </w:r>
          </w:p>
        </w:tc>
        <w:tc>
          <w:tcPr>
            <w:tcW w:w="2815" w:type="dxa"/>
            <w:tcBorders>
              <w:right w:val="single" w:color="000000" w:sz="4" w:space="0"/>
            </w:tcBorders>
          </w:tcPr>
          <w:p w14:paraId="39E08588">
            <w:pPr>
              <w:pageBreakBefore w:val="0"/>
              <w:topLinePunct w:val="0"/>
              <w:bidi w:val="0"/>
              <w:spacing w:line="240" w:lineRule="auto"/>
              <w:ind w:right="0" w:rightChars="0"/>
              <w:jc w:val="left"/>
              <w:rPr>
                <w:rFonts w:hint="eastAsia"/>
                <w:color w:val="auto"/>
                <w:sz w:val="24"/>
                <w:szCs w:val="24"/>
                <w:lang w:val="en-US" w:eastAsia="zh-CN"/>
              </w:rPr>
            </w:pPr>
            <w:r>
              <w:rPr>
                <w:rFonts w:hint="eastAsia"/>
                <w:color w:val="auto"/>
                <w:sz w:val="24"/>
                <w:szCs w:val="24"/>
                <w:lang w:val="en-US" w:eastAsia="zh-CN"/>
              </w:rPr>
              <w:t>品  牌：</w:t>
            </w:r>
          </w:p>
          <w:p w14:paraId="11B0A4C6">
            <w:pPr>
              <w:pageBreakBefore w:val="0"/>
              <w:topLinePunct w:val="0"/>
              <w:bidi w:val="0"/>
              <w:spacing w:line="240" w:lineRule="auto"/>
              <w:ind w:right="0" w:rightChars="0"/>
              <w:jc w:val="left"/>
              <w:rPr>
                <w:rFonts w:hint="eastAsia"/>
                <w:color w:val="auto"/>
                <w:sz w:val="24"/>
                <w:szCs w:val="24"/>
                <w:lang w:val="en-US" w:eastAsia="zh-CN"/>
              </w:rPr>
            </w:pPr>
            <w:r>
              <w:rPr>
                <w:rFonts w:hint="eastAsia"/>
                <w:color w:val="auto"/>
                <w:sz w:val="24"/>
                <w:szCs w:val="24"/>
                <w:lang w:val="en-US" w:eastAsia="zh-CN"/>
              </w:rPr>
              <w:t>生产商：</w:t>
            </w:r>
          </w:p>
        </w:tc>
        <w:tc>
          <w:tcPr>
            <w:tcW w:w="2213" w:type="dxa"/>
            <w:tcBorders>
              <w:left w:val="single" w:color="000000" w:sz="4" w:space="0"/>
              <w:right w:val="single" w:color="000000" w:sz="4" w:space="0"/>
            </w:tcBorders>
            <w:vAlign w:val="top"/>
          </w:tcPr>
          <w:p w14:paraId="448138A6">
            <w:pPr>
              <w:pageBreakBefore w:val="0"/>
              <w:topLinePunct w:val="0"/>
              <w:bidi w:val="0"/>
              <w:spacing w:line="240" w:lineRule="auto"/>
              <w:ind w:left="0" w:leftChars="0" w:right="0" w:rightChars="0" w:firstLine="480" w:firstLineChars="200"/>
              <w:jc w:val="both"/>
              <w:rPr>
                <w:color w:val="auto"/>
                <w:sz w:val="24"/>
                <w:szCs w:val="24"/>
              </w:rPr>
            </w:pPr>
          </w:p>
        </w:tc>
        <w:tc>
          <w:tcPr>
            <w:tcW w:w="1567" w:type="dxa"/>
            <w:tcBorders>
              <w:left w:val="single" w:color="000000" w:sz="4" w:space="0"/>
              <w:right w:val="single" w:color="000000" w:sz="4" w:space="0"/>
            </w:tcBorders>
          </w:tcPr>
          <w:p w14:paraId="6C97C6D3">
            <w:pPr>
              <w:pageBreakBefore w:val="0"/>
              <w:topLinePunct w:val="0"/>
              <w:bidi w:val="0"/>
              <w:spacing w:line="240" w:lineRule="auto"/>
              <w:ind w:left="0" w:leftChars="0" w:right="0" w:rightChars="0" w:firstLine="480" w:firstLineChars="200"/>
              <w:jc w:val="center"/>
              <w:rPr>
                <w:color w:val="auto"/>
                <w:sz w:val="24"/>
                <w:szCs w:val="24"/>
              </w:rPr>
            </w:pPr>
          </w:p>
        </w:tc>
        <w:tc>
          <w:tcPr>
            <w:tcW w:w="1131" w:type="dxa"/>
            <w:vMerge w:val="restart"/>
            <w:tcBorders>
              <w:left w:val="single" w:color="000000" w:sz="4" w:space="0"/>
            </w:tcBorders>
          </w:tcPr>
          <w:p w14:paraId="349FD2E6">
            <w:pPr>
              <w:pageBreakBefore w:val="0"/>
              <w:topLinePunct w:val="0"/>
              <w:bidi w:val="0"/>
              <w:spacing w:line="240" w:lineRule="auto"/>
              <w:ind w:left="0" w:leftChars="0" w:right="0" w:rightChars="0" w:firstLine="480" w:firstLineChars="200"/>
              <w:jc w:val="center"/>
              <w:rPr>
                <w:color w:val="auto"/>
                <w:sz w:val="24"/>
                <w:szCs w:val="24"/>
              </w:rPr>
            </w:pPr>
          </w:p>
        </w:tc>
      </w:tr>
      <w:tr w14:paraId="6833E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8" w:hRule="atLeast"/>
        </w:trPr>
        <w:tc>
          <w:tcPr>
            <w:tcW w:w="1951" w:type="dxa"/>
            <w:vAlign w:val="center"/>
          </w:tcPr>
          <w:p w14:paraId="6B56A8ED">
            <w:pPr>
              <w:pageBreakBefore w:val="0"/>
              <w:topLinePunct w:val="0"/>
              <w:bidi w:val="0"/>
              <w:spacing w:line="240" w:lineRule="auto"/>
              <w:ind w:left="0" w:leftChars="0" w:right="0" w:rightChars="0" w:firstLine="720" w:firstLineChars="300"/>
              <w:jc w:val="both"/>
              <w:rPr>
                <w:color w:val="auto"/>
                <w:sz w:val="24"/>
                <w:szCs w:val="24"/>
              </w:rPr>
            </w:pPr>
            <w:r>
              <w:rPr>
                <w:rFonts w:hint="eastAsia"/>
                <w:color w:val="auto"/>
                <w:sz w:val="24"/>
                <w:szCs w:val="24"/>
              </w:rPr>
              <w:t>面粉</w:t>
            </w:r>
          </w:p>
          <w:p w14:paraId="5CBBB147">
            <w:pPr>
              <w:pageBreakBefore w:val="0"/>
              <w:topLinePunct w:val="0"/>
              <w:bidi w:val="0"/>
              <w:spacing w:line="240" w:lineRule="auto"/>
              <w:ind w:right="0" w:rightChars="0"/>
              <w:jc w:val="center"/>
              <w:rPr>
                <w:color w:val="auto"/>
              </w:rPr>
            </w:pPr>
            <w:r>
              <w:rPr>
                <w:rFonts w:hint="eastAsia"/>
                <w:color w:val="auto"/>
                <w:sz w:val="24"/>
                <w:szCs w:val="24"/>
                <w:lang w:eastAsia="zh-CN"/>
              </w:rPr>
              <w:t>（</w:t>
            </w:r>
            <w:r>
              <w:rPr>
                <w:rFonts w:hint="eastAsia"/>
                <w:color w:val="auto"/>
                <w:sz w:val="24"/>
                <w:szCs w:val="24"/>
              </w:rPr>
              <w:t>元/千克</w:t>
            </w:r>
            <w:r>
              <w:rPr>
                <w:rFonts w:hint="eastAsia"/>
                <w:color w:val="auto"/>
                <w:sz w:val="24"/>
                <w:szCs w:val="24"/>
                <w:lang w:eastAsia="zh-CN"/>
              </w:rPr>
              <w:t>）</w:t>
            </w:r>
          </w:p>
        </w:tc>
        <w:tc>
          <w:tcPr>
            <w:tcW w:w="2815" w:type="dxa"/>
            <w:tcBorders>
              <w:right w:val="single" w:color="000000" w:sz="4" w:space="0"/>
            </w:tcBorders>
          </w:tcPr>
          <w:p w14:paraId="6E2C4F47">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  牌：</w:t>
            </w:r>
          </w:p>
          <w:p w14:paraId="1CD1FA26">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213" w:type="dxa"/>
            <w:tcBorders>
              <w:left w:val="single" w:color="000000" w:sz="4" w:space="0"/>
              <w:right w:val="single" w:color="000000" w:sz="4" w:space="0"/>
            </w:tcBorders>
            <w:vAlign w:val="top"/>
          </w:tcPr>
          <w:p w14:paraId="6DE4DBDD">
            <w:pPr>
              <w:pageBreakBefore w:val="0"/>
              <w:topLinePunct w:val="0"/>
              <w:bidi w:val="0"/>
              <w:spacing w:line="240" w:lineRule="auto"/>
              <w:ind w:left="0" w:leftChars="0" w:right="0" w:rightChars="0" w:firstLine="480" w:firstLineChars="200"/>
              <w:jc w:val="center"/>
              <w:rPr>
                <w:color w:val="auto"/>
                <w:sz w:val="24"/>
                <w:szCs w:val="24"/>
              </w:rPr>
            </w:pPr>
          </w:p>
        </w:tc>
        <w:tc>
          <w:tcPr>
            <w:tcW w:w="1567" w:type="dxa"/>
            <w:tcBorders>
              <w:left w:val="single" w:color="000000" w:sz="4" w:space="0"/>
              <w:right w:val="single" w:color="000000" w:sz="4" w:space="0"/>
            </w:tcBorders>
          </w:tcPr>
          <w:p w14:paraId="49C33CDE">
            <w:pPr>
              <w:pageBreakBefore w:val="0"/>
              <w:topLinePunct w:val="0"/>
              <w:bidi w:val="0"/>
              <w:spacing w:line="240" w:lineRule="auto"/>
              <w:ind w:left="0" w:leftChars="0" w:right="0" w:rightChars="0" w:firstLine="480" w:firstLineChars="200"/>
              <w:jc w:val="center"/>
              <w:rPr>
                <w:color w:val="auto"/>
                <w:sz w:val="24"/>
                <w:szCs w:val="24"/>
              </w:rPr>
            </w:pPr>
          </w:p>
        </w:tc>
        <w:tc>
          <w:tcPr>
            <w:tcW w:w="1131" w:type="dxa"/>
            <w:vMerge w:val="continue"/>
            <w:tcBorders>
              <w:left w:val="single" w:color="000000" w:sz="4" w:space="0"/>
            </w:tcBorders>
          </w:tcPr>
          <w:p w14:paraId="7A00C4CA">
            <w:pPr>
              <w:pageBreakBefore w:val="0"/>
              <w:topLinePunct w:val="0"/>
              <w:bidi w:val="0"/>
              <w:spacing w:line="240" w:lineRule="auto"/>
              <w:ind w:left="0" w:leftChars="0" w:right="0" w:rightChars="0" w:firstLine="480" w:firstLineChars="200"/>
              <w:jc w:val="center"/>
              <w:rPr>
                <w:color w:val="auto"/>
                <w:sz w:val="24"/>
                <w:szCs w:val="24"/>
              </w:rPr>
            </w:pPr>
          </w:p>
        </w:tc>
      </w:tr>
      <w:tr w14:paraId="0197E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9" w:hRule="atLeast"/>
        </w:trPr>
        <w:tc>
          <w:tcPr>
            <w:tcW w:w="1951" w:type="dxa"/>
            <w:vAlign w:val="center"/>
          </w:tcPr>
          <w:p w14:paraId="71BBC9AE">
            <w:pPr>
              <w:pageBreakBefore w:val="0"/>
              <w:topLinePunct w:val="0"/>
              <w:bidi w:val="0"/>
              <w:spacing w:line="240" w:lineRule="auto"/>
              <w:ind w:right="0" w:rightChars="0"/>
              <w:jc w:val="center"/>
              <w:rPr>
                <w:rFonts w:hint="eastAsia"/>
                <w:color w:val="auto"/>
                <w:sz w:val="24"/>
                <w:szCs w:val="24"/>
                <w:lang w:eastAsia="zh-CN"/>
              </w:rPr>
            </w:pPr>
            <w:r>
              <w:rPr>
                <w:rFonts w:hint="eastAsia"/>
                <w:color w:val="auto"/>
                <w:sz w:val="24"/>
                <w:szCs w:val="24"/>
                <w:lang w:eastAsia="zh-CN"/>
              </w:rPr>
              <w:t>面制品</w:t>
            </w:r>
          </w:p>
          <w:p w14:paraId="1528CB13">
            <w:pPr>
              <w:pageBreakBefore w:val="0"/>
              <w:topLinePunct w:val="0"/>
              <w:bidi w:val="0"/>
              <w:spacing w:line="240" w:lineRule="auto"/>
              <w:ind w:right="0" w:rightChars="0"/>
              <w:jc w:val="center"/>
              <w:rPr>
                <w:rFonts w:hint="eastAsia"/>
                <w:color w:val="auto"/>
                <w:sz w:val="24"/>
                <w:szCs w:val="24"/>
                <w:lang w:eastAsia="zh-CN"/>
              </w:rPr>
            </w:pPr>
            <w:r>
              <w:rPr>
                <w:rFonts w:hint="eastAsia"/>
                <w:color w:val="auto"/>
                <w:sz w:val="24"/>
                <w:szCs w:val="24"/>
                <w:lang w:eastAsia="zh-CN"/>
              </w:rPr>
              <w:t>（元</w:t>
            </w:r>
            <w:r>
              <w:rPr>
                <w:rFonts w:hint="eastAsia"/>
                <w:color w:val="auto"/>
                <w:sz w:val="24"/>
                <w:szCs w:val="24"/>
                <w:lang w:val="en-US" w:eastAsia="zh-CN"/>
              </w:rPr>
              <w:t>/千克</w:t>
            </w:r>
            <w:r>
              <w:rPr>
                <w:rFonts w:hint="eastAsia"/>
                <w:color w:val="auto"/>
                <w:sz w:val="24"/>
                <w:szCs w:val="24"/>
                <w:lang w:eastAsia="zh-CN"/>
              </w:rPr>
              <w:t>）</w:t>
            </w:r>
          </w:p>
        </w:tc>
        <w:tc>
          <w:tcPr>
            <w:tcW w:w="2815" w:type="dxa"/>
            <w:tcBorders>
              <w:right w:val="single" w:color="000000" w:sz="4" w:space="0"/>
            </w:tcBorders>
          </w:tcPr>
          <w:p w14:paraId="2869D7CF">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  牌：</w:t>
            </w:r>
          </w:p>
          <w:p w14:paraId="7CFE0336">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213" w:type="dxa"/>
            <w:tcBorders>
              <w:left w:val="single" w:color="000000" w:sz="4" w:space="0"/>
              <w:right w:val="single" w:color="000000" w:sz="4" w:space="0"/>
            </w:tcBorders>
            <w:vAlign w:val="top"/>
          </w:tcPr>
          <w:p w14:paraId="574F8A69">
            <w:pPr>
              <w:pageBreakBefore w:val="0"/>
              <w:topLinePunct w:val="0"/>
              <w:bidi w:val="0"/>
              <w:spacing w:line="240" w:lineRule="auto"/>
              <w:ind w:right="0" w:rightChars="0"/>
              <w:jc w:val="both"/>
              <w:rPr>
                <w:color w:val="auto"/>
                <w:sz w:val="24"/>
                <w:szCs w:val="24"/>
              </w:rPr>
            </w:pPr>
            <w:r>
              <w:rPr>
                <w:rFonts w:hint="eastAsia"/>
                <w:color w:val="auto"/>
                <w:sz w:val="24"/>
                <w:szCs w:val="24"/>
                <w:lang w:val="en-US" w:eastAsia="zh-CN"/>
              </w:rPr>
              <w:t>投标优惠率（%）：</w:t>
            </w:r>
          </w:p>
        </w:tc>
        <w:tc>
          <w:tcPr>
            <w:tcW w:w="1567" w:type="dxa"/>
            <w:tcBorders>
              <w:left w:val="single" w:color="000000" w:sz="4" w:space="0"/>
              <w:right w:val="single" w:color="000000" w:sz="4" w:space="0"/>
            </w:tcBorders>
          </w:tcPr>
          <w:p w14:paraId="3E6A36C7">
            <w:pPr>
              <w:pageBreakBefore w:val="0"/>
              <w:topLinePunct w:val="0"/>
              <w:bidi w:val="0"/>
              <w:spacing w:line="240" w:lineRule="auto"/>
              <w:ind w:left="0" w:leftChars="0" w:right="0" w:rightChars="0" w:firstLine="480" w:firstLineChars="200"/>
              <w:jc w:val="center"/>
              <w:rPr>
                <w:color w:val="auto"/>
                <w:sz w:val="24"/>
                <w:szCs w:val="24"/>
              </w:rPr>
            </w:pPr>
          </w:p>
        </w:tc>
        <w:tc>
          <w:tcPr>
            <w:tcW w:w="1131" w:type="dxa"/>
            <w:vMerge w:val="continue"/>
            <w:tcBorders>
              <w:left w:val="single" w:color="000000" w:sz="4" w:space="0"/>
            </w:tcBorders>
          </w:tcPr>
          <w:p w14:paraId="44959473">
            <w:pPr>
              <w:pageBreakBefore w:val="0"/>
              <w:topLinePunct w:val="0"/>
              <w:bidi w:val="0"/>
              <w:spacing w:line="240" w:lineRule="auto"/>
              <w:ind w:left="0" w:leftChars="0" w:right="0" w:rightChars="0" w:firstLine="480" w:firstLineChars="200"/>
              <w:jc w:val="center"/>
              <w:rPr>
                <w:color w:val="auto"/>
                <w:sz w:val="24"/>
                <w:szCs w:val="24"/>
              </w:rPr>
            </w:pPr>
          </w:p>
        </w:tc>
      </w:tr>
      <w:tr w14:paraId="2EA66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6" w:hRule="atLeast"/>
        </w:trPr>
        <w:tc>
          <w:tcPr>
            <w:tcW w:w="1951" w:type="dxa"/>
            <w:tcBorders>
              <w:bottom w:val="single" w:color="auto" w:sz="4" w:space="0"/>
            </w:tcBorders>
            <w:vAlign w:val="center"/>
          </w:tcPr>
          <w:p w14:paraId="09A4C9EF">
            <w:pPr>
              <w:pageBreakBefore w:val="0"/>
              <w:topLinePunct w:val="0"/>
              <w:bidi w:val="0"/>
              <w:spacing w:line="240" w:lineRule="auto"/>
              <w:ind w:right="0" w:rightChars="0"/>
              <w:jc w:val="center"/>
              <w:rPr>
                <w:rFonts w:hint="eastAsia"/>
                <w:color w:val="auto"/>
                <w:sz w:val="24"/>
                <w:szCs w:val="24"/>
              </w:rPr>
            </w:pPr>
            <w:r>
              <w:rPr>
                <w:rFonts w:hint="eastAsia"/>
                <w:color w:val="auto"/>
                <w:sz w:val="24"/>
                <w:szCs w:val="24"/>
                <w:lang w:val="en-US"/>
              </w:rPr>
              <w:t>菜籽</w:t>
            </w:r>
            <w:r>
              <w:rPr>
                <w:rFonts w:hint="eastAsia"/>
                <w:color w:val="auto"/>
                <w:sz w:val="24"/>
                <w:szCs w:val="24"/>
              </w:rPr>
              <w:t>油</w:t>
            </w:r>
          </w:p>
          <w:p w14:paraId="6DCDA5E5">
            <w:pPr>
              <w:pageBreakBefore w:val="0"/>
              <w:topLinePunct w:val="0"/>
              <w:bidi w:val="0"/>
              <w:spacing w:line="240" w:lineRule="auto"/>
              <w:ind w:right="0" w:rightChars="0"/>
              <w:jc w:val="center"/>
              <w:rPr>
                <w:color w:val="auto"/>
                <w:sz w:val="24"/>
                <w:szCs w:val="24"/>
              </w:rPr>
            </w:pPr>
            <w:r>
              <w:rPr>
                <w:rFonts w:hint="eastAsia"/>
                <w:color w:val="auto"/>
                <w:sz w:val="24"/>
                <w:szCs w:val="24"/>
              </w:rPr>
              <w:t>（元/公升）</w:t>
            </w:r>
          </w:p>
        </w:tc>
        <w:tc>
          <w:tcPr>
            <w:tcW w:w="2815" w:type="dxa"/>
            <w:tcBorders>
              <w:bottom w:val="single" w:color="auto" w:sz="4" w:space="0"/>
              <w:right w:val="single" w:color="000000" w:sz="4" w:space="0"/>
            </w:tcBorders>
          </w:tcPr>
          <w:p w14:paraId="7CFC56AC">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  牌：</w:t>
            </w:r>
          </w:p>
          <w:p w14:paraId="4DD95534">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213" w:type="dxa"/>
            <w:tcBorders>
              <w:left w:val="single" w:color="000000" w:sz="4" w:space="0"/>
              <w:bottom w:val="single" w:color="auto" w:sz="4" w:space="0"/>
              <w:right w:val="single" w:color="000000" w:sz="4" w:space="0"/>
            </w:tcBorders>
            <w:vAlign w:val="top"/>
          </w:tcPr>
          <w:p w14:paraId="140E1C6F">
            <w:pPr>
              <w:pageBreakBefore w:val="0"/>
              <w:topLinePunct w:val="0"/>
              <w:bidi w:val="0"/>
              <w:spacing w:line="240" w:lineRule="auto"/>
              <w:ind w:left="0" w:leftChars="0" w:right="0" w:rightChars="0" w:firstLine="480" w:firstLineChars="200"/>
              <w:jc w:val="center"/>
              <w:rPr>
                <w:rFonts w:ascii="宋体" w:hAnsi="宋体" w:eastAsia="宋体" w:cs="宋体"/>
                <w:color w:val="auto"/>
                <w:sz w:val="24"/>
                <w:szCs w:val="24"/>
                <w:lang w:val="zh-CN" w:eastAsia="zh-CN" w:bidi="zh-CN"/>
              </w:rPr>
            </w:pPr>
          </w:p>
        </w:tc>
        <w:tc>
          <w:tcPr>
            <w:tcW w:w="1567" w:type="dxa"/>
            <w:tcBorders>
              <w:left w:val="single" w:color="000000" w:sz="4" w:space="0"/>
              <w:bottom w:val="single" w:color="auto" w:sz="4" w:space="0"/>
              <w:right w:val="single" w:color="000000" w:sz="4" w:space="0"/>
            </w:tcBorders>
          </w:tcPr>
          <w:p w14:paraId="6FF47599">
            <w:pPr>
              <w:pageBreakBefore w:val="0"/>
              <w:topLinePunct w:val="0"/>
              <w:bidi w:val="0"/>
              <w:spacing w:line="240" w:lineRule="auto"/>
              <w:ind w:left="0" w:leftChars="0" w:right="0" w:rightChars="0" w:firstLine="480" w:firstLineChars="200"/>
              <w:jc w:val="center"/>
              <w:rPr>
                <w:color w:val="auto"/>
                <w:sz w:val="24"/>
                <w:szCs w:val="24"/>
              </w:rPr>
            </w:pPr>
          </w:p>
        </w:tc>
        <w:tc>
          <w:tcPr>
            <w:tcW w:w="1131" w:type="dxa"/>
            <w:vMerge w:val="continue"/>
            <w:tcBorders>
              <w:left w:val="single" w:color="000000" w:sz="4" w:space="0"/>
            </w:tcBorders>
          </w:tcPr>
          <w:p w14:paraId="5EE79F94">
            <w:pPr>
              <w:pageBreakBefore w:val="0"/>
              <w:topLinePunct w:val="0"/>
              <w:bidi w:val="0"/>
              <w:spacing w:line="240" w:lineRule="auto"/>
              <w:ind w:left="0" w:leftChars="0" w:right="0" w:rightChars="0" w:firstLine="480" w:firstLineChars="200"/>
              <w:jc w:val="center"/>
              <w:rPr>
                <w:color w:val="auto"/>
                <w:sz w:val="24"/>
                <w:szCs w:val="24"/>
              </w:rPr>
            </w:pPr>
          </w:p>
        </w:tc>
      </w:tr>
      <w:tr w14:paraId="6A3E2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951" w:type="dxa"/>
            <w:tcBorders>
              <w:bottom w:val="single" w:color="auto" w:sz="4" w:space="0"/>
            </w:tcBorders>
            <w:vAlign w:val="center"/>
          </w:tcPr>
          <w:p w14:paraId="793D2EBD">
            <w:pPr>
              <w:pageBreakBefore w:val="0"/>
              <w:topLinePunct w:val="0"/>
              <w:bidi w:val="0"/>
              <w:spacing w:line="240" w:lineRule="auto"/>
              <w:ind w:right="0" w:rightChars="0"/>
              <w:jc w:val="center"/>
              <w:rPr>
                <w:rFonts w:hint="eastAsia"/>
                <w:color w:val="auto"/>
                <w:sz w:val="24"/>
                <w:szCs w:val="24"/>
              </w:rPr>
            </w:pPr>
            <w:r>
              <w:rPr>
                <w:rFonts w:hint="eastAsia"/>
                <w:color w:val="auto"/>
                <w:sz w:val="24"/>
                <w:szCs w:val="24"/>
                <w:lang w:val="en-US" w:eastAsia="zh-CN"/>
              </w:rPr>
              <w:t>纯牛奶</w:t>
            </w:r>
          </w:p>
        </w:tc>
        <w:tc>
          <w:tcPr>
            <w:tcW w:w="2815" w:type="dxa"/>
            <w:tcBorders>
              <w:bottom w:val="single" w:color="auto" w:sz="4" w:space="0"/>
              <w:right w:val="single" w:color="000000" w:sz="4" w:space="0"/>
            </w:tcBorders>
          </w:tcPr>
          <w:p w14:paraId="6CE06FE8">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  牌：</w:t>
            </w:r>
          </w:p>
          <w:p w14:paraId="4B3E2D92">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213" w:type="dxa"/>
            <w:tcBorders>
              <w:left w:val="single" w:color="000000" w:sz="4" w:space="0"/>
              <w:bottom w:val="single" w:color="auto" w:sz="4" w:space="0"/>
              <w:right w:val="single" w:color="000000" w:sz="4" w:space="0"/>
            </w:tcBorders>
            <w:vAlign w:val="top"/>
          </w:tcPr>
          <w:p w14:paraId="34851764">
            <w:pPr>
              <w:pageBreakBefore w:val="0"/>
              <w:topLinePunct w:val="0"/>
              <w:bidi w:val="0"/>
              <w:spacing w:line="240" w:lineRule="auto"/>
              <w:ind w:right="0" w:rightChars="0"/>
              <w:jc w:val="both"/>
              <w:rPr>
                <w:rFonts w:ascii="宋体" w:hAnsi="宋体" w:eastAsia="宋体" w:cs="宋体"/>
                <w:color w:val="auto"/>
                <w:sz w:val="24"/>
                <w:szCs w:val="24"/>
                <w:lang w:val="zh-CN" w:eastAsia="zh-CN" w:bidi="zh-CN"/>
              </w:rPr>
            </w:pPr>
            <w:r>
              <w:rPr>
                <w:rFonts w:hint="eastAsia"/>
                <w:color w:val="auto"/>
                <w:sz w:val="24"/>
                <w:szCs w:val="24"/>
                <w:lang w:val="en-US" w:eastAsia="zh-CN"/>
              </w:rPr>
              <w:t>投标优惠率（%）：</w:t>
            </w:r>
          </w:p>
        </w:tc>
        <w:tc>
          <w:tcPr>
            <w:tcW w:w="1567" w:type="dxa"/>
            <w:tcBorders>
              <w:left w:val="single" w:color="000000" w:sz="4" w:space="0"/>
              <w:bottom w:val="single" w:color="auto" w:sz="4" w:space="0"/>
              <w:right w:val="single" w:color="000000" w:sz="4" w:space="0"/>
            </w:tcBorders>
          </w:tcPr>
          <w:p w14:paraId="6B30E728">
            <w:pPr>
              <w:pageBreakBefore w:val="0"/>
              <w:topLinePunct w:val="0"/>
              <w:bidi w:val="0"/>
              <w:spacing w:line="240" w:lineRule="auto"/>
              <w:ind w:left="0" w:leftChars="0" w:right="0" w:rightChars="0" w:firstLine="480" w:firstLineChars="200"/>
              <w:jc w:val="center"/>
              <w:rPr>
                <w:color w:val="auto"/>
                <w:sz w:val="24"/>
                <w:szCs w:val="24"/>
              </w:rPr>
            </w:pPr>
          </w:p>
        </w:tc>
        <w:tc>
          <w:tcPr>
            <w:tcW w:w="1131" w:type="dxa"/>
            <w:vMerge w:val="continue"/>
            <w:tcBorders>
              <w:left w:val="single" w:color="000000" w:sz="4" w:space="0"/>
            </w:tcBorders>
          </w:tcPr>
          <w:p w14:paraId="4B3E25E0">
            <w:pPr>
              <w:pageBreakBefore w:val="0"/>
              <w:topLinePunct w:val="0"/>
              <w:bidi w:val="0"/>
              <w:spacing w:line="240" w:lineRule="auto"/>
              <w:ind w:left="0" w:leftChars="0" w:right="0" w:rightChars="0" w:firstLine="480" w:firstLineChars="200"/>
              <w:jc w:val="center"/>
              <w:rPr>
                <w:color w:val="auto"/>
                <w:sz w:val="24"/>
                <w:szCs w:val="24"/>
              </w:rPr>
            </w:pPr>
          </w:p>
        </w:tc>
      </w:tr>
      <w:tr w14:paraId="36A0E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0" w:hRule="atLeast"/>
        </w:trPr>
        <w:tc>
          <w:tcPr>
            <w:tcW w:w="1951" w:type="dxa"/>
            <w:tcBorders>
              <w:top w:val="single" w:color="auto" w:sz="4" w:space="0"/>
              <w:left w:val="single" w:color="auto" w:sz="4" w:space="0"/>
              <w:bottom w:val="single" w:color="auto" w:sz="4" w:space="0"/>
              <w:right w:val="single" w:color="auto" w:sz="4" w:space="0"/>
            </w:tcBorders>
            <w:vAlign w:val="center"/>
          </w:tcPr>
          <w:p w14:paraId="33379FAC">
            <w:pPr>
              <w:pageBreakBefore w:val="0"/>
              <w:topLinePunct w:val="0"/>
              <w:bidi w:val="0"/>
              <w:spacing w:line="240" w:lineRule="auto"/>
              <w:ind w:right="0" w:rightChars="0" w:firstLine="720" w:firstLineChars="300"/>
              <w:jc w:val="both"/>
              <w:rPr>
                <w:rFonts w:hint="eastAsia"/>
                <w:color w:val="auto"/>
                <w:sz w:val="24"/>
                <w:szCs w:val="24"/>
                <w:lang w:val="en-US" w:eastAsia="zh-CN"/>
              </w:rPr>
            </w:pPr>
            <w:r>
              <w:rPr>
                <w:rFonts w:hint="eastAsia"/>
                <w:color w:val="auto"/>
                <w:sz w:val="24"/>
                <w:szCs w:val="24"/>
                <w:lang w:val="en-US" w:eastAsia="zh-CN"/>
              </w:rPr>
              <w:t>杂粮</w:t>
            </w:r>
          </w:p>
        </w:tc>
        <w:tc>
          <w:tcPr>
            <w:tcW w:w="5028" w:type="dxa"/>
            <w:gridSpan w:val="2"/>
            <w:tcBorders>
              <w:top w:val="single" w:color="auto" w:sz="4" w:space="0"/>
              <w:left w:val="single" w:color="auto" w:sz="4" w:space="0"/>
              <w:bottom w:val="single" w:color="auto" w:sz="4" w:space="0"/>
              <w:right w:val="single" w:color="auto" w:sz="4" w:space="0"/>
            </w:tcBorders>
            <w:vAlign w:val="center"/>
          </w:tcPr>
          <w:p w14:paraId="3E645BB8">
            <w:pPr>
              <w:pStyle w:val="12"/>
              <w:pageBreakBefore w:val="0"/>
              <w:topLinePunct w:val="0"/>
              <w:bidi w:val="0"/>
              <w:spacing w:line="240" w:lineRule="auto"/>
              <w:ind w:right="0" w:rightChars="0"/>
              <w:rPr>
                <w:rFonts w:hint="default"/>
                <w:color w:val="auto"/>
                <w:sz w:val="24"/>
                <w:szCs w:val="24"/>
                <w:lang w:val="en-US" w:eastAsia="zh-CN"/>
              </w:rPr>
            </w:pPr>
            <w:r>
              <w:rPr>
                <w:rFonts w:hint="eastAsia"/>
                <w:color w:val="auto"/>
                <w:sz w:val="24"/>
                <w:szCs w:val="24"/>
                <w:lang w:val="en-US" w:eastAsia="zh-CN"/>
              </w:rPr>
              <w:t>投标优惠率（%）：</w:t>
            </w:r>
          </w:p>
        </w:tc>
        <w:tc>
          <w:tcPr>
            <w:tcW w:w="1567" w:type="dxa"/>
            <w:tcBorders>
              <w:top w:val="single" w:color="auto" w:sz="4" w:space="0"/>
              <w:left w:val="single" w:color="auto" w:sz="4" w:space="0"/>
              <w:bottom w:val="single" w:color="auto" w:sz="4" w:space="0"/>
              <w:right w:val="single" w:color="auto" w:sz="4" w:space="0"/>
            </w:tcBorders>
            <w:vAlign w:val="center"/>
          </w:tcPr>
          <w:p w14:paraId="3209613E">
            <w:pPr>
              <w:pStyle w:val="12"/>
              <w:pageBreakBefore w:val="0"/>
              <w:topLinePunct w:val="0"/>
              <w:bidi w:val="0"/>
              <w:spacing w:line="240" w:lineRule="auto"/>
              <w:ind w:left="0" w:leftChars="0" w:right="0" w:rightChars="0" w:firstLine="480" w:firstLineChars="200"/>
              <w:rPr>
                <w:rFonts w:hint="eastAsia"/>
                <w:color w:val="auto"/>
                <w:sz w:val="24"/>
                <w:szCs w:val="24"/>
                <w:lang w:val="en-US" w:eastAsia="zh-CN"/>
              </w:rPr>
            </w:pPr>
          </w:p>
        </w:tc>
        <w:tc>
          <w:tcPr>
            <w:tcW w:w="1131" w:type="dxa"/>
            <w:vMerge w:val="continue"/>
            <w:tcBorders>
              <w:left w:val="single" w:color="000000" w:sz="4" w:space="0"/>
              <w:bottom w:val="single" w:color="auto" w:sz="4" w:space="0"/>
            </w:tcBorders>
            <w:vAlign w:val="center"/>
          </w:tcPr>
          <w:p w14:paraId="27ED84E9">
            <w:pPr>
              <w:pStyle w:val="12"/>
              <w:pageBreakBefore w:val="0"/>
              <w:topLinePunct w:val="0"/>
              <w:bidi w:val="0"/>
              <w:spacing w:line="240" w:lineRule="auto"/>
              <w:ind w:left="0" w:leftChars="0" w:right="0" w:rightChars="0" w:firstLine="480" w:firstLineChars="200"/>
              <w:rPr>
                <w:rFonts w:hint="eastAsia"/>
                <w:color w:val="auto"/>
                <w:sz w:val="24"/>
                <w:szCs w:val="24"/>
                <w:lang w:val="en-US" w:eastAsia="zh-CN"/>
              </w:rPr>
            </w:pPr>
          </w:p>
        </w:tc>
      </w:tr>
      <w:tr w14:paraId="6937E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6" w:hRule="atLeast"/>
        </w:trPr>
        <w:tc>
          <w:tcPr>
            <w:tcW w:w="1951" w:type="dxa"/>
            <w:tcBorders>
              <w:top w:val="single" w:color="auto" w:sz="4" w:space="0"/>
              <w:right w:val="single" w:color="000000" w:sz="4" w:space="0"/>
            </w:tcBorders>
            <w:vAlign w:val="center"/>
          </w:tcPr>
          <w:p w14:paraId="6A96FEA2">
            <w:pPr>
              <w:pageBreakBefore w:val="0"/>
              <w:topLinePunct w:val="0"/>
              <w:bidi w:val="0"/>
              <w:spacing w:line="240" w:lineRule="auto"/>
              <w:ind w:right="0" w:rightChars="0"/>
              <w:jc w:val="both"/>
              <w:rPr>
                <w:rFonts w:hint="default"/>
                <w:color w:val="auto"/>
                <w:u w:val="none"/>
                <w:lang w:val="en-US" w:eastAsia="zh-CN"/>
              </w:rPr>
            </w:pPr>
            <w:r>
              <w:rPr>
                <w:rFonts w:hint="eastAsia"/>
                <w:color w:val="auto"/>
                <w:sz w:val="24"/>
                <w:szCs w:val="24"/>
                <w:lang w:val="en-US" w:eastAsia="zh-CN"/>
              </w:rPr>
              <w:t>投标总报价（元）</w:t>
            </w:r>
          </w:p>
        </w:tc>
        <w:tc>
          <w:tcPr>
            <w:tcW w:w="7726" w:type="dxa"/>
            <w:gridSpan w:val="4"/>
            <w:tcBorders>
              <w:top w:val="single" w:color="auto" w:sz="4" w:space="0"/>
              <w:right w:val="single" w:color="000000" w:sz="4" w:space="0"/>
            </w:tcBorders>
            <w:vAlign w:val="center"/>
          </w:tcPr>
          <w:p w14:paraId="0C78F4C1">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大写：</w:t>
            </w:r>
          </w:p>
          <w:p w14:paraId="24F6442B">
            <w:pPr>
              <w:pStyle w:val="12"/>
              <w:pageBreakBefore w:val="0"/>
              <w:topLinePunct w:val="0"/>
              <w:bidi w:val="0"/>
              <w:spacing w:line="240" w:lineRule="auto"/>
              <w:ind w:right="0" w:rightChars="0"/>
              <w:rPr>
                <w:rFonts w:hint="default"/>
                <w:color w:val="auto"/>
                <w:lang w:val="en-US" w:eastAsia="zh-CN"/>
              </w:rPr>
            </w:pPr>
            <w:r>
              <w:rPr>
                <w:rFonts w:hint="eastAsia"/>
                <w:color w:val="auto"/>
                <w:sz w:val="24"/>
                <w:szCs w:val="24"/>
                <w:lang w:val="en-US" w:eastAsia="zh-CN"/>
              </w:rPr>
              <w:t>小写：</w:t>
            </w:r>
          </w:p>
        </w:tc>
      </w:tr>
      <w:tr w14:paraId="0D16B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trPr>
        <w:tc>
          <w:tcPr>
            <w:tcW w:w="9677" w:type="dxa"/>
            <w:gridSpan w:val="5"/>
            <w:tcBorders>
              <w:right w:val="single" w:color="000000" w:sz="4" w:space="0"/>
            </w:tcBorders>
          </w:tcPr>
          <w:p w14:paraId="568A3BBD">
            <w:pPr>
              <w:keepNext w:val="0"/>
              <w:keepLines w:val="0"/>
              <w:pageBreakBefore w:val="0"/>
              <w:widowControl w:val="0"/>
              <w:kinsoku/>
              <w:wordWrap/>
              <w:overflowPunct/>
              <w:topLinePunct w:val="0"/>
              <w:autoSpaceDE w:val="0"/>
              <w:autoSpaceDN w:val="0"/>
              <w:bidi w:val="0"/>
              <w:adjustRightInd/>
              <w:snapToGrid/>
              <w:spacing w:line="216" w:lineRule="auto"/>
              <w:ind w:left="0" w:leftChars="0" w:right="0" w:rightChars="0" w:firstLine="482" w:firstLineChars="200"/>
              <w:textAlignment w:val="auto"/>
              <w:rPr>
                <w:rFonts w:hint="eastAsia"/>
                <w:b/>
                <w:bCs/>
                <w:color w:val="auto"/>
                <w:sz w:val="24"/>
                <w:szCs w:val="24"/>
              </w:rPr>
            </w:pPr>
            <w:r>
              <w:rPr>
                <w:rFonts w:hint="eastAsia"/>
                <w:b/>
                <w:bCs/>
                <w:color w:val="auto"/>
                <w:sz w:val="24"/>
                <w:szCs w:val="24"/>
              </w:rPr>
              <w:t>备注：</w:t>
            </w:r>
          </w:p>
          <w:p w14:paraId="1E434F2A">
            <w:pPr>
              <w:keepNext w:val="0"/>
              <w:keepLines w:val="0"/>
              <w:pageBreakBefore w:val="0"/>
              <w:widowControl w:val="0"/>
              <w:numPr>
                <w:ilvl w:val="0"/>
                <w:numId w:val="0"/>
              </w:numPr>
              <w:kinsoku/>
              <w:wordWrap/>
              <w:overflowPunct/>
              <w:topLinePunct w:val="0"/>
              <w:autoSpaceDE w:val="0"/>
              <w:autoSpaceDN w:val="0"/>
              <w:bidi w:val="0"/>
              <w:adjustRightInd/>
              <w:snapToGrid/>
              <w:spacing w:line="216" w:lineRule="auto"/>
              <w:ind w:right="0" w:rightChars="0" w:firstLine="480" w:firstLineChars="200"/>
              <w:textAlignment w:val="auto"/>
              <w:rPr>
                <w:rFonts w:hint="eastAsia"/>
                <w:b w:val="0"/>
                <w:bCs w:val="0"/>
                <w:color w:val="auto"/>
                <w:sz w:val="24"/>
                <w:szCs w:val="24"/>
              </w:rPr>
            </w:pPr>
            <w:r>
              <w:rPr>
                <w:rFonts w:hint="eastAsia"/>
                <w:b w:val="0"/>
                <w:bCs w:val="0"/>
                <w:color w:val="auto"/>
                <w:sz w:val="24"/>
                <w:szCs w:val="24"/>
                <w:lang w:val="en-US" w:eastAsia="zh-CN"/>
              </w:rPr>
              <w:t>1.投标人自主报价，但报价不得超过最高限价，超过最高限价的报价视为无效报价，本合同包</w:t>
            </w:r>
            <w:r>
              <w:rPr>
                <w:rFonts w:hint="eastAsia"/>
                <w:b w:val="0"/>
                <w:bCs w:val="0"/>
                <w:color w:val="auto"/>
                <w:sz w:val="24"/>
                <w:szCs w:val="24"/>
              </w:rPr>
              <w:t>大米单价限价为：</w:t>
            </w:r>
            <w:r>
              <w:rPr>
                <w:rFonts w:hint="eastAsia"/>
                <w:b w:val="0"/>
                <w:bCs w:val="0"/>
                <w:color w:val="auto"/>
                <w:sz w:val="24"/>
                <w:szCs w:val="24"/>
                <w:lang w:val="en-US" w:eastAsia="zh-CN"/>
              </w:rPr>
              <w:t>4.78</w:t>
            </w:r>
            <w:r>
              <w:rPr>
                <w:rFonts w:hint="eastAsia"/>
                <w:b w:val="0"/>
                <w:bCs w:val="0"/>
                <w:color w:val="auto"/>
                <w:sz w:val="24"/>
                <w:szCs w:val="24"/>
              </w:rPr>
              <w:t>元/千克，面粉单价限价为：</w:t>
            </w:r>
            <w:r>
              <w:rPr>
                <w:rFonts w:hint="eastAsia"/>
                <w:b w:val="0"/>
                <w:bCs w:val="0"/>
                <w:color w:val="auto"/>
                <w:sz w:val="24"/>
                <w:szCs w:val="24"/>
                <w:lang w:val="en-US" w:eastAsia="zh-CN"/>
              </w:rPr>
              <w:t>4.28</w:t>
            </w:r>
            <w:r>
              <w:rPr>
                <w:rFonts w:hint="eastAsia"/>
                <w:b w:val="0"/>
                <w:bCs w:val="0"/>
                <w:color w:val="auto"/>
                <w:sz w:val="24"/>
                <w:szCs w:val="24"/>
              </w:rPr>
              <w:t>元/千克，</w:t>
            </w:r>
            <w:r>
              <w:rPr>
                <w:rFonts w:hint="eastAsia"/>
                <w:b w:val="0"/>
                <w:bCs w:val="0"/>
                <w:color w:val="auto"/>
                <w:sz w:val="24"/>
                <w:szCs w:val="24"/>
                <w:lang w:eastAsia="zh-CN"/>
              </w:rPr>
              <w:t>菜籽</w:t>
            </w:r>
            <w:r>
              <w:rPr>
                <w:rFonts w:hint="eastAsia"/>
                <w:b w:val="0"/>
                <w:bCs w:val="0"/>
                <w:color w:val="auto"/>
                <w:sz w:val="24"/>
                <w:szCs w:val="24"/>
              </w:rPr>
              <w:t>油单价限价为：</w:t>
            </w:r>
            <w:r>
              <w:rPr>
                <w:rFonts w:hint="eastAsia"/>
                <w:b w:val="0"/>
                <w:bCs w:val="0"/>
                <w:color w:val="auto"/>
                <w:sz w:val="24"/>
                <w:szCs w:val="24"/>
                <w:lang w:val="en-US" w:eastAsia="zh-CN"/>
              </w:rPr>
              <w:t>14.31</w:t>
            </w:r>
            <w:r>
              <w:rPr>
                <w:rFonts w:hint="eastAsia"/>
                <w:b w:val="0"/>
                <w:bCs w:val="0"/>
                <w:color w:val="auto"/>
                <w:sz w:val="24"/>
                <w:szCs w:val="24"/>
              </w:rPr>
              <w:t>元/升；</w:t>
            </w:r>
            <w:r>
              <w:rPr>
                <w:rFonts w:hint="eastAsia" w:cs="宋体"/>
                <w:i w:val="0"/>
                <w:iCs w:val="0"/>
                <w:color w:val="auto"/>
                <w:sz w:val="24"/>
                <w:szCs w:val="24"/>
                <w:shd w:val="clear" w:color="auto" w:fill="auto"/>
                <w:lang w:val="en-US" w:eastAsia="zh-CN"/>
              </w:rPr>
              <w:t>每项分项</w:t>
            </w:r>
            <w:r>
              <w:rPr>
                <w:rFonts w:hint="eastAsia" w:cs="宋体"/>
                <w:color w:val="auto"/>
                <w:sz w:val="24"/>
                <w:szCs w:val="24"/>
                <w:highlight w:val="none"/>
                <w:lang w:val="en-US" w:eastAsia="zh-CN"/>
              </w:rPr>
              <w:t>投标价=</w:t>
            </w:r>
            <w:r>
              <w:rPr>
                <w:rFonts w:hint="eastAsia" w:cs="宋体"/>
                <w:i w:val="0"/>
                <w:iCs w:val="0"/>
                <w:color w:val="auto"/>
                <w:sz w:val="24"/>
                <w:szCs w:val="24"/>
                <w:shd w:val="clear" w:color="auto" w:fill="auto"/>
                <w:lang w:val="en-US" w:eastAsia="zh-CN"/>
              </w:rPr>
              <w:t>每项分项</w:t>
            </w:r>
            <w:r>
              <w:rPr>
                <w:rFonts w:hint="eastAsia" w:cs="宋体"/>
                <w:color w:val="auto"/>
                <w:sz w:val="24"/>
                <w:szCs w:val="24"/>
                <w:highlight w:val="none"/>
                <w:lang w:val="en-US" w:eastAsia="zh-CN"/>
              </w:rPr>
              <w:t>投标单价*</w:t>
            </w:r>
            <w:r>
              <w:rPr>
                <w:rFonts w:hint="eastAsia" w:cs="宋体"/>
                <w:i w:val="0"/>
                <w:iCs w:val="0"/>
                <w:color w:val="auto"/>
                <w:sz w:val="24"/>
                <w:szCs w:val="24"/>
                <w:shd w:val="clear" w:color="auto" w:fill="auto"/>
                <w:lang w:val="en-US" w:eastAsia="zh-CN"/>
              </w:rPr>
              <w:t>每项分项</w:t>
            </w:r>
            <w:r>
              <w:rPr>
                <w:rFonts w:hint="eastAsia" w:cs="宋体"/>
                <w:color w:val="auto"/>
                <w:sz w:val="24"/>
                <w:szCs w:val="24"/>
                <w:highlight w:val="none"/>
                <w:lang w:val="en-US" w:eastAsia="zh-CN"/>
              </w:rPr>
              <w:t>数量。</w:t>
            </w:r>
          </w:p>
          <w:p w14:paraId="734173BB">
            <w:pPr>
              <w:keepNext w:val="0"/>
              <w:keepLines w:val="0"/>
              <w:pageBreakBefore w:val="0"/>
              <w:widowControl w:val="0"/>
              <w:numPr>
                <w:ilvl w:val="0"/>
                <w:numId w:val="0"/>
              </w:numPr>
              <w:kinsoku/>
              <w:wordWrap/>
              <w:overflowPunct/>
              <w:topLinePunct w:val="0"/>
              <w:autoSpaceDE w:val="0"/>
              <w:autoSpaceDN w:val="0"/>
              <w:bidi w:val="0"/>
              <w:adjustRightInd/>
              <w:snapToGrid/>
              <w:spacing w:line="216" w:lineRule="auto"/>
              <w:ind w:right="0" w:rightChars="0" w:firstLine="480" w:firstLineChars="200"/>
              <w:textAlignment w:val="auto"/>
              <w:rPr>
                <w:rFonts w:hint="eastAsia"/>
                <w:color w:val="auto"/>
                <w:lang w:val="en-US" w:eastAsia="zh-CN"/>
              </w:rPr>
            </w:pPr>
            <w:r>
              <w:rPr>
                <w:rFonts w:hint="eastAsia" w:cs="宋体"/>
                <w:i w:val="0"/>
                <w:iCs w:val="0"/>
                <w:color w:val="auto"/>
                <w:sz w:val="24"/>
                <w:szCs w:val="24"/>
                <w:shd w:val="clear" w:color="auto" w:fill="auto"/>
                <w:lang w:val="en-US" w:eastAsia="zh-CN"/>
              </w:rPr>
              <w:t>2.</w:t>
            </w:r>
            <w:r>
              <w:rPr>
                <w:rFonts w:hint="eastAsia" w:ascii="宋体" w:hAnsi="宋体" w:eastAsia="宋体" w:cs="宋体"/>
                <w:i w:val="0"/>
                <w:iCs w:val="0"/>
                <w:color w:val="auto"/>
                <w:sz w:val="24"/>
                <w:szCs w:val="24"/>
                <w:shd w:val="clear" w:color="auto" w:fill="auto"/>
              </w:rPr>
              <w:t>投标报价表中</w:t>
            </w:r>
            <w:r>
              <w:rPr>
                <w:rFonts w:hint="eastAsia" w:ascii="宋体" w:hAnsi="宋体" w:eastAsia="宋体" w:cs="宋体"/>
                <w:i w:val="0"/>
                <w:iCs w:val="0"/>
                <w:color w:val="auto"/>
                <w:sz w:val="24"/>
                <w:szCs w:val="24"/>
                <w:shd w:val="clear" w:color="auto" w:fill="auto"/>
                <w:lang w:eastAsia="zh-CN"/>
              </w:rPr>
              <w:t>（</w:t>
            </w:r>
            <w:r>
              <w:rPr>
                <w:rFonts w:hint="eastAsia" w:cs="宋体"/>
                <w:i w:val="0"/>
                <w:iCs w:val="0"/>
                <w:color w:val="auto"/>
                <w:sz w:val="24"/>
                <w:szCs w:val="24"/>
                <w:shd w:val="clear" w:color="auto" w:fill="auto"/>
                <w:lang w:eastAsia="zh-CN"/>
              </w:rPr>
              <w:t>面制品、纯牛奶、</w:t>
            </w:r>
            <w:r>
              <w:rPr>
                <w:rFonts w:hint="eastAsia" w:ascii="宋体" w:hAnsi="宋体" w:eastAsia="宋体" w:cs="宋体"/>
                <w:i w:val="0"/>
                <w:iCs w:val="0"/>
                <w:color w:val="auto"/>
                <w:sz w:val="24"/>
                <w:szCs w:val="24"/>
                <w:shd w:val="clear" w:color="auto" w:fill="auto"/>
                <w:lang w:eastAsia="zh-CN"/>
              </w:rPr>
              <w:t>杂粮）</w:t>
            </w:r>
            <w:r>
              <w:rPr>
                <w:rFonts w:hint="eastAsia" w:ascii="宋体" w:hAnsi="宋体" w:eastAsia="宋体" w:cs="宋体"/>
                <w:i w:val="0"/>
                <w:iCs w:val="0"/>
                <w:color w:val="auto"/>
                <w:sz w:val="24"/>
                <w:szCs w:val="24"/>
                <w:shd w:val="clear" w:color="auto" w:fill="auto"/>
              </w:rPr>
              <w:t>标明的价格为总价，最终结算价格单价</w:t>
            </w:r>
            <w:r>
              <w:rPr>
                <w:rFonts w:hint="eastAsia" w:ascii="宋体" w:hAnsi="宋体" w:eastAsia="宋体" w:cs="宋体"/>
                <w:i w:val="0"/>
                <w:iCs w:val="0"/>
                <w:color w:val="auto"/>
                <w:sz w:val="24"/>
                <w:szCs w:val="24"/>
                <w:shd w:val="clear" w:color="auto" w:fill="auto"/>
                <w:lang w:eastAsia="zh-CN"/>
              </w:rPr>
              <w:t>因</w:t>
            </w:r>
            <w:r>
              <w:rPr>
                <w:rFonts w:hint="eastAsia" w:ascii="宋体" w:hAnsi="宋体" w:eastAsia="宋体" w:cs="宋体"/>
                <w:i w:val="0"/>
                <w:iCs w:val="0"/>
                <w:color w:val="auto"/>
                <w:sz w:val="24"/>
                <w:szCs w:val="24"/>
                <w:shd w:val="clear" w:color="auto" w:fill="auto"/>
                <w:lang w:val="en-US" w:eastAsia="zh-CN"/>
              </w:rPr>
              <w:t>此类原辅料价格因市场行情波动较大，需采取市场采价确定。</w:t>
            </w:r>
            <w:r>
              <w:rPr>
                <w:rFonts w:hint="eastAsia" w:cs="宋体"/>
                <w:i w:val="0"/>
                <w:iCs w:val="0"/>
                <w:color w:val="auto"/>
                <w:sz w:val="24"/>
                <w:szCs w:val="24"/>
                <w:shd w:val="clear" w:color="auto" w:fill="auto"/>
                <w:lang w:val="en-US" w:eastAsia="zh-CN"/>
              </w:rPr>
              <w:t>具体为汉滨区教体局联合区发改部门及各学校成立询价小组，选择在汉滨城区3家及以上大型商超及农贸市场进行询价。每月开展两次市场采价询价工作，将每次所取的市场均价作为后半月的结算价。故每次结算单价的计算方式为：所取的市场均价为基准*（1-优惠率），依据实际供货量据实结算，</w:t>
            </w:r>
            <w:r>
              <w:rPr>
                <w:rFonts w:hint="eastAsia" w:cs="宋体"/>
                <w:b/>
                <w:bCs/>
                <w:color w:val="auto"/>
                <w:sz w:val="24"/>
                <w:szCs w:val="24"/>
                <w:highlight w:val="none"/>
                <w:lang w:val="en-US" w:eastAsia="zh-CN"/>
              </w:rPr>
              <w:t>面制品投标报价=面制品总预算*（</w:t>
            </w:r>
            <w:r>
              <w:rPr>
                <w:rFonts w:hint="eastAsia" w:cs="宋体"/>
                <w:b/>
                <w:bCs/>
                <w:i w:val="0"/>
                <w:iCs w:val="0"/>
                <w:color w:val="auto"/>
                <w:sz w:val="24"/>
                <w:szCs w:val="24"/>
                <w:shd w:val="clear" w:color="auto" w:fill="auto"/>
                <w:lang w:val="en-US" w:eastAsia="zh-CN"/>
              </w:rPr>
              <w:t>1-</w:t>
            </w:r>
            <w:r>
              <w:rPr>
                <w:rFonts w:hint="eastAsia" w:cs="宋体"/>
                <w:b/>
                <w:bCs/>
                <w:color w:val="auto"/>
                <w:sz w:val="24"/>
                <w:szCs w:val="24"/>
                <w:highlight w:val="none"/>
                <w:lang w:val="en-US" w:eastAsia="zh-CN"/>
              </w:rPr>
              <w:t>投标优惠率），纯牛奶投标报价=纯牛奶总预算*（</w:t>
            </w:r>
            <w:r>
              <w:rPr>
                <w:rFonts w:hint="eastAsia" w:cs="宋体"/>
                <w:b/>
                <w:bCs/>
                <w:i w:val="0"/>
                <w:iCs w:val="0"/>
                <w:color w:val="auto"/>
                <w:sz w:val="24"/>
                <w:szCs w:val="24"/>
                <w:shd w:val="clear" w:color="auto" w:fill="auto"/>
                <w:lang w:val="en-US" w:eastAsia="zh-CN"/>
              </w:rPr>
              <w:t>1-</w:t>
            </w:r>
            <w:r>
              <w:rPr>
                <w:rFonts w:hint="eastAsia" w:cs="宋体"/>
                <w:b/>
                <w:bCs/>
                <w:color w:val="auto"/>
                <w:sz w:val="24"/>
                <w:szCs w:val="24"/>
                <w:highlight w:val="none"/>
                <w:lang w:val="en-US" w:eastAsia="zh-CN"/>
              </w:rPr>
              <w:t>投标优惠率），杂粮投标报价=杂粮总预算*（</w:t>
            </w:r>
            <w:r>
              <w:rPr>
                <w:rFonts w:hint="eastAsia" w:cs="宋体"/>
                <w:b/>
                <w:bCs/>
                <w:i w:val="0"/>
                <w:iCs w:val="0"/>
                <w:color w:val="auto"/>
                <w:sz w:val="24"/>
                <w:szCs w:val="24"/>
                <w:shd w:val="clear" w:color="auto" w:fill="auto"/>
                <w:lang w:val="en-US" w:eastAsia="zh-CN"/>
              </w:rPr>
              <w:t>1-</w:t>
            </w:r>
            <w:r>
              <w:rPr>
                <w:rFonts w:hint="eastAsia" w:cs="宋体"/>
                <w:b/>
                <w:bCs/>
                <w:color w:val="auto"/>
                <w:sz w:val="24"/>
                <w:szCs w:val="24"/>
                <w:highlight w:val="none"/>
                <w:lang w:val="en-US" w:eastAsia="zh-CN"/>
              </w:rPr>
              <w:t>投标优惠率）</w:t>
            </w:r>
            <w:r>
              <w:rPr>
                <w:rFonts w:hint="eastAsia"/>
                <w:color w:val="auto"/>
                <w:lang w:val="en-US" w:eastAsia="zh-CN"/>
              </w:rPr>
              <w:t>。</w:t>
            </w:r>
          </w:p>
          <w:p w14:paraId="799F170A">
            <w:pPr>
              <w:keepNext w:val="0"/>
              <w:keepLines w:val="0"/>
              <w:pageBreakBefore w:val="0"/>
              <w:widowControl w:val="0"/>
              <w:numPr>
                <w:ilvl w:val="0"/>
                <w:numId w:val="0"/>
              </w:numPr>
              <w:kinsoku/>
              <w:wordWrap/>
              <w:overflowPunct/>
              <w:topLinePunct w:val="0"/>
              <w:autoSpaceDE w:val="0"/>
              <w:autoSpaceDN w:val="0"/>
              <w:bidi w:val="0"/>
              <w:adjustRightInd/>
              <w:snapToGrid/>
              <w:spacing w:line="216" w:lineRule="auto"/>
              <w:ind w:left="440" w:leftChars="0" w:right="0" w:rightChars="0"/>
              <w:textAlignment w:val="auto"/>
              <w:rPr>
                <w:rFonts w:hint="eastAsia"/>
                <w:b w:val="0"/>
                <w:bCs w:val="0"/>
                <w:color w:val="auto"/>
                <w:sz w:val="24"/>
                <w:szCs w:val="24"/>
                <w:lang w:val="en-US" w:eastAsia="zh-CN"/>
              </w:rPr>
            </w:pPr>
            <w:r>
              <w:rPr>
                <w:rFonts w:hint="eastAsia"/>
                <w:b w:val="0"/>
                <w:bCs w:val="0"/>
                <w:color w:val="auto"/>
                <w:sz w:val="24"/>
                <w:szCs w:val="24"/>
                <w:lang w:val="en-US" w:eastAsia="zh-CN"/>
              </w:rPr>
              <w:t>3.为便于评审，以投标总报价作为评审依据（投标总价为以上报价表中所有分项报价之和），结算时将以中标单价按实际采购数量据实结算。</w:t>
            </w:r>
          </w:p>
          <w:p w14:paraId="4F78555E">
            <w:pPr>
              <w:keepNext w:val="0"/>
              <w:keepLines w:val="0"/>
              <w:pageBreakBefore w:val="0"/>
              <w:widowControl w:val="0"/>
              <w:kinsoku/>
              <w:wordWrap/>
              <w:overflowPunct/>
              <w:topLinePunct w:val="0"/>
              <w:autoSpaceDE w:val="0"/>
              <w:autoSpaceDN w:val="0"/>
              <w:bidi w:val="0"/>
              <w:adjustRightInd/>
              <w:snapToGrid/>
              <w:spacing w:line="216" w:lineRule="auto"/>
              <w:ind w:firstLine="482" w:firstLineChars="200"/>
              <w:textAlignment w:val="auto"/>
              <w:rPr>
                <w:rFonts w:hint="default"/>
                <w:color w:val="auto"/>
                <w:lang w:val="en-US" w:eastAsia="zh-CN"/>
              </w:rPr>
            </w:pPr>
            <w:r>
              <w:rPr>
                <w:rFonts w:hint="eastAsia" w:cs="宋体"/>
                <w:b/>
                <w:bCs/>
                <w:color w:val="auto"/>
                <w:kern w:val="0"/>
                <w:sz w:val="24"/>
                <w:szCs w:val="24"/>
                <w:lang w:val="en-US" w:eastAsia="zh-CN" w:bidi="ar"/>
              </w:rPr>
              <w:t>4.报价时数量等相关数据参考本招标文件《第三章 招标采购内容及服务要求》的数据。</w:t>
            </w:r>
          </w:p>
          <w:p w14:paraId="790ADAE6">
            <w:pPr>
              <w:keepNext w:val="0"/>
              <w:keepLines w:val="0"/>
              <w:pageBreakBefore w:val="0"/>
              <w:widowControl w:val="0"/>
              <w:kinsoku/>
              <w:wordWrap/>
              <w:overflowPunct/>
              <w:topLinePunct w:val="0"/>
              <w:autoSpaceDE w:val="0"/>
              <w:autoSpaceDN w:val="0"/>
              <w:bidi w:val="0"/>
              <w:adjustRightInd/>
              <w:snapToGrid/>
              <w:spacing w:line="216" w:lineRule="auto"/>
              <w:ind w:left="0" w:leftChars="0" w:right="0" w:rightChars="0" w:firstLine="480" w:firstLineChars="200"/>
              <w:textAlignment w:val="auto"/>
              <w:rPr>
                <w:rFonts w:hint="eastAsia"/>
                <w:color w:val="auto"/>
                <w:sz w:val="24"/>
                <w:szCs w:val="24"/>
              </w:rPr>
            </w:pPr>
            <w:r>
              <w:rPr>
                <w:rFonts w:hint="eastAsia"/>
                <w:color w:val="auto"/>
                <w:sz w:val="24"/>
                <w:szCs w:val="24"/>
                <w:lang w:val="en-US" w:eastAsia="zh-CN"/>
              </w:rPr>
              <w:t>5.报价应</w:t>
            </w:r>
            <w:r>
              <w:rPr>
                <w:rFonts w:hint="eastAsia"/>
                <w:color w:val="auto"/>
                <w:sz w:val="24"/>
                <w:szCs w:val="24"/>
              </w:rPr>
              <w:t>包括</w:t>
            </w:r>
            <w:r>
              <w:rPr>
                <w:rFonts w:hint="eastAsia"/>
                <w:color w:val="auto"/>
                <w:sz w:val="24"/>
                <w:szCs w:val="24"/>
                <w:lang w:eastAsia="zh-CN"/>
              </w:rPr>
              <w:t>涉及</w:t>
            </w:r>
            <w:r>
              <w:rPr>
                <w:rFonts w:hint="eastAsia"/>
                <w:color w:val="auto"/>
                <w:sz w:val="24"/>
                <w:szCs w:val="24"/>
              </w:rPr>
              <w:t>的食品采购、包装、运输、装卸、加工、供货服务期限、配送</w:t>
            </w:r>
            <w:r>
              <w:rPr>
                <w:rFonts w:hint="eastAsia"/>
                <w:color w:val="auto"/>
                <w:sz w:val="24"/>
                <w:szCs w:val="24"/>
                <w:lang w:eastAsia="zh-CN"/>
              </w:rPr>
              <w:t>（</w:t>
            </w:r>
            <w:r>
              <w:rPr>
                <w:rFonts w:hint="eastAsia"/>
                <w:color w:val="auto"/>
                <w:sz w:val="24"/>
                <w:szCs w:val="24"/>
              </w:rPr>
              <w:t>配送到指定学校地点</w:t>
            </w:r>
            <w:r>
              <w:rPr>
                <w:rFonts w:hint="eastAsia"/>
                <w:color w:val="auto"/>
                <w:sz w:val="24"/>
                <w:szCs w:val="24"/>
                <w:lang w:eastAsia="zh-CN"/>
              </w:rPr>
              <w:t>）</w:t>
            </w:r>
            <w:r>
              <w:rPr>
                <w:rFonts w:hint="eastAsia"/>
                <w:color w:val="auto"/>
                <w:sz w:val="24"/>
                <w:szCs w:val="24"/>
              </w:rPr>
              <w:t>、售后服务及国家按现行税收政策征收的一切税费等。</w:t>
            </w:r>
          </w:p>
          <w:p w14:paraId="578B10BE">
            <w:pPr>
              <w:pageBreakBefore w:val="0"/>
              <w:topLinePunct w:val="0"/>
              <w:bidi w:val="0"/>
              <w:spacing w:line="240" w:lineRule="auto"/>
              <w:ind w:left="0" w:leftChars="0" w:right="0" w:rightChars="0" w:firstLine="480" w:firstLineChars="200"/>
              <w:rPr>
                <w:rFonts w:hint="eastAsia"/>
                <w:color w:val="auto"/>
                <w:sz w:val="24"/>
                <w:szCs w:val="24"/>
                <w:lang w:val="en-US" w:eastAsia="zh-CN"/>
              </w:rPr>
            </w:pPr>
            <w:r>
              <w:rPr>
                <w:rFonts w:hint="eastAsia"/>
                <w:color w:val="auto"/>
                <w:sz w:val="24"/>
                <w:szCs w:val="24"/>
                <w:lang w:val="en-US" w:eastAsia="zh-CN"/>
              </w:rPr>
              <w:t>6.</w:t>
            </w:r>
            <w:r>
              <w:rPr>
                <w:rFonts w:hint="eastAsia"/>
                <w:color w:val="auto"/>
                <w:sz w:val="24"/>
                <w:szCs w:val="24"/>
              </w:rPr>
              <w:t>表内报价内容以元为单位，可精确到分。</w:t>
            </w:r>
          </w:p>
        </w:tc>
      </w:tr>
    </w:tbl>
    <w:p w14:paraId="2D4A9B13">
      <w:pPr>
        <w:pageBreakBefore w:val="0"/>
        <w:topLinePunct w:val="0"/>
        <w:bidi w:val="0"/>
        <w:spacing w:line="500" w:lineRule="exact"/>
        <w:ind w:left="0" w:leftChars="0" w:right="0" w:rightChars="0" w:firstLine="480" w:firstLineChars="200"/>
        <w:jc w:val="both"/>
        <w:rPr>
          <w:rFonts w:hint="eastAsia"/>
          <w:color w:val="auto"/>
          <w:sz w:val="24"/>
          <w:szCs w:val="24"/>
          <w:lang w:val="en-US"/>
        </w:rPr>
      </w:pPr>
      <w:r>
        <w:rPr>
          <w:rFonts w:hint="eastAsia"/>
          <w:color w:val="auto"/>
          <w:sz w:val="24"/>
          <w:szCs w:val="24"/>
          <w:lang w:eastAsia="zh-CN"/>
        </w:rPr>
        <w:t>供应商（</w:t>
      </w:r>
      <w:r>
        <w:rPr>
          <w:rFonts w:hint="eastAsia"/>
          <w:color w:val="auto"/>
          <w:sz w:val="24"/>
          <w:szCs w:val="24"/>
          <w:lang w:val="en-US" w:eastAsia="zh-CN"/>
        </w:rPr>
        <w:t>公章</w:t>
      </w:r>
      <w:r>
        <w:rPr>
          <w:rFonts w:hint="eastAsia"/>
          <w:color w:val="auto"/>
          <w:sz w:val="24"/>
          <w:szCs w:val="24"/>
          <w:lang w:eastAsia="zh-CN"/>
        </w:rPr>
        <w:t>）：</w:t>
      </w:r>
    </w:p>
    <w:p w14:paraId="47F0B9CE">
      <w:pPr>
        <w:pageBreakBefore w:val="0"/>
        <w:topLinePunct w:val="0"/>
        <w:bidi w:val="0"/>
        <w:spacing w:line="500" w:lineRule="exact"/>
        <w:ind w:left="0" w:leftChars="0" w:right="0" w:rightChars="0" w:firstLine="480" w:firstLineChars="200"/>
        <w:jc w:val="both"/>
        <w:rPr>
          <w:rFonts w:hint="eastAsia"/>
          <w:color w:val="auto"/>
          <w:sz w:val="24"/>
          <w:szCs w:val="24"/>
          <w:lang w:val="en-US" w:eastAsia="zh-CN"/>
        </w:rPr>
      </w:pPr>
      <w:r>
        <w:rPr>
          <w:rFonts w:hint="eastAsia"/>
          <w:color w:val="auto"/>
          <w:sz w:val="24"/>
          <w:szCs w:val="24"/>
          <w:lang w:val="en-US" w:eastAsia="zh-CN"/>
        </w:rPr>
        <w:t>法定代表人或授权委托人（签字或盖章）：</w:t>
      </w:r>
    </w:p>
    <w:p w14:paraId="4A6F9DE2">
      <w:pPr>
        <w:pageBreakBefore w:val="0"/>
        <w:topLinePunct w:val="0"/>
        <w:bidi w:val="0"/>
        <w:spacing w:line="500" w:lineRule="exact"/>
        <w:ind w:left="0" w:leftChars="0" w:right="0" w:rightChars="0" w:firstLine="480" w:firstLineChars="200"/>
        <w:jc w:val="both"/>
        <w:rPr>
          <w:rFonts w:hint="eastAsia"/>
          <w:b/>
          <w:bCs/>
          <w:color w:val="auto"/>
          <w:sz w:val="32"/>
          <w:szCs w:val="32"/>
          <w:lang w:val="en-US" w:eastAsia="zh-CN"/>
        </w:rPr>
      </w:pPr>
      <w:r>
        <w:rPr>
          <w:rFonts w:hint="eastAsia"/>
          <w:color w:val="auto"/>
          <w:sz w:val="24"/>
          <w:szCs w:val="24"/>
          <w:lang w:val="en-US" w:eastAsia="zh-CN"/>
        </w:rPr>
        <w:t>日期：</w:t>
      </w:r>
      <w:r>
        <w:rPr>
          <w:rFonts w:hint="eastAsia"/>
          <w:color w:val="auto"/>
          <w:sz w:val="24"/>
          <w:szCs w:val="24"/>
        </w:rPr>
        <w:t xml:space="preserve">年 </w:t>
      </w:r>
      <w:r>
        <w:rPr>
          <w:rFonts w:hint="eastAsia"/>
          <w:color w:val="auto"/>
          <w:sz w:val="24"/>
          <w:szCs w:val="24"/>
          <w:lang w:val="en-US" w:eastAsia="zh-CN"/>
        </w:rPr>
        <w:t xml:space="preserve">  </w:t>
      </w:r>
      <w:r>
        <w:rPr>
          <w:rFonts w:hint="eastAsia"/>
          <w:color w:val="auto"/>
          <w:sz w:val="24"/>
          <w:szCs w:val="24"/>
        </w:rPr>
        <w:t xml:space="preserve">月 </w:t>
      </w:r>
      <w:r>
        <w:rPr>
          <w:rFonts w:hint="eastAsia"/>
          <w:color w:val="auto"/>
          <w:sz w:val="24"/>
          <w:szCs w:val="24"/>
          <w:lang w:val="en-US" w:eastAsia="zh-CN"/>
        </w:rPr>
        <w:t xml:space="preserve">  </w:t>
      </w:r>
      <w:r>
        <w:rPr>
          <w:rFonts w:hint="eastAsia"/>
          <w:color w:val="auto"/>
          <w:sz w:val="24"/>
          <w:szCs w:val="24"/>
        </w:rPr>
        <w:t>日</w:t>
      </w:r>
    </w:p>
    <w:p w14:paraId="3A6591FA">
      <w:pPr>
        <w:pageBreakBefore w:val="0"/>
        <w:topLinePunct w:val="0"/>
        <w:bidi w:val="0"/>
        <w:spacing w:line="500" w:lineRule="exact"/>
        <w:ind w:left="0" w:leftChars="0" w:right="0" w:rightChars="0" w:firstLine="643" w:firstLineChars="200"/>
        <w:jc w:val="center"/>
        <w:rPr>
          <w:rFonts w:hint="eastAsia"/>
          <w:b/>
          <w:bCs/>
          <w:color w:val="auto"/>
          <w:sz w:val="32"/>
          <w:szCs w:val="32"/>
          <w:lang w:val="en-US" w:eastAsia="zh-CN"/>
        </w:rPr>
      </w:pPr>
    </w:p>
    <w:p w14:paraId="2F0FAFA7">
      <w:pPr>
        <w:pageBreakBefore w:val="0"/>
        <w:topLinePunct w:val="0"/>
        <w:bidi w:val="0"/>
        <w:spacing w:line="500" w:lineRule="exact"/>
        <w:ind w:left="0" w:leftChars="0" w:right="0" w:rightChars="0" w:firstLine="643" w:firstLineChars="200"/>
        <w:jc w:val="center"/>
        <w:rPr>
          <w:rFonts w:hint="eastAsia"/>
          <w:b/>
          <w:bCs/>
          <w:color w:val="auto"/>
          <w:sz w:val="32"/>
          <w:szCs w:val="32"/>
          <w:lang w:val="en-US" w:eastAsia="zh-CN"/>
        </w:rPr>
      </w:pPr>
    </w:p>
    <w:p w14:paraId="4EBB16FF">
      <w:pPr>
        <w:pageBreakBefore w:val="0"/>
        <w:topLinePunct w:val="0"/>
        <w:bidi w:val="0"/>
        <w:spacing w:line="500" w:lineRule="exact"/>
        <w:ind w:left="0" w:leftChars="0" w:right="0" w:rightChars="0" w:firstLine="643" w:firstLineChars="200"/>
        <w:jc w:val="center"/>
        <w:rPr>
          <w:rFonts w:hint="default" w:eastAsia="宋体"/>
          <w:b/>
          <w:bCs/>
          <w:color w:val="auto"/>
          <w:lang w:val="en-US" w:eastAsia="zh-CN"/>
        </w:rPr>
      </w:pPr>
      <w:r>
        <w:rPr>
          <w:rFonts w:hint="eastAsia"/>
          <w:b/>
          <w:bCs/>
          <w:color w:val="auto"/>
          <w:sz w:val="32"/>
          <w:szCs w:val="32"/>
          <w:lang w:val="en-US" w:eastAsia="zh-CN"/>
        </w:rPr>
        <w:t>合同包五</w:t>
      </w:r>
    </w:p>
    <w:p w14:paraId="17539329">
      <w:pPr>
        <w:pStyle w:val="12"/>
        <w:pageBreakBefore w:val="0"/>
        <w:topLinePunct w:val="0"/>
        <w:bidi w:val="0"/>
        <w:spacing w:line="500" w:lineRule="exact"/>
        <w:ind w:left="0" w:leftChars="0" w:right="0" w:rightChars="0" w:firstLine="480" w:firstLineChars="200"/>
        <w:rPr>
          <w:color w:val="auto"/>
          <w:sz w:val="12"/>
        </w:rPr>
      </w:pPr>
      <w:r>
        <w:rPr>
          <w:color w:val="auto"/>
        </w:rPr>
        <w:t>项目名称：</w:t>
      </w:r>
    </w:p>
    <w:tbl>
      <w:tblPr>
        <w:tblStyle w:val="23"/>
        <w:tblpPr w:leftFromText="180" w:rightFromText="180" w:vertAnchor="text" w:horzAnchor="page" w:tblpX="868" w:tblpY="200"/>
        <w:tblOverlap w:val="never"/>
        <w:tblW w:w="1035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714"/>
        <w:gridCol w:w="4106"/>
        <w:gridCol w:w="2361"/>
        <w:gridCol w:w="1208"/>
        <w:gridCol w:w="970"/>
      </w:tblGrid>
      <w:tr w14:paraId="5B69C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2" w:hRule="atLeast"/>
        </w:trPr>
        <w:tc>
          <w:tcPr>
            <w:tcW w:w="1714" w:type="dxa"/>
            <w:vAlign w:val="center"/>
          </w:tcPr>
          <w:p w14:paraId="114B26D4">
            <w:pPr>
              <w:pageBreakBefore w:val="0"/>
              <w:topLinePunct w:val="0"/>
              <w:bidi w:val="0"/>
              <w:spacing w:line="240" w:lineRule="auto"/>
              <w:ind w:left="0" w:leftChars="0" w:right="0" w:rightChars="0" w:firstLine="480" w:firstLineChars="200"/>
              <w:jc w:val="center"/>
              <w:rPr>
                <w:color w:val="auto"/>
                <w:sz w:val="24"/>
                <w:szCs w:val="24"/>
              </w:rPr>
            </w:pPr>
            <w:r>
              <w:rPr>
                <w:color w:val="auto"/>
                <w:sz w:val="24"/>
                <w:szCs w:val="24"/>
                <w:lang w:val="en-US" w:bidi="ar-SA"/>
              </w:rPr>
              <mc:AlternateContent>
                <mc:Choice Requires="wps">
                  <w:drawing>
                    <wp:anchor distT="0" distB="0" distL="114300" distR="114300" simplePos="0" relativeHeight="251686912" behindDoc="0" locked="0" layoutInCell="1" allowOverlap="1">
                      <wp:simplePos x="0" y="0"/>
                      <wp:positionH relativeFrom="column">
                        <wp:posOffset>20320</wp:posOffset>
                      </wp:positionH>
                      <wp:positionV relativeFrom="paragraph">
                        <wp:posOffset>9525</wp:posOffset>
                      </wp:positionV>
                      <wp:extent cx="1065530" cy="584200"/>
                      <wp:effectExtent l="2540" t="4445" r="17780" b="20955"/>
                      <wp:wrapNone/>
                      <wp:docPr id="8" name="直线 23"/>
                      <wp:cNvGraphicFramePr/>
                      <a:graphic xmlns:a="http://schemas.openxmlformats.org/drawingml/2006/main">
                        <a:graphicData uri="http://schemas.microsoft.com/office/word/2010/wordprocessingShape">
                          <wps:wsp>
                            <wps:cNvCnPr/>
                            <wps:spPr>
                              <a:xfrm>
                                <a:off x="0" y="0"/>
                                <a:ext cx="1065530" cy="58420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23" o:spid="_x0000_s1026" o:spt="20" style="position:absolute;left:0pt;margin-left:1.6pt;margin-top:0.75pt;height:46pt;width:83.9pt;z-index:251686912;mso-width-relative:page;mso-height-relative:page;" filled="f" stroked="t" coordsize="21600,21600" o:gfxdata="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nn+iL1AAAAAYBAAAP&#10;AAAAAAAAAAEAIAAAACIAAABkcnMvZG93bnJldi54bWxQSwECFAAUAAAACACHTuJAiiTZnuMBAADV&#10;AwAADgAAAAAAAAABACAAAAAjAQAAZHJzL2Uyb0RvYy54bWxQSwUGAAAAAAYABgBZAQAAeAUAAAAA&#10;">
                      <v:fill on="f" focussize="0,0"/>
                      <v:stroke color="#000000" joinstyle="round"/>
                      <v:imagedata o:title=""/>
                      <o:lock v:ext="edit" aspectratio="f"/>
                    </v:line>
                  </w:pict>
                </mc:Fallback>
              </mc:AlternateContent>
            </w:r>
            <w:r>
              <w:rPr>
                <w:rFonts w:hint="eastAsia"/>
                <w:color w:val="auto"/>
                <w:sz w:val="24"/>
                <w:szCs w:val="24"/>
                <w:lang w:val="en-US"/>
              </w:rPr>
              <w:t xml:space="preserve"> </w:t>
            </w:r>
            <w:r>
              <w:rPr>
                <w:rFonts w:hint="eastAsia"/>
                <w:color w:val="auto"/>
                <w:sz w:val="24"/>
                <w:szCs w:val="24"/>
              </w:rPr>
              <w:t>报价内容</w:t>
            </w:r>
          </w:p>
          <w:p w14:paraId="0AE655E5">
            <w:pPr>
              <w:pageBreakBefore w:val="0"/>
              <w:topLinePunct w:val="0"/>
              <w:bidi w:val="0"/>
              <w:spacing w:line="240" w:lineRule="auto"/>
              <w:ind w:left="0" w:leftChars="0" w:right="0" w:rightChars="0" w:firstLine="480" w:firstLineChars="200"/>
              <w:jc w:val="center"/>
              <w:rPr>
                <w:color w:val="auto"/>
                <w:sz w:val="24"/>
                <w:szCs w:val="24"/>
              </w:rPr>
            </w:pPr>
          </w:p>
          <w:p w14:paraId="2D9FEC0B">
            <w:pPr>
              <w:pageBreakBefore w:val="0"/>
              <w:topLinePunct w:val="0"/>
              <w:bidi w:val="0"/>
              <w:spacing w:line="240" w:lineRule="auto"/>
              <w:ind w:right="0" w:rightChars="0"/>
              <w:jc w:val="both"/>
              <w:rPr>
                <w:color w:val="auto"/>
                <w:sz w:val="24"/>
                <w:szCs w:val="24"/>
              </w:rPr>
            </w:pPr>
            <w:r>
              <w:rPr>
                <w:rFonts w:hint="eastAsia"/>
                <w:color w:val="auto"/>
                <w:sz w:val="24"/>
                <w:szCs w:val="24"/>
              </w:rPr>
              <w:t>投标内容</w:t>
            </w:r>
          </w:p>
        </w:tc>
        <w:tc>
          <w:tcPr>
            <w:tcW w:w="4106" w:type="dxa"/>
            <w:tcBorders>
              <w:right w:val="single" w:color="000000" w:sz="4" w:space="0"/>
            </w:tcBorders>
            <w:vAlign w:val="center"/>
          </w:tcPr>
          <w:p w14:paraId="34DB7D99">
            <w:pPr>
              <w:pageBreakBefore w:val="0"/>
              <w:topLinePunct w:val="0"/>
              <w:bidi w:val="0"/>
              <w:spacing w:line="240" w:lineRule="auto"/>
              <w:ind w:left="0" w:leftChars="0" w:right="0" w:rightChars="0" w:firstLine="1680" w:firstLineChars="700"/>
              <w:jc w:val="both"/>
              <w:rPr>
                <w:rFonts w:hint="default"/>
                <w:color w:val="auto"/>
                <w:sz w:val="24"/>
                <w:szCs w:val="24"/>
                <w:lang w:val="en-US" w:eastAsia="zh-CN"/>
              </w:rPr>
            </w:pPr>
            <w:r>
              <w:rPr>
                <w:rFonts w:hint="eastAsia"/>
                <w:color w:val="auto"/>
                <w:sz w:val="24"/>
                <w:szCs w:val="24"/>
                <w:lang w:val="en-US" w:eastAsia="zh-CN"/>
              </w:rPr>
              <w:t>所投产品</w:t>
            </w:r>
          </w:p>
        </w:tc>
        <w:tc>
          <w:tcPr>
            <w:tcW w:w="2361" w:type="dxa"/>
            <w:tcBorders>
              <w:left w:val="single" w:color="000000" w:sz="4" w:space="0"/>
              <w:right w:val="single" w:color="000000" w:sz="4" w:space="0"/>
            </w:tcBorders>
            <w:vAlign w:val="center"/>
          </w:tcPr>
          <w:p w14:paraId="61047DB7">
            <w:pPr>
              <w:pageBreakBefore w:val="0"/>
              <w:topLinePunct w:val="0"/>
              <w:bidi w:val="0"/>
              <w:spacing w:line="240" w:lineRule="auto"/>
              <w:ind w:right="0" w:rightChars="0"/>
              <w:jc w:val="both"/>
              <w:rPr>
                <w:rFonts w:hint="default" w:eastAsia="宋体"/>
                <w:color w:val="auto"/>
                <w:sz w:val="24"/>
                <w:szCs w:val="24"/>
                <w:lang w:val="en-US" w:eastAsia="zh-CN"/>
              </w:rPr>
            </w:pPr>
            <w:r>
              <w:rPr>
                <w:rFonts w:hint="eastAsia"/>
                <w:color w:val="auto"/>
                <w:sz w:val="24"/>
                <w:szCs w:val="24"/>
                <w:lang w:val="en-US" w:eastAsia="zh-CN"/>
              </w:rPr>
              <w:t>肉类食材、鸡蛋投标优惠率（%）</w:t>
            </w:r>
          </w:p>
        </w:tc>
        <w:tc>
          <w:tcPr>
            <w:tcW w:w="1208" w:type="dxa"/>
            <w:tcBorders>
              <w:left w:val="single" w:color="000000" w:sz="4" w:space="0"/>
            </w:tcBorders>
            <w:vAlign w:val="center"/>
          </w:tcPr>
          <w:p w14:paraId="21E47DD5">
            <w:pPr>
              <w:pageBreakBefore w:val="0"/>
              <w:topLinePunct w:val="0"/>
              <w:bidi w:val="0"/>
              <w:spacing w:line="240" w:lineRule="auto"/>
              <w:ind w:right="0" w:rightChars="0"/>
              <w:jc w:val="center"/>
              <w:rPr>
                <w:rFonts w:hint="eastAsia" w:eastAsia="宋体"/>
                <w:color w:val="auto"/>
                <w:sz w:val="24"/>
                <w:szCs w:val="24"/>
                <w:lang w:eastAsia="zh-CN"/>
              </w:rPr>
            </w:pPr>
            <w:r>
              <w:rPr>
                <w:rFonts w:hint="eastAsia" w:eastAsia="宋体"/>
                <w:color w:val="auto"/>
                <w:sz w:val="24"/>
                <w:szCs w:val="24"/>
                <w:lang w:eastAsia="zh-CN"/>
              </w:rPr>
              <w:t>投标报价（</w:t>
            </w:r>
            <w:r>
              <w:rPr>
                <w:rFonts w:hint="eastAsia" w:eastAsia="宋体"/>
                <w:color w:val="auto"/>
                <w:sz w:val="24"/>
                <w:szCs w:val="24"/>
                <w:lang w:val="en-US" w:eastAsia="zh-CN"/>
              </w:rPr>
              <w:t>元</w:t>
            </w:r>
            <w:r>
              <w:rPr>
                <w:rFonts w:hint="eastAsia" w:eastAsia="宋体"/>
                <w:color w:val="auto"/>
                <w:sz w:val="24"/>
                <w:szCs w:val="24"/>
                <w:lang w:eastAsia="zh-CN"/>
              </w:rPr>
              <w:t>）</w:t>
            </w:r>
          </w:p>
        </w:tc>
        <w:tc>
          <w:tcPr>
            <w:tcW w:w="970" w:type="dxa"/>
            <w:tcBorders>
              <w:left w:val="single" w:color="000000" w:sz="4" w:space="0"/>
            </w:tcBorders>
            <w:vAlign w:val="center"/>
          </w:tcPr>
          <w:p w14:paraId="6445D4BA">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供货期</w:t>
            </w:r>
          </w:p>
        </w:tc>
      </w:tr>
      <w:tr w14:paraId="588E7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4" w:hRule="atLeast"/>
        </w:trPr>
        <w:tc>
          <w:tcPr>
            <w:tcW w:w="1714" w:type="dxa"/>
            <w:vAlign w:val="center"/>
          </w:tcPr>
          <w:p w14:paraId="464D3B01">
            <w:pPr>
              <w:pageBreakBefore w:val="0"/>
              <w:topLinePunct w:val="0"/>
              <w:bidi w:val="0"/>
              <w:spacing w:line="240" w:lineRule="auto"/>
              <w:ind w:right="0" w:rightChars="0"/>
              <w:jc w:val="center"/>
              <w:rPr>
                <w:rFonts w:hint="eastAsia" w:eastAsia="宋体"/>
                <w:color w:val="auto"/>
                <w:sz w:val="24"/>
                <w:szCs w:val="24"/>
                <w:lang w:eastAsia="zh-CN"/>
              </w:rPr>
            </w:pPr>
            <w:r>
              <w:rPr>
                <w:rFonts w:hint="eastAsia"/>
                <w:color w:val="auto"/>
                <w:sz w:val="24"/>
                <w:szCs w:val="24"/>
                <w:lang w:val="en-US" w:eastAsia="zh-CN"/>
              </w:rPr>
              <w:t>猪肉</w:t>
            </w:r>
          </w:p>
        </w:tc>
        <w:tc>
          <w:tcPr>
            <w:tcW w:w="4106" w:type="dxa"/>
            <w:tcBorders>
              <w:right w:val="single" w:color="000000" w:sz="4" w:space="0"/>
            </w:tcBorders>
            <w:vAlign w:val="center"/>
          </w:tcPr>
          <w:p w14:paraId="4CF61420">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38C1AE4B">
            <w:pPr>
              <w:pageBreakBefore w:val="0"/>
              <w:topLinePunct w:val="0"/>
              <w:bidi w:val="0"/>
              <w:spacing w:line="240" w:lineRule="auto"/>
              <w:ind w:right="0" w:rightChars="0"/>
              <w:jc w:val="both"/>
            </w:pPr>
            <w:r>
              <w:rPr>
                <w:rFonts w:hint="eastAsia"/>
                <w:color w:val="auto"/>
                <w:sz w:val="24"/>
                <w:szCs w:val="24"/>
                <w:lang w:val="en-US" w:eastAsia="zh-CN"/>
              </w:rPr>
              <w:t>生产商：</w:t>
            </w:r>
            <w:bookmarkStart w:id="22" w:name="_GoBack"/>
            <w:bookmarkEnd w:id="22"/>
          </w:p>
        </w:tc>
        <w:tc>
          <w:tcPr>
            <w:tcW w:w="2361" w:type="dxa"/>
            <w:vMerge w:val="restart"/>
            <w:tcBorders>
              <w:left w:val="single" w:color="000000" w:sz="4" w:space="0"/>
              <w:right w:val="single" w:color="000000" w:sz="4" w:space="0"/>
            </w:tcBorders>
            <w:vAlign w:val="center"/>
          </w:tcPr>
          <w:p w14:paraId="3834D2FC">
            <w:pPr>
              <w:pageBreakBefore w:val="0"/>
              <w:topLinePunct w:val="0"/>
              <w:bidi w:val="0"/>
              <w:spacing w:line="240" w:lineRule="auto"/>
              <w:ind w:left="0" w:leftChars="0" w:right="0" w:rightChars="0" w:firstLine="480" w:firstLineChars="200"/>
              <w:jc w:val="center"/>
              <w:rPr>
                <w:color w:val="auto"/>
                <w:sz w:val="24"/>
                <w:szCs w:val="24"/>
              </w:rPr>
            </w:pPr>
            <w:r>
              <w:rPr>
                <w:rFonts w:hint="eastAsia"/>
                <w:color w:val="auto"/>
                <w:sz w:val="24"/>
                <w:szCs w:val="24"/>
                <w:u w:val="single"/>
                <w:lang w:val="en-US" w:eastAsia="zh-CN"/>
              </w:rPr>
              <w:t xml:space="preserve">    </w:t>
            </w:r>
            <w:r>
              <w:rPr>
                <w:rFonts w:hint="eastAsia"/>
                <w:color w:val="auto"/>
                <w:sz w:val="24"/>
                <w:szCs w:val="24"/>
                <w:u w:val="none"/>
                <w:lang w:val="en-US" w:eastAsia="zh-CN"/>
              </w:rPr>
              <w:t>%</w:t>
            </w:r>
          </w:p>
        </w:tc>
        <w:tc>
          <w:tcPr>
            <w:tcW w:w="1208" w:type="dxa"/>
            <w:tcBorders>
              <w:left w:val="single" w:color="000000" w:sz="4" w:space="0"/>
            </w:tcBorders>
            <w:vAlign w:val="center"/>
          </w:tcPr>
          <w:p w14:paraId="26B312ED">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0009AC74">
            <w:pPr>
              <w:pageBreakBefore w:val="0"/>
              <w:topLinePunct w:val="0"/>
              <w:bidi w:val="0"/>
              <w:spacing w:line="240" w:lineRule="auto"/>
              <w:ind w:left="0" w:leftChars="0" w:right="0" w:rightChars="0" w:firstLine="480" w:firstLineChars="200"/>
              <w:jc w:val="center"/>
              <w:rPr>
                <w:color w:val="auto"/>
                <w:sz w:val="24"/>
                <w:szCs w:val="24"/>
              </w:rPr>
            </w:pPr>
          </w:p>
        </w:tc>
      </w:tr>
      <w:tr w14:paraId="3264C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1714" w:type="dxa"/>
            <w:vAlign w:val="center"/>
          </w:tcPr>
          <w:p w14:paraId="6068D404">
            <w:pPr>
              <w:pageBreakBefore w:val="0"/>
              <w:topLinePunct w:val="0"/>
              <w:bidi w:val="0"/>
              <w:spacing w:line="240" w:lineRule="auto"/>
              <w:ind w:right="0" w:rightChars="0"/>
              <w:jc w:val="center"/>
              <w:rPr>
                <w:rFonts w:hint="eastAsia"/>
                <w:color w:val="auto"/>
                <w:sz w:val="24"/>
                <w:szCs w:val="24"/>
              </w:rPr>
            </w:pPr>
            <w:r>
              <w:rPr>
                <w:rFonts w:hint="eastAsia"/>
                <w:color w:val="auto"/>
                <w:sz w:val="24"/>
                <w:szCs w:val="24"/>
              </w:rPr>
              <w:t>鸡蛋</w:t>
            </w:r>
          </w:p>
        </w:tc>
        <w:tc>
          <w:tcPr>
            <w:tcW w:w="4106" w:type="dxa"/>
            <w:tcBorders>
              <w:right w:val="single" w:color="000000" w:sz="4" w:space="0"/>
            </w:tcBorders>
            <w:vAlign w:val="center"/>
          </w:tcPr>
          <w:p w14:paraId="52E2076F">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6CBF4361">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361" w:type="dxa"/>
            <w:vMerge w:val="continue"/>
            <w:tcBorders>
              <w:left w:val="single" w:color="000000" w:sz="4" w:space="0"/>
              <w:right w:val="single" w:color="000000" w:sz="4" w:space="0"/>
            </w:tcBorders>
            <w:vAlign w:val="center"/>
          </w:tcPr>
          <w:p w14:paraId="08BDB342">
            <w:pPr>
              <w:pageBreakBefore w:val="0"/>
              <w:topLinePunct w:val="0"/>
              <w:bidi w:val="0"/>
              <w:spacing w:line="240" w:lineRule="auto"/>
              <w:ind w:left="0" w:leftChars="0" w:right="0" w:rightChars="0" w:firstLine="480" w:firstLineChars="200"/>
              <w:jc w:val="center"/>
              <w:rPr>
                <w:rFonts w:hint="eastAsia"/>
                <w:color w:val="auto"/>
                <w:sz w:val="24"/>
                <w:szCs w:val="24"/>
                <w:u w:val="single"/>
                <w:lang w:val="en-US" w:eastAsia="zh-CN"/>
              </w:rPr>
            </w:pPr>
          </w:p>
        </w:tc>
        <w:tc>
          <w:tcPr>
            <w:tcW w:w="1208" w:type="dxa"/>
            <w:tcBorders>
              <w:left w:val="single" w:color="000000" w:sz="4" w:space="0"/>
            </w:tcBorders>
            <w:vAlign w:val="center"/>
          </w:tcPr>
          <w:p w14:paraId="080E885F">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5CD7B6D5">
            <w:pPr>
              <w:pageBreakBefore w:val="0"/>
              <w:topLinePunct w:val="0"/>
              <w:bidi w:val="0"/>
              <w:spacing w:line="240" w:lineRule="auto"/>
              <w:ind w:left="0" w:leftChars="0" w:right="0" w:rightChars="0" w:firstLine="480" w:firstLineChars="200"/>
              <w:jc w:val="center"/>
              <w:rPr>
                <w:color w:val="auto"/>
                <w:sz w:val="24"/>
                <w:szCs w:val="24"/>
              </w:rPr>
            </w:pPr>
          </w:p>
        </w:tc>
      </w:tr>
      <w:tr w14:paraId="6A812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1714" w:type="dxa"/>
            <w:vAlign w:val="center"/>
          </w:tcPr>
          <w:p w14:paraId="2C987070">
            <w:pPr>
              <w:pageBreakBefore w:val="0"/>
              <w:topLinePunct w:val="0"/>
              <w:bidi w:val="0"/>
              <w:spacing w:line="240" w:lineRule="auto"/>
              <w:ind w:right="0" w:rightChars="0"/>
              <w:jc w:val="center"/>
              <w:rPr>
                <w:rFonts w:hint="eastAsia" w:eastAsia="宋体"/>
                <w:color w:val="auto"/>
                <w:sz w:val="24"/>
                <w:szCs w:val="24"/>
                <w:lang w:val="en-US" w:eastAsia="zh-CN"/>
              </w:rPr>
            </w:pPr>
            <w:r>
              <w:rPr>
                <w:rFonts w:hint="eastAsia"/>
                <w:color w:val="auto"/>
                <w:sz w:val="24"/>
                <w:szCs w:val="24"/>
                <w:lang w:val="en-US" w:eastAsia="zh-CN"/>
              </w:rPr>
              <w:t>牛肉</w:t>
            </w:r>
          </w:p>
        </w:tc>
        <w:tc>
          <w:tcPr>
            <w:tcW w:w="4106" w:type="dxa"/>
            <w:tcBorders>
              <w:right w:val="single" w:color="000000" w:sz="4" w:space="0"/>
            </w:tcBorders>
            <w:vAlign w:val="center"/>
          </w:tcPr>
          <w:p w14:paraId="77C8F4F1">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18A638E5">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361" w:type="dxa"/>
            <w:vMerge w:val="continue"/>
            <w:tcBorders>
              <w:left w:val="single" w:color="000000" w:sz="4" w:space="0"/>
              <w:right w:val="single" w:color="000000" w:sz="4" w:space="0"/>
            </w:tcBorders>
            <w:vAlign w:val="center"/>
          </w:tcPr>
          <w:p w14:paraId="7F4E6B93">
            <w:pPr>
              <w:pageBreakBefore w:val="0"/>
              <w:topLinePunct w:val="0"/>
              <w:bidi w:val="0"/>
              <w:spacing w:line="240" w:lineRule="auto"/>
              <w:ind w:left="0" w:leftChars="0" w:right="0" w:rightChars="0" w:firstLine="480" w:firstLineChars="200"/>
              <w:jc w:val="center"/>
              <w:rPr>
                <w:rFonts w:hint="eastAsia"/>
                <w:color w:val="auto"/>
                <w:sz w:val="24"/>
                <w:szCs w:val="24"/>
                <w:u w:val="single"/>
                <w:lang w:val="en-US" w:eastAsia="zh-CN"/>
              </w:rPr>
            </w:pPr>
          </w:p>
        </w:tc>
        <w:tc>
          <w:tcPr>
            <w:tcW w:w="1208" w:type="dxa"/>
            <w:tcBorders>
              <w:left w:val="single" w:color="000000" w:sz="4" w:space="0"/>
            </w:tcBorders>
            <w:vAlign w:val="center"/>
          </w:tcPr>
          <w:p w14:paraId="69CFC62E">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4F2FED87">
            <w:pPr>
              <w:pageBreakBefore w:val="0"/>
              <w:topLinePunct w:val="0"/>
              <w:bidi w:val="0"/>
              <w:spacing w:line="240" w:lineRule="auto"/>
              <w:ind w:left="0" w:leftChars="0" w:right="0" w:rightChars="0" w:firstLine="480" w:firstLineChars="200"/>
              <w:jc w:val="center"/>
              <w:rPr>
                <w:color w:val="auto"/>
                <w:sz w:val="24"/>
                <w:szCs w:val="24"/>
              </w:rPr>
            </w:pPr>
          </w:p>
        </w:tc>
      </w:tr>
      <w:tr w14:paraId="36973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1714" w:type="dxa"/>
            <w:vAlign w:val="center"/>
          </w:tcPr>
          <w:p w14:paraId="5FAFBBA0">
            <w:pPr>
              <w:pageBreakBefore w:val="0"/>
              <w:topLinePunct w:val="0"/>
              <w:bidi w:val="0"/>
              <w:spacing w:line="240" w:lineRule="auto"/>
              <w:ind w:right="0" w:rightChars="0"/>
              <w:jc w:val="center"/>
              <w:rPr>
                <w:rFonts w:hint="eastAsia" w:eastAsia="宋体"/>
                <w:color w:val="auto"/>
                <w:sz w:val="24"/>
                <w:szCs w:val="24"/>
                <w:lang w:val="en-US" w:eastAsia="zh-CN"/>
              </w:rPr>
            </w:pPr>
            <w:r>
              <w:rPr>
                <w:rFonts w:hint="eastAsia"/>
                <w:color w:val="auto"/>
                <w:sz w:val="24"/>
                <w:szCs w:val="24"/>
                <w:lang w:val="en-US" w:eastAsia="zh-CN"/>
              </w:rPr>
              <w:t>羊肉</w:t>
            </w:r>
          </w:p>
        </w:tc>
        <w:tc>
          <w:tcPr>
            <w:tcW w:w="4106" w:type="dxa"/>
            <w:tcBorders>
              <w:right w:val="single" w:color="000000" w:sz="4" w:space="0"/>
            </w:tcBorders>
            <w:vAlign w:val="center"/>
          </w:tcPr>
          <w:p w14:paraId="367A917A">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562A2ADE">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361" w:type="dxa"/>
            <w:vMerge w:val="continue"/>
            <w:tcBorders>
              <w:left w:val="single" w:color="000000" w:sz="4" w:space="0"/>
              <w:right w:val="single" w:color="000000" w:sz="4" w:space="0"/>
            </w:tcBorders>
            <w:vAlign w:val="center"/>
          </w:tcPr>
          <w:p w14:paraId="3ED2EB5C">
            <w:pPr>
              <w:pageBreakBefore w:val="0"/>
              <w:topLinePunct w:val="0"/>
              <w:bidi w:val="0"/>
              <w:spacing w:line="240" w:lineRule="auto"/>
              <w:ind w:left="0" w:leftChars="0" w:right="0" w:rightChars="0" w:firstLine="480" w:firstLineChars="200"/>
              <w:jc w:val="center"/>
              <w:rPr>
                <w:rFonts w:hint="eastAsia"/>
                <w:color w:val="auto"/>
                <w:sz w:val="24"/>
                <w:szCs w:val="24"/>
                <w:u w:val="single"/>
                <w:lang w:val="en-US" w:eastAsia="zh-CN"/>
              </w:rPr>
            </w:pPr>
          </w:p>
        </w:tc>
        <w:tc>
          <w:tcPr>
            <w:tcW w:w="1208" w:type="dxa"/>
            <w:tcBorders>
              <w:left w:val="single" w:color="000000" w:sz="4" w:space="0"/>
            </w:tcBorders>
            <w:vAlign w:val="center"/>
          </w:tcPr>
          <w:p w14:paraId="1A70008E">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4CB54D80">
            <w:pPr>
              <w:pageBreakBefore w:val="0"/>
              <w:topLinePunct w:val="0"/>
              <w:bidi w:val="0"/>
              <w:spacing w:line="240" w:lineRule="auto"/>
              <w:ind w:left="0" w:leftChars="0" w:right="0" w:rightChars="0" w:firstLine="480" w:firstLineChars="200"/>
              <w:jc w:val="center"/>
              <w:rPr>
                <w:color w:val="auto"/>
                <w:sz w:val="24"/>
                <w:szCs w:val="24"/>
              </w:rPr>
            </w:pPr>
          </w:p>
        </w:tc>
      </w:tr>
      <w:tr w14:paraId="4D8D9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1714" w:type="dxa"/>
            <w:vAlign w:val="center"/>
          </w:tcPr>
          <w:p w14:paraId="2B4CD8A5">
            <w:pPr>
              <w:pageBreakBefore w:val="0"/>
              <w:topLinePunct w:val="0"/>
              <w:bidi w:val="0"/>
              <w:spacing w:line="240" w:lineRule="auto"/>
              <w:ind w:right="0" w:rightChars="0"/>
              <w:jc w:val="center"/>
              <w:rPr>
                <w:rFonts w:hint="default"/>
                <w:color w:val="auto"/>
                <w:sz w:val="24"/>
                <w:szCs w:val="24"/>
                <w:lang w:val="en-US" w:eastAsia="zh-CN"/>
              </w:rPr>
            </w:pPr>
            <w:r>
              <w:rPr>
                <w:rFonts w:hint="eastAsia"/>
                <w:color w:val="auto"/>
                <w:sz w:val="24"/>
                <w:szCs w:val="24"/>
                <w:lang w:val="en-US" w:eastAsia="zh-CN"/>
              </w:rPr>
              <w:t>鸡肉</w:t>
            </w:r>
          </w:p>
        </w:tc>
        <w:tc>
          <w:tcPr>
            <w:tcW w:w="4106" w:type="dxa"/>
            <w:tcBorders>
              <w:right w:val="single" w:color="000000" w:sz="4" w:space="0"/>
            </w:tcBorders>
            <w:vAlign w:val="center"/>
          </w:tcPr>
          <w:p w14:paraId="4ECFE701">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738D4735">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361" w:type="dxa"/>
            <w:vMerge w:val="continue"/>
            <w:tcBorders>
              <w:left w:val="single" w:color="000000" w:sz="4" w:space="0"/>
              <w:right w:val="single" w:color="000000" w:sz="4" w:space="0"/>
            </w:tcBorders>
            <w:vAlign w:val="center"/>
          </w:tcPr>
          <w:p w14:paraId="4E1A6171">
            <w:pPr>
              <w:pageBreakBefore w:val="0"/>
              <w:topLinePunct w:val="0"/>
              <w:bidi w:val="0"/>
              <w:spacing w:line="240" w:lineRule="auto"/>
              <w:ind w:left="0" w:leftChars="0" w:right="0" w:rightChars="0" w:firstLine="480" w:firstLineChars="200"/>
              <w:jc w:val="center"/>
              <w:rPr>
                <w:rFonts w:hint="eastAsia"/>
                <w:color w:val="auto"/>
                <w:sz w:val="24"/>
                <w:szCs w:val="24"/>
                <w:u w:val="single"/>
                <w:lang w:val="en-US" w:eastAsia="zh-CN"/>
              </w:rPr>
            </w:pPr>
          </w:p>
        </w:tc>
        <w:tc>
          <w:tcPr>
            <w:tcW w:w="1208" w:type="dxa"/>
            <w:tcBorders>
              <w:left w:val="single" w:color="000000" w:sz="4" w:space="0"/>
            </w:tcBorders>
            <w:vAlign w:val="center"/>
          </w:tcPr>
          <w:p w14:paraId="68C776AC">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1212481F">
            <w:pPr>
              <w:pageBreakBefore w:val="0"/>
              <w:topLinePunct w:val="0"/>
              <w:bidi w:val="0"/>
              <w:spacing w:line="240" w:lineRule="auto"/>
              <w:ind w:left="0" w:leftChars="0" w:right="0" w:rightChars="0" w:firstLine="480" w:firstLineChars="200"/>
              <w:jc w:val="center"/>
              <w:rPr>
                <w:color w:val="auto"/>
                <w:sz w:val="24"/>
                <w:szCs w:val="24"/>
              </w:rPr>
            </w:pPr>
          </w:p>
        </w:tc>
      </w:tr>
      <w:tr w14:paraId="2EB27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0" w:hRule="atLeast"/>
        </w:trPr>
        <w:tc>
          <w:tcPr>
            <w:tcW w:w="1714" w:type="dxa"/>
            <w:vAlign w:val="center"/>
          </w:tcPr>
          <w:p w14:paraId="463EDEF2">
            <w:pPr>
              <w:pageBreakBefore w:val="0"/>
              <w:topLinePunct w:val="0"/>
              <w:bidi w:val="0"/>
              <w:spacing w:line="240" w:lineRule="auto"/>
              <w:ind w:right="0" w:rightChars="0"/>
              <w:jc w:val="center"/>
              <w:rPr>
                <w:rFonts w:hint="eastAsia"/>
                <w:color w:val="auto"/>
                <w:sz w:val="24"/>
                <w:szCs w:val="24"/>
              </w:rPr>
            </w:pPr>
            <w:r>
              <w:rPr>
                <w:rFonts w:hint="eastAsia"/>
                <w:color w:val="auto"/>
                <w:sz w:val="24"/>
                <w:szCs w:val="24"/>
                <w:lang w:val="en-US" w:eastAsia="zh-CN"/>
              </w:rPr>
              <w:t>投标总报价（元）</w:t>
            </w:r>
          </w:p>
        </w:tc>
        <w:tc>
          <w:tcPr>
            <w:tcW w:w="8645" w:type="dxa"/>
            <w:gridSpan w:val="4"/>
            <w:vAlign w:val="center"/>
          </w:tcPr>
          <w:p w14:paraId="5C8EAC78">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大写：</w:t>
            </w:r>
          </w:p>
          <w:p w14:paraId="26EEAEED">
            <w:pPr>
              <w:pageBreakBefore w:val="0"/>
              <w:topLinePunct w:val="0"/>
              <w:bidi w:val="0"/>
              <w:spacing w:line="240" w:lineRule="auto"/>
              <w:ind w:right="0" w:rightChars="0"/>
              <w:jc w:val="both"/>
              <w:rPr>
                <w:color w:val="auto"/>
                <w:sz w:val="24"/>
                <w:szCs w:val="24"/>
              </w:rPr>
            </w:pPr>
            <w:r>
              <w:rPr>
                <w:rFonts w:hint="eastAsia"/>
                <w:color w:val="auto"/>
                <w:sz w:val="24"/>
                <w:szCs w:val="24"/>
                <w:lang w:val="en-US" w:eastAsia="zh-CN"/>
              </w:rPr>
              <w:t>小写：</w:t>
            </w:r>
          </w:p>
        </w:tc>
      </w:tr>
      <w:tr w14:paraId="4B378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0" w:hRule="atLeast"/>
        </w:trPr>
        <w:tc>
          <w:tcPr>
            <w:tcW w:w="10359" w:type="dxa"/>
            <w:gridSpan w:val="5"/>
            <w:vAlign w:val="center"/>
          </w:tcPr>
          <w:p w14:paraId="523ACEF9">
            <w:pPr>
              <w:pageBreakBefore w:val="0"/>
              <w:topLinePunct w:val="0"/>
              <w:bidi w:val="0"/>
              <w:spacing w:line="500" w:lineRule="exact"/>
              <w:ind w:left="0" w:leftChars="0" w:right="0" w:rightChars="0" w:firstLine="482" w:firstLineChars="200"/>
              <w:rPr>
                <w:rFonts w:hint="eastAsia"/>
                <w:b/>
                <w:bCs/>
                <w:color w:val="auto"/>
                <w:sz w:val="24"/>
                <w:szCs w:val="24"/>
              </w:rPr>
            </w:pPr>
            <w:r>
              <w:rPr>
                <w:rFonts w:hint="eastAsia"/>
                <w:b/>
                <w:bCs/>
                <w:color w:val="auto"/>
                <w:sz w:val="24"/>
                <w:szCs w:val="24"/>
              </w:rPr>
              <w:t>备注：</w:t>
            </w:r>
          </w:p>
          <w:p w14:paraId="169843FB">
            <w:pPr>
              <w:pageBreakBefore w:val="0"/>
              <w:numPr>
                <w:ilvl w:val="0"/>
                <w:numId w:val="0"/>
              </w:numPr>
              <w:topLinePunct w:val="0"/>
              <w:bidi w:val="0"/>
              <w:spacing w:line="240" w:lineRule="auto"/>
              <w:ind w:right="0" w:rightChars="0" w:firstLine="480" w:firstLineChars="200"/>
              <w:rPr>
                <w:rFonts w:hint="eastAsia"/>
                <w:b w:val="0"/>
                <w:bCs w:val="0"/>
                <w:color w:val="auto"/>
                <w:sz w:val="24"/>
                <w:szCs w:val="24"/>
              </w:rPr>
            </w:pPr>
            <w:r>
              <w:rPr>
                <w:rFonts w:hint="eastAsia" w:cs="宋体"/>
                <w:i w:val="0"/>
                <w:iCs w:val="0"/>
                <w:color w:val="auto"/>
                <w:sz w:val="24"/>
                <w:szCs w:val="24"/>
                <w:shd w:val="clear" w:color="auto" w:fill="auto"/>
                <w:lang w:val="en-US" w:eastAsia="zh-CN"/>
              </w:rPr>
              <w:t>1.</w:t>
            </w:r>
            <w:r>
              <w:rPr>
                <w:rFonts w:hint="eastAsia" w:ascii="宋体" w:hAnsi="宋体" w:eastAsia="宋体" w:cs="宋体"/>
                <w:i w:val="0"/>
                <w:iCs w:val="0"/>
                <w:color w:val="auto"/>
                <w:sz w:val="24"/>
                <w:szCs w:val="24"/>
                <w:shd w:val="clear" w:color="auto" w:fill="auto"/>
              </w:rPr>
              <w:t>投标报价表中</w:t>
            </w:r>
            <w:r>
              <w:rPr>
                <w:rFonts w:hint="eastAsia" w:ascii="宋体" w:hAnsi="宋体" w:eastAsia="宋体" w:cs="宋体"/>
                <w:i w:val="0"/>
                <w:iCs w:val="0"/>
                <w:color w:val="auto"/>
                <w:sz w:val="24"/>
                <w:szCs w:val="24"/>
                <w:shd w:val="clear" w:color="auto" w:fill="auto"/>
                <w:lang w:eastAsia="zh-CN"/>
              </w:rPr>
              <w:t>（</w:t>
            </w:r>
            <w:r>
              <w:rPr>
                <w:rFonts w:hint="eastAsia" w:cs="宋体"/>
                <w:i w:val="0"/>
                <w:iCs w:val="0"/>
                <w:color w:val="auto"/>
                <w:sz w:val="24"/>
                <w:szCs w:val="24"/>
                <w:shd w:val="clear" w:color="auto" w:fill="auto"/>
                <w:lang w:val="en-US" w:eastAsia="zh-CN"/>
              </w:rPr>
              <w:t>肉类食材、鸡蛋</w:t>
            </w:r>
            <w:r>
              <w:rPr>
                <w:rFonts w:hint="eastAsia" w:ascii="宋体" w:hAnsi="宋体" w:eastAsia="宋体"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标明的价格为总价，最终结算价格单价</w:t>
            </w:r>
            <w:r>
              <w:rPr>
                <w:rFonts w:hint="eastAsia" w:ascii="宋体" w:hAnsi="宋体" w:eastAsia="宋体" w:cs="宋体"/>
                <w:i w:val="0"/>
                <w:iCs w:val="0"/>
                <w:color w:val="auto"/>
                <w:sz w:val="24"/>
                <w:szCs w:val="24"/>
                <w:shd w:val="clear" w:color="auto" w:fill="auto"/>
                <w:lang w:eastAsia="zh-CN"/>
              </w:rPr>
              <w:t>因</w:t>
            </w:r>
            <w:r>
              <w:rPr>
                <w:rFonts w:hint="eastAsia" w:ascii="宋体" w:hAnsi="宋体" w:eastAsia="宋体" w:cs="宋体"/>
                <w:i w:val="0"/>
                <w:iCs w:val="0"/>
                <w:color w:val="auto"/>
                <w:sz w:val="24"/>
                <w:szCs w:val="24"/>
                <w:shd w:val="clear" w:color="auto" w:fill="auto"/>
                <w:lang w:val="en-US" w:eastAsia="zh-CN"/>
              </w:rPr>
              <w:t>此类原辅料价格因市场行情波动较大，需采取市场采价确定。</w:t>
            </w:r>
            <w:r>
              <w:rPr>
                <w:rFonts w:hint="eastAsia" w:cs="宋体"/>
                <w:i w:val="0"/>
                <w:iCs w:val="0"/>
                <w:color w:val="auto"/>
                <w:sz w:val="24"/>
                <w:szCs w:val="24"/>
                <w:shd w:val="clear" w:color="auto" w:fill="auto"/>
                <w:lang w:val="en-US" w:eastAsia="zh-CN"/>
              </w:rPr>
              <w:t>具体为汉滨区教体局联合区发改部门及各学校成立询价小组，选择在汉滨城区3家及以上大型商超及农贸市场进行询价。每月开展两次市场采价询价工作，将每次所取的市场均价作为后半月的结算价。故每次结算单价的计算方式为：所取的市场均价为基准*（1-优惠率），依据实际供货量据实结算，</w:t>
            </w:r>
            <w:r>
              <w:rPr>
                <w:rFonts w:hint="eastAsia" w:cs="宋体"/>
                <w:b/>
                <w:bCs/>
                <w:color w:val="auto"/>
                <w:sz w:val="24"/>
                <w:szCs w:val="24"/>
                <w:highlight w:val="none"/>
                <w:lang w:val="en-US" w:eastAsia="zh-CN"/>
              </w:rPr>
              <w:t>投标报价=本标段</w:t>
            </w:r>
            <w:r>
              <w:rPr>
                <w:rFonts w:hint="eastAsia"/>
                <w:b/>
                <w:bCs/>
                <w:color w:val="auto"/>
                <w:sz w:val="24"/>
                <w:szCs w:val="24"/>
                <w:lang w:val="en-US" w:eastAsia="zh-CN"/>
              </w:rPr>
              <w:t>总预算</w:t>
            </w:r>
            <w:r>
              <w:rPr>
                <w:rFonts w:hint="eastAsia" w:cs="宋体"/>
                <w:b/>
                <w:bCs/>
                <w:color w:val="auto"/>
                <w:sz w:val="24"/>
                <w:szCs w:val="24"/>
                <w:highlight w:val="none"/>
                <w:lang w:val="en-US" w:eastAsia="zh-CN"/>
              </w:rPr>
              <w:t>*（1-投标优惠率）</w:t>
            </w:r>
            <w:r>
              <w:rPr>
                <w:rFonts w:hint="eastAsia"/>
                <w:color w:val="auto"/>
                <w:lang w:val="en-US" w:eastAsia="zh-CN"/>
              </w:rPr>
              <w:t>。</w:t>
            </w:r>
          </w:p>
          <w:p w14:paraId="5D409C10">
            <w:pPr>
              <w:pageBreakBefore w:val="0"/>
              <w:numPr>
                <w:ilvl w:val="0"/>
                <w:numId w:val="0"/>
              </w:numPr>
              <w:topLinePunct w:val="0"/>
              <w:bidi w:val="0"/>
              <w:spacing w:line="240" w:lineRule="auto"/>
              <w:ind w:right="0" w:rightChars="0" w:firstLine="480" w:firstLineChars="200"/>
              <w:rPr>
                <w:rFonts w:hint="eastAsia"/>
                <w:b w:val="0"/>
                <w:bCs w:val="0"/>
                <w:color w:val="auto"/>
                <w:sz w:val="24"/>
                <w:szCs w:val="24"/>
                <w:lang w:val="en-US" w:eastAsia="zh-CN"/>
              </w:rPr>
            </w:pPr>
            <w:r>
              <w:rPr>
                <w:rFonts w:hint="eastAsia"/>
                <w:b w:val="0"/>
                <w:bCs w:val="0"/>
                <w:color w:val="auto"/>
                <w:sz w:val="24"/>
                <w:szCs w:val="24"/>
                <w:lang w:val="en-US" w:eastAsia="zh-CN"/>
              </w:rPr>
              <w:t>2.为便于评审，以投标总报价作为评审依据（投标总价为以上报价表中所有分项报价之和），结算时将以中标单价按实际采购数量据实结算。</w:t>
            </w:r>
          </w:p>
          <w:p w14:paraId="47A30F83">
            <w:pPr>
              <w:spacing w:line="240" w:lineRule="auto"/>
              <w:ind w:firstLine="482" w:firstLineChars="200"/>
              <w:rPr>
                <w:rFonts w:hint="eastAsia"/>
                <w:color w:val="auto"/>
                <w:lang w:val="en-US" w:eastAsia="zh-CN"/>
              </w:rPr>
            </w:pPr>
            <w:r>
              <w:rPr>
                <w:rFonts w:hint="eastAsia" w:cs="宋体"/>
                <w:b/>
                <w:bCs/>
                <w:color w:val="auto"/>
                <w:kern w:val="0"/>
                <w:sz w:val="24"/>
                <w:szCs w:val="24"/>
                <w:lang w:val="en-US" w:eastAsia="zh-CN" w:bidi="ar"/>
              </w:rPr>
              <w:t>3.报价时数量等相关数据参考本招标文件《第三章 招标采购内容及服务要求》的数据。</w:t>
            </w:r>
          </w:p>
          <w:p w14:paraId="1FB62D68">
            <w:pPr>
              <w:pageBreakBefore w:val="0"/>
              <w:topLinePunct w:val="0"/>
              <w:bidi w:val="0"/>
              <w:spacing w:line="240" w:lineRule="auto"/>
              <w:ind w:left="0" w:leftChars="0" w:right="0" w:rightChars="0" w:firstLine="480" w:firstLineChars="200"/>
              <w:rPr>
                <w:rFonts w:hint="eastAsia"/>
                <w:color w:val="auto"/>
                <w:sz w:val="24"/>
                <w:szCs w:val="24"/>
              </w:rPr>
            </w:pPr>
            <w:r>
              <w:rPr>
                <w:rFonts w:hint="eastAsia"/>
                <w:color w:val="auto"/>
                <w:sz w:val="24"/>
                <w:szCs w:val="24"/>
                <w:lang w:val="en-US" w:eastAsia="zh-CN"/>
              </w:rPr>
              <w:t>4.报价应</w:t>
            </w:r>
            <w:r>
              <w:rPr>
                <w:rFonts w:hint="eastAsia"/>
                <w:color w:val="auto"/>
                <w:sz w:val="24"/>
                <w:szCs w:val="24"/>
              </w:rPr>
              <w:t>包括</w:t>
            </w:r>
            <w:r>
              <w:rPr>
                <w:rFonts w:hint="eastAsia"/>
                <w:color w:val="auto"/>
                <w:sz w:val="24"/>
                <w:szCs w:val="24"/>
                <w:lang w:eastAsia="zh-CN"/>
              </w:rPr>
              <w:t>涉及</w:t>
            </w:r>
            <w:r>
              <w:rPr>
                <w:rFonts w:hint="eastAsia"/>
                <w:color w:val="auto"/>
                <w:sz w:val="24"/>
                <w:szCs w:val="24"/>
              </w:rPr>
              <w:t>的食品采购、包装、运输、装卸、加工、供货服务期限、配送</w:t>
            </w:r>
            <w:r>
              <w:rPr>
                <w:rFonts w:hint="eastAsia"/>
                <w:color w:val="auto"/>
                <w:sz w:val="24"/>
                <w:szCs w:val="24"/>
                <w:lang w:eastAsia="zh-CN"/>
              </w:rPr>
              <w:t>（</w:t>
            </w:r>
            <w:r>
              <w:rPr>
                <w:rFonts w:hint="eastAsia"/>
                <w:color w:val="auto"/>
                <w:sz w:val="24"/>
                <w:szCs w:val="24"/>
              </w:rPr>
              <w:t>配送到指定学校地点</w:t>
            </w:r>
            <w:r>
              <w:rPr>
                <w:rFonts w:hint="eastAsia"/>
                <w:color w:val="auto"/>
                <w:sz w:val="24"/>
                <w:szCs w:val="24"/>
                <w:lang w:eastAsia="zh-CN"/>
              </w:rPr>
              <w:t>）</w:t>
            </w:r>
            <w:r>
              <w:rPr>
                <w:rFonts w:hint="eastAsia"/>
                <w:color w:val="auto"/>
                <w:sz w:val="24"/>
                <w:szCs w:val="24"/>
              </w:rPr>
              <w:t>、售后服务及国家按现行税收政策征收的一切税费等。</w:t>
            </w:r>
          </w:p>
          <w:p w14:paraId="10C4BCCB">
            <w:pPr>
              <w:pStyle w:val="12"/>
              <w:pageBreakBefore w:val="0"/>
              <w:numPr>
                <w:ilvl w:val="0"/>
                <w:numId w:val="0"/>
              </w:numPr>
              <w:topLinePunct w:val="0"/>
              <w:bidi w:val="0"/>
              <w:spacing w:line="240" w:lineRule="auto"/>
              <w:ind w:left="0" w:leftChars="0" w:right="0" w:rightChars="0" w:firstLine="480" w:firstLineChars="200"/>
              <w:rPr>
                <w:rFonts w:hint="eastAsia"/>
                <w:color w:val="auto"/>
              </w:rPr>
            </w:pPr>
            <w:r>
              <w:rPr>
                <w:rFonts w:hint="eastAsia"/>
                <w:color w:val="auto"/>
                <w:sz w:val="24"/>
                <w:szCs w:val="24"/>
                <w:lang w:val="en-US" w:eastAsia="zh-CN"/>
              </w:rPr>
              <w:t>5.</w:t>
            </w:r>
            <w:r>
              <w:rPr>
                <w:rFonts w:hint="eastAsia"/>
                <w:color w:val="auto"/>
                <w:sz w:val="24"/>
                <w:szCs w:val="24"/>
              </w:rPr>
              <w:t>表内报价内容以元为单位，可精确到分。</w:t>
            </w:r>
          </w:p>
        </w:tc>
      </w:tr>
    </w:tbl>
    <w:p w14:paraId="62B127DA">
      <w:pPr>
        <w:pageBreakBefore w:val="0"/>
        <w:topLinePunct w:val="0"/>
        <w:bidi w:val="0"/>
        <w:spacing w:line="500" w:lineRule="exact"/>
        <w:ind w:left="0" w:leftChars="0" w:right="0" w:rightChars="0" w:firstLine="480" w:firstLineChars="200"/>
        <w:jc w:val="both"/>
        <w:rPr>
          <w:rFonts w:hint="eastAsia"/>
          <w:color w:val="auto"/>
          <w:sz w:val="24"/>
          <w:szCs w:val="24"/>
          <w:lang w:eastAsia="zh-CN"/>
        </w:rPr>
      </w:pPr>
    </w:p>
    <w:p w14:paraId="002B005F">
      <w:pPr>
        <w:pageBreakBefore w:val="0"/>
        <w:topLinePunct w:val="0"/>
        <w:bidi w:val="0"/>
        <w:spacing w:line="500" w:lineRule="exact"/>
        <w:ind w:left="0" w:leftChars="0" w:right="0" w:rightChars="0" w:firstLine="480" w:firstLineChars="200"/>
        <w:jc w:val="both"/>
        <w:rPr>
          <w:rFonts w:hint="eastAsia"/>
          <w:color w:val="auto"/>
          <w:sz w:val="24"/>
          <w:szCs w:val="24"/>
          <w:lang w:val="en-US"/>
        </w:rPr>
      </w:pPr>
      <w:r>
        <w:rPr>
          <w:rFonts w:hint="eastAsia"/>
          <w:color w:val="auto"/>
          <w:sz w:val="24"/>
          <w:szCs w:val="24"/>
          <w:lang w:eastAsia="zh-CN"/>
        </w:rPr>
        <w:t>供应商（</w:t>
      </w:r>
      <w:r>
        <w:rPr>
          <w:rFonts w:hint="eastAsia"/>
          <w:color w:val="auto"/>
          <w:sz w:val="24"/>
          <w:szCs w:val="24"/>
          <w:lang w:val="en-US" w:eastAsia="zh-CN"/>
        </w:rPr>
        <w:t>公章</w:t>
      </w:r>
      <w:r>
        <w:rPr>
          <w:rFonts w:hint="eastAsia"/>
          <w:color w:val="auto"/>
          <w:sz w:val="24"/>
          <w:szCs w:val="24"/>
          <w:lang w:eastAsia="zh-CN"/>
        </w:rPr>
        <w:t>）：</w:t>
      </w:r>
    </w:p>
    <w:p w14:paraId="4A239494">
      <w:pPr>
        <w:pageBreakBefore w:val="0"/>
        <w:topLinePunct w:val="0"/>
        <w:bidi w:val="0"/>
        <w:spacing w:line="500" w:lineRule="exact"/>
        <w:ind w:left="0" w:leftChars="0" w:right="0" w:rightChars="0" w:firstLine="480" w:firstLineChars="200"/>
        <w:jc w:val="both"/>
        <w:rPr>
          <w:rFonts w:hint="eastAsia"/>
          <w:color w:val="auto"/>
          <w:sz w:val="24"/>
          <w:szCs w:val="24"/>
          <w:lang w:val="zh-CN" w:eastAsia="zh-CN"/>
        </w:rPr>
      </w:pPr>
      <w:r>
        <w:rPr>
          <w:rFonts w:hint="eastAsia"/>
          <w:color w:val="auto"/>
          <w:sz w:val="24"/>
          <w:szCs w:val="24"/>
          <w:lang w:val="en-US" w:eastAsia="zh-CN"/>
        </w:rPr>
        <w:t>法定代表人或授权委托人（签字或盖章）：</w:t>
      </w:r>
    </w:p>
    <w:p w14:paraId="74917DFE">
      <w:pPr>
        <w:pStyle w:val="12"/>
        <w:pageBreakBefore w:val="0"/>
        <w:tabs>
          <w:tab w:val="left" w:pos="3998"/>
          <w:tab w:val="left" w:pos="6318"/>
        </w:tabs>
        <w:topLinePunct w:val="0"/>
        <w:bidi w:val="0"/>
        <w:spacing w:line="500" w:lineRule="exact"/>
        <w:ind w:left="0" w:leftChars="0" w:right="0" w:rightChars="0" w:firstLine="480" w:firstLineChars="200"/>
        <w:rPr>
          <w:rFonts w:hint="eastAsia"/>
          <w:color w:val="auto"/>
          <w:sz w:val="24"/>
          <w:szCs w:val="24"/>
        </w:rPr>
      </w:pPr>
      <w:r>
        <w:rPr>
          <w:rFonts w:hint="eastAsia"/>
          <w:color w:val="auto"/>
          <w:sz w:val="24"/>
          <w:szCs w:val="24"/>
          <w:lang w:val="en-US" w:eastAsia="zh-CN"/>
        </w:rPr>
        <w:t>日期：</w:t>
      </w:r>
      <w:r>
        <w:rPr>
          <w:rFonts w:hint="eastAsia"/>
          <w:color w:val="auto"/>
          <w:sz w:val="24"/>
          <w:szCs w:val="24"/>
        </w:rPr>
        <w:t xml:space="preserve">年 </w:t>
      </w:r>
      <w:r>
        <w:rPr>
          <w:rFonts w:hint="eastAsia"/>
          <w:color w:val="auto"/>
          <w:sz w:val="24"/>
          <w:szCs w:val="24"/>
          <w:lang w:val="en-US" w:eastAsia="zh-CN"/>
        </w:rPr>
        <w:t xml:space="preserve">  </w:t>
      </w:r>
      <w:r>
        <w:rPr>
          <w:rFonts w:hint="eastAsia"/>
          <w:color w:val="auto"/>
          <w:sz w:val="24"/>
          <w:szCs w:val="24"/>
        </w:rPr>
        <w:t xml:space="preserve">月 </w:t>
      </w:r>
      <w:r>
        <w:rPr>
          <w:rFonts w:hint="eastAsia"/>
          <w:color w:val="auto"/>
          <w:sz w:val="24"/>
          <w:szCs w:val="24"/>
          <w:lang w:val="en-US" w:eastAsia="zh-CN"/>
        </w:rPr>
        <w:t xml:space="preserve">  </w:t>
      </w:r>
      <w:r>
        <w:rPr>
          <w:rFonts w:hint="eastAsia"/>
          <w:color w:val="auto"/>
          <w:sz w:val="24"/>
          <w:szCs w:val="24"/>
        </w:rPr>
        <w:t>日</w:t>
      </w:r>
    </w:p>
    <w:p w14:paraId="1303B63D">
      <w:pPr>
        <w:pageBreakBefore w:val="0"/>
        <w:topLinePunct w:val="0"/>
        <w:bidi w:val="0"/>
        <w:spacing w:line="500" w:lineRule="exact"/>
        <w:ind w:right="0" w:rightChars="0"/>
        <w:rPr>
          <w:color w:val="auto"/>
        </w:rPr>
        <w:sectPr>
          <w:pgSz w:w="11910" w:h="16840"/>
          <w:pgMar w:top="1060" w:right="1020" w:bottom="1200" w:left="1040" w:header="872" w:footer="1005" w:gutter="0"/>
          <w:pgNumType w:fmt="decimal"/>
          <w:cols w:space="720" w:num="1"/>
        </w:sectPr>
      </w:pPr>
    </w:p>
    <w:p w14:paraId="0DE2975A">
      <w:pPr>
        <w:pageBreakBefore w:val="0"/>
        <w:topLinePunct w:val="0"/>
        <w:bidi w:val="0"/>
        <w:spacing w:line="500" w:lineRule="exact"/>
        <w:ind w:right="0" w:rightChars="0"/>
        <w:jc w:val="center"/>
        <w:rPr>
          <w:rFonts w:hint="eastAsia"/>
          <w:b/>
          <w:bCs/>
          <w:color w:val="auto"/>
          <w:sz w:val="32"/>
          <w:szCs w:val="32"/>
          <w:lang w:val="en-US" w:eastAsia="zh-CN"/>
        </w:rPr>
      </w:pPr>
      <w:r>
        <w:rPr>
          <w:rFonts w:hint="eastAsia"/>
          <w:b/>
          <w:bCs/>
          <w:color w:val="auto"/>
          <w:sz w:val="32"/>
          <w:szCs w:val="32"/>
          <w:lang w:val="en-US" w:eastAsia="zh-CN"/>
        </w:rPr>
        <w:t>合同包六</w:t>
      </w:r>
    </w:p>
    <w:p w14:paraId="26ADD053">
      <w:pPr>
        <w:pStyle w:val="12"/>
        <w:pageBreakBefore w:val="0"/>
        <w:topLinePunct w:val="0"/>
        <w:bidi w:val="0"/>
        <w:spacing w:line="500" w:lineRule="exact"/>
        <w:ind w:right="0" w:rightChars="0" w:firstLine="480" w:firstLineChars="200"/>
        <w:rPr>
          <w:color w:val="auto"/>
        </w:rPr>
      </w:pPr>
      <w:r>
        <w:rPr>
          <w:rFonts w:hint="eastAsia"/>
          <w:color w:val="auto"/>
          <w:lang w:val="en-US" w:eastAsia="zh-CN"/>
        </w:rPr>
        <w:t>项目名称</w:t>
      </w:r>
      <w:r>
        <w:rPr>
          <w:color w:val="auto"/>
        </w:rPr>
        <w:t>：</w:t>
      </w:r>
    </w:p>
    <w:tbl>
      <w:tblPr>
        <w:tblStyle w:val="23"/>
        <w:tblW w:w="9630" w:type="dxa"/>
        <w:tblInd w:w="19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73"/>
        <w:gridCol w:w="2223"/>
        <w:gridCol w:w="2024"/>
        <w:gridCol w:w="2070"/>
        <w:gridCol w:w="1340"/>
      </w:tblGrid>
      <w:tr w14:paraId="3C4B4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0" w:hRule="atLeast"/>
        </w:trPr>
        <w:tc>
          <w:tcPr>
            <w:tcW w:w="1973" w:type="dxa"/>
            <w:vAlign w:val="center"/>
          </w:tcPr>
          <w:p w14:paraId="16514DC5">
            <w:pPr>
              <w:pageBreakBefore w:val="0"/>
              <w:topLinePunct w:val="0"/>
              <w:bidi w:val="0"/>
              <w:spacing w:line="500" w:lineRule="exact"/>
              <w:ind w:left="0" w:leftChars="0" w:right="0" w:rightChars="0" w:firstLine="880" w:firstLineChars="400"/>
              <w:rPr>
                <w:rFonts w:hint="eastAsia"/>
                <w:color w:val="auto"/>
                <w:sz w:val="24"/>
                <w:szCs w:val="24"/>
              </w:rPr>
            </w:pPr>
            <w:r>
              <w:rPr>
                <w:color w:val="auto"/>
                <w:lang w:val="en-US" w:bidi="ar-SA"/>
              </w:rPr>
              <mc:AlternateContent>
                <mc:Choice Requires="wps">
                  <w:drawing>
                    <wp:anchor distT="0" distB="0" distL="114300" distR="114300" simplePos="0" relativeHeight="251684864" behindDoc="1" locked="0" layoutInCell="1" allowOverlap="1">
                      <wp:simplePos x="0" y="0"/>
                      <wp:positionH relativeFrom="page">
                        <wp:posOffset>8890</wp:posOffset>
                      </wp:positionH>
                      <wp:positionV relativeFrom="paragraph">
                        <wp:posOffset>635</wp:posOffset>
                      </wp:positionV>
                      <wp:extent cx="1254125" cy="635000"/>
                      <wp:effectExtent l="1905" t="4445" r="20320" b="8255"/>
                      <wp:wrapNone/>
                      <wp:docPr id="12" name="直线 6"/>
                      <wp:cNvGraphicFramePr/>
                      <a:graphic xmlns:a="http://schemas.openxmlformats.org/drawingml/2006/main">
                        <a:graphicData uri="http://schemas.microsoft.com/office/word/2010/wordprocessingShape">
                          <wps:wsp>
                            <wps:cNvCnPr/>
                            <wps:spPr>
                              <a:xfrm>
                                <a:off x="0" y="0"/>
                                <a:ext cx="1254125" cy="635000"/>
                              </a:xfrm>
                              <a:prstGeom prst="line">
                                <a:avLst/>
                              </a:prstGeom>
                              <a:ln w="6350" cap="flat" cmpd="sng">
                                <a:solidFill>
                                  <a:srgbClr val="000000"/>
                                </a:solidFill>
                                <a:prstDash val="solid"/>
                                <a:headEnd type="none" w="med" len="med"/>
                                <a:tailEnd type="none" w="med" len="med"/>
                              </a:ln>
                            </wps:spPr>
                            <wps:bodyPr/>
                          </wps:wsp>
                        </a:graphicData>
                      </a:graphic>
                    </wp:anchor>
                  </w:drawing>
                </mc:Choice>
                <mc:Fallback>
                  <w:pict>
                    <v:line id="直线 6" o:spid="_x0000_s1026" o:spt="20" style="position:absolute;left:0pt;margin-left:0.7pt;margin-top:0.05pt;height:50pt;width:98.75pt;mso-position-horizontal-relative:page;z-index:-251631616;mso-width-relative:page;mso-height-relative:page;" filled="f" stroked="t" coordsize="21600,21600" o:gfxdata="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yCDDRdEAAAAGAQAADwAAAAAA&#10;AAABACAAAAAiAAAAZHJzL2Rvd25yZXYueG1sUEsBAhQAFAAAAAgAh07iQDRY8x3hAQAA1QMAAA4A&#10;AAAAAAAAAQAgAAAAIAEAAGRycy9lMm9Eb2MueG1sUEsFBgAAAAAGAAYAWQEAAHMFAAAAAA==&#10;">
                      <v:fill on="f" focussize="0,0"/>
                      <v:stroke weight="0.5pt" color="#000000" joinstyle="round"/>
                      <v:imagedata o:title=""/>
                      <o:lock v:ext="edit" aspectratio="f"/>
                    </v:line>
                  </w:pict>
                </mc:Fallback>
              </mc:AlternateContent>
            </w:r>
            <w:r>
              <w:rPr>
                <w:rFonts w:hint="eastAsia"/>
                <w:color w:val="auto"/>
                <w:sz w:val="24"/>
                <w:szCs w:val="24"/>
              </w:rPr>
              <w:t>报价内容</w:t>
            </w:r>
          </w:p>
          <w:p w14:paraId="65D459FE">
            <w:pPr>
              <w:pageBreakBefore w:val="0"/>
              <w:topLinePunct w:val="0"/>
              <w:bidi w:val="0"/>
              <w:spacing w:line="500" w:lineRule="exact"/>
              <w:ind w:right="0" w:rightChars="0"/>
              <w:rPr>
                <w:color w:val="auto"/>
                <w:sz w:val="24"/>
                <w:szCs w:val="24"/>
              </w:rPr>
            </w:pPr>
            <w:r>
              <w:rPr>
                <w:rFonts w:hint="eastAsia"/>
                <w:color w:val="auto"/>
                <w:sz w:val="24"/>
                <w:szCs w:val="24"/>
              </w:rPr>
              <w:t>投标内容</w:t>
            </w:r>
          </w:p>
        </w:tc>
        <w:tc>
          <w:tcPr>
            <w:tcW w:w="2223" w:type="dxa"/>
            <w:tcBorders>
              <w:right w:val="single" w:color="000000" w:sz="4" w:space="0"/>
            </w:tcBorders>
            <w:vAlign w:val="center"/>
          </w:tcPr>
          <w:p w14:paraId="7213770A">
            <w:pPr>
              <w:pageBreakBefore w:val="0"/>
              <w:topLinePunct w:val="0"/>
              <w:bidi w:val="0"/>
              <w:spacing w:line="500" w:lineRule="exact"/>
              <w:ind w:right="0" w:rightChars="0"/>
              <w:jc w:val="center"/>
              <w:rPr>
                <w:color w:val="auto"/>
                <w:sz w:val="24"/>
                <w:szCs w:val="24"/>
              </w:rPr>
            </w:pPr>
            <w:r>
              <w:rPr>
                <w:rFonts w:hint="eastAsia"/>
                <w:color w:val="auto"/>
                <w:sz w:val="24"/>
                <w:szCs w:val="24"/>
                <w:lang w:val="en-US" w:eastAsia="zh-CN"/>
              </w:rPr>
              <w:t>所投产品</w:t>
            </w:r>
          </w:p>
        </w:tc>
        <w:tc>
          <w:tcPr>
            <w:tcW w:w="2024" w:type="dxa"/>
            <w:tcBorders>
              <w:right w:val="single" w:color="000000" w:sz="4" w:space="0"/>
            </w:tcBorders>
            <w:vAlign w:val="center"/>
          </w:tcPr>
          <w:p w14:paraId="7C9A1180">
            <w:pPr>
              <w:pageBreakBefore w:val="0"/>
              <w:topLinePunct w:val="0"/>
              <w:bidi w:val="0"/>
              <w:spacing w:line="500" w:lineRule="exact"/>
              <w:ind w:right="0" w:rightChars="0"/>
              <w:jc w:val="center"/>
              <w:rPr>
                <w:rFonts w:hint="default"/>
                <w:color w:val="auto"/>
                <w:sz w:val="24"/>
                <w:szCs w:val="24"/>
                <w:lang w:val="en-US"/>
              </w:rPr>
            </w:pPr>
            <w:r>
              <w:rPr>
                <w:rFonts w:hint="eastAsia"/>
                <w:color w:val="auto"/>
                <w:sz w:val="24"/>
                <w:szCs w:val="24"/>
                <w:lang w:val="en-US" w:eastAsia="zh-CN"/>
              </w:rPr>
              <w:t>投标报价（元）</w:t>
            </w:r>
          </w:p>
        </w:tc>
        <w:tc>
          <w:tcPr>
            <w:tcW w:w="2070" w:type="dxa"/>
            <w:tcBorders>
              <w:left w:val="single" w:color="000000" w:sz="4" w:space="0"/>
            </w:tcBorders>
            <w:vAlign w:val="center"/>
          </w:tcPr>
          <w:p w14:paraId="107F2A43">
            <w:pPr>
              <w:pageBreakBefore w:val="0"/>
              <w:topLinePunct w:val="0"/>
              <w:bidi w:val="0"/>
              <w:spacing w:line="500" w:lineRule="exact"/>
              <w:ind w:right="0" w:rightChars="0"/>
              <w:jc w:val="center"/>
              <w:rPr>
                <w:rFonts w:hint="default" w:eastAsia="宋体"/>
                <w:color w:val="auto"/>
                <w:sz w:val="24"/>
                <w:szCs w:val="24"/>
                <w:lang w:val="en-US" w:eastAsia="zh-CN"/>
              </w:rPr>
            </w:pPr>
            <w:r>
              <w:rPr>
                <w:rFonts w:hint="eastAsia"/>
                <w:color w:val="auto"/>
                <w:sz w:val="24"/>
                <w:szCs w:val="24"/>
                <w:lang w:val="en-US" w:eastAsia="zh-CN"/>
              </w:rPr>
              <w:t>优惠率</w:t>
            </w:r>
          </w:p>
        </w:tc>
        <w:tc>
          <w:tcPr>
            <w:tcW w:w="1340" w:type="dxa"/>
            <w:tcBorders>
              <w:left w:val="single" w:color="000000" w:sz="4" w:space="0"/>
            </w:tcBorders>
            <w:vAlign w:val="center"/>
          </w:tcPr>
          <w:p w14:paraId="056BF029">
            <w:pPr>
              <w:pageBreakBefore w:val="0"/>
              <w:topLinePunct w:val="0"/>
              <w:bidi w:val="0"/>
              <w:spacing w:line="500" w:lineRule="exact"/>
              <w:ind w:right="0" w:rightChars="0"/>
              <w:jc w:val="center"/>
              <w:rPr>
                <w:rFonts w:hint="eastAsia"/>
                <w:color w:val="auto"/>
                <w:sz w:val="24"/>
                <w:szCs w:val="24"/>
                <w:lang w:val="en-US" w:eastAsia="zh-CN"/>
              </w:rPr>
            </w:pPr>
            <w:r>
              <w:rPr>
                <w:rFonts w:hint="eastAsia"/>
                <w:color w:val="auto"/>
                <w:sz w:val="24"/>
                <w:szCs w:val="24"/>
                <w:lang w:val="en-US" w:eastAsia="zh-CN"/>
              </w:rPr>
              <w:t>供货期</w:t>
            </w:r>
          </w:p>
        </w:tc>
      </w:tr>
      <w:tr w14:paraId="578CC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96" w:hRule="atLeast"/>
        </w:trPr>
        <w:tc>
          <w:tcPr>
            <w:tcW w:w="1973" w:type="dxa"/>
            <w:vAlign w:val="center"/>
          </w:tcPr>
          <w:p w14:paraId="16AD07CA">
            <w:pPr>
              <w:pageBreakBefore w:val="0"/>
              <w:topLinePunct w:val="0"/>
              <w:bidi w:val="0"/>
              <w:spacing w:line="500" w:lineRule="exact"/>
              <w:ind w:right="0" w:rightChars="0"/>
              <w:jc w:val="center"/>
              <w:rPr>
                <w:rFonts w:hint="eastAsia"/>
                <w:color w:val="auto"/>
                <w:sz w:val="24"/>
                <w:szCs w:val="24"/>
              </w:rPr>
            </w:pPr>
            <w:r>
              <w:rPr>
                <w:rFonts w:hint="eastAsia"/>
                <w:color w:val="auto"/>
                <w:sz w:val="24"/>
                <w:szCs w:val="24"/>
              </w:rPr>
              <w:t>蔬菜、水果</w:t>
            </w:r>
            <w:r>
              <w:rPr>
                <w:rFonts w:hint="eastAsia"/>
                <w:color w:val="auto"/>
                <w:sz w:val="24"/>
                <w:szCs w:val="24"/>
                <w:lang w:eastAsia="zh-CN"/>
              </w:rPr>
              <w:t>、</w:t>
            </w:r>
            <w:r>
              <w:rPr>
                <w:rFonts w:hint="eastAsia"/>
                <w:color w:val="auto"/>
                <w:sz w:val="24"/>
                <w:szCs w:val="24"/>
              </w:rPr>
              <w:t>干货</w:t>
            </w:r>
            <w:r>
              <w:rPr>
                <w:rFonts w:hint="eastAsia"/>
                <w:color w:val="auto"/>
                <w:sz w:val="24"/>
                <w:szCs w:val="24"/>
                <w:lang w:eastAsia="zh-CN"/>
              </w:rPr>
              <w:t>、</w:t>
            </w:r>
            <w:r>
              <w:rPr>
                <w:rFonts w:hint="eastAsia"/>
                <w:color w:val="auto"/>
                <w:sz w:val="24"/>
                <w:szCs w:val="24"/>
              </w:rPr>
              <w:t>调味品</w:t>
            </w:r>
          </w:p>
        </w:tc>
        <w:tc>
          <w:tcPr>
            <w:tcW w:w="2223" w:type="dxa"/>
            <w:tcBorders>
              <w:right w:val="single" w:color="000000" w:sz="4" w:space="0"/>
            </w:tcBorders>
            <w:shd w:val="clear" w:color="auto" w:fill="auto"/>
            <w:vAlign w:val="center"/>
          </w:tcPr>
          <w:p w14:paraId="68379630">
            <w:pPr>
              <w:pageBreakBefore w:val="0"/>
              <w:topLinePunct w:val="0"/>
              <w:bidi w:val="0"/>
              <w:spacing w:line="500" w:lineRule="exact"/>
              <w:ind w:right="0" w:rightChars="0"/>
              <w:jc w:val="both"/>
              <w:rPr>
                <w:rFonts w:hint="eastAsia"/>
                <w:color w:val="auto"/>
                <w:sz w:val="24"/>
                <w:szCs w:val="24"/>
                <w:lang w:val="en-US" w:eastAsia="zh-CN"/>
              </w:rPr>
            </w:pPr>
            <w:r>
              <w:rPr>
                <w:rFonts w:hint="eastAsia"/>
                <w:color w:val="auto"/>
                <w:sz w:val="24"/>
                <w:szCs w:val="24"/>
                <w:lang w:val="en-US" w:eastAsia="zh-CN"/>
              </w:rPr>
              <w:t>品牌（如有）：</w:t>
            </w:r>
          </w:p>
          <w:p w14:paraId="036AB00C">
            <w:pPr>
              <w:pageBreakBefore w:val="0"/>
              <w:topLinePunct w:val="0"/>
              <w:bidi w:val="0"/>
              <w:spacing w:line="500" w:lineRule="exact"/>
              <w:ind w:right="0" w:rightChars="0"/>
              <w:jc w:val="both"/>
              <w:rPr>
                <w:rFonts w:hint="eastAsia" w:ascii="宋体" w:hAnsi="宋体" w:eastAsia="宋体" w:cs="宋体"/>
                <w:color w:val="auto"/>
                <w:sz w:val="24"/>
                <w:szCs w:val="24"/>
                <w:lang w:val="en-US" w:eastAsia="zh-CN" w:bidi="zh-CN"/>
              </w:rPr>
            </w:pPr>
            <w:r>
              <w:rPr>
                <w:rFonts w:hint="eastAsia"/>
                <w:color w:val="auto"/>
                <w:sz w:val="24"/>
                <w:szCs w:val="24"/>
                <w:lang w:val="en-US" w:eastAsia="zh-CN"/>
              </w:rPr>
              <w:t>生产商：</w:t>
            </w:r>
          </w:p>
        </w:tc>
        <w:tc>
          <w:tcPr>
            <w:tcW w:w="2024" w:type="dxa"/>
            <w:tcBorders>
              <w:right w:val="single" w:color="000000" w:sz="4" w:space="0"/>
            </w:tcBorders>
            <w:shd w:val="clear" w:color="auto" w:fill="auto"/>
            <w:vAlign w:val="center"/>
          </w:tcPr>
          <w:p w14:paraId="5192C122">
            <w:pPr>
              <w:pageBreakBefore w:val="0"/>
              <w:topLinePunct w:val="0"/>
              <w:bidi w:val="0"/>
              <w:spacing w:line="500" w:lineRule="exact"/>
              <w:ind w:left="0" w:leftChars="0" w:right="0" w:rightChars="0" w:firstLine="480" w:firstLineChars="200"/>
              <w:jc w:val="both"/>
              <w:rPr>
                <w:rFonts w:hint="default" w:ascii="宋体" w:hAnsi="宋体" w:eastAsia="宋体" w:cs="宋体"/>
                <w:color w:val="auto"/>
                <w:sz w:val="24"/>
                <w:szCs w:val="24"/>
                <w:u w:val="single"/>
                <w:lang w:val="en-US" w:eastAsia="zh-CN" w:bidi="zh-CN"/>
              </w:rPr>
            </w:pPr>
          </w:p>
        </w:tc>
        <w:tc>
          <w:tcPr>
            <w:tcW w:w="2070" w:type="dxa"/>
            <w:tcBorders>
              <w:left w:val="single" w:color="000000" w:sz="4" w:space="0"/>
            </w:tcBorders>
            <w:shd w:val="clear" w:color="auto" w:fill="auto"/>
            <w:vAlign w:val="center"/>
          </w:tcPr>
          <w:p w14:paraId="38B39848">
            <w:pPr>
              <w:pageBreakBefore w:val="0"/>
              <w:topLinePunct w:val="0"/>
              <w:bidi w:val="0"/>
              <w:spacing w:line="500" w:lineRule="exact"/>
              <w:ind w:left="0" w:leftChars="0" w:right="0" w:rightChars="0" w:firstLine="720" w:firstLineChars="300"/>
              <w:jc w:val="both"/>
              <w:rPr>
                <w:rFonts w:hint="eastAsia" w:ascii="宋体" w:hAnsi="宋体" w:eastAsia="宋体" w:cs="宋体"/>
                <w:color w:val="auto"/>
                <w:sz w:val="24"/>
                <w:szCs w:val="24"/>
                <w:lang w:val="en-US" w:eastAsia="zh-CN" w:bidi="zh-CN"/>
              </w:rPr>
            </w:pPr>
            <w:r>
              <w:rPr>
                <w:rFonts w:hint="eastAsia"/>
                <w:color w:val="auto"/>
                <w:sz w:val="24"/>
                <w:szCs w:val="24"/>
                <w:u w:val="single"/>
                <w:lang w:val="en-US" w:eastAsia="zh-CN"/>
              </w:rPr>
              <w:t xml:space="preserve">    </w:t>
            </w:r>
            <w:r>
              <w:rPr>
                <w:rFonts w:hint="eastAsia"/>
                <w:color w:val="auto"/>
                <w:sz w:val="24"/>
                <w:szCs w:val="24"/>
                <w:u w:val="none"/>
                <w:lang w:val="en-US" w:eastAsia="zh-CN"/>
              </w:rPr>
              <w:t>%</w:t>
            </w:r>
          </w:p>
        </w:tc>
        <w:tc>
          <w:tcPr>
            <w:tcW w:w="1340" w:type="dxa"/>
            <w:tcBorders>
              <w:left w:val="single" w:color="000000" w:sz="4" w:space="0"/>
            </w:tcBorders>
            <w:vAlign w:val="center"/>
          </w:tcPr>
          <w:p w14:paraId="2D158F93">
            <w:pPr>
              <w:pageBreakBefore w:val="0"/>
              <w:topLinePunct w:val="0"/>
              <w:bidi w:val="0"/>
              <w:spacing w:line="500" w:lineRule="exact"/>
              <w:ind w:left="0" w:leftChars="0" w:right="0" w:rightChars="0" w:firstLine="480" w:firstLineChars="200"/>
              <w:jc w:val="center"/>
              <w:rPr>
                <w:color w:val="auto"/>
                <w:sz w:val="24"/>
                <w:szCs w:val="24"/>
              </w:rPr>
            </w:pPr>
          </w:p>
        </w:tc>
      </w:tr>
      <w:tr w14:paraId="17E76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2" w:hRule="atLeast"/>
        </w:trPr>
        <w:tc>
          <w:tcPr>
            <w:tcW w:w="1973" w:type="dxa"/>
            <w:tcBorders>
              <w:top w:val="single" w:color="000000" w:sz="4" w:space="0"/>
            </w:tcBorders>
            <w:vAlign w:val="center"/>
          </w:tcPr>
          <w:p w14:paraId="0858EC28">
            <w:pPr>
              <w:pageBreakBefore w:val="0"/>
              <w:topLinePunct w:val="0"/>
              <w:bidi w:val="0"/>
              <w:spacing w:line="500" w:lineRule="exact"/>
              <w:ind w:right="0" w:rightChars="0"/>
              <w:jc w:val="center"/>
              <w:rPr>
                <w:rFonts w:hint="eastAsia" w:eastAsia="宋体"/>
                <w:color w:val="auto"/>
                <w:sz w:val="24"/>
                <w:szCs w:val="24"/>
                <w:lang w:val="en-US" w:eastAsia="zh-CN"/>
              </w:rPr>
            </w:pPr>
            <w:r>
              <w:rPr>
                <w:rFonts w:hint="eastAsia"/>
                <w:color w:val="auto"/>
                <w:sz w:val="24"/>
                <w:szCs w:val="24"/>
                <w:lang w:val="en-US" w:eastAsia="zh-CN"/>
              </w:rPr>
              <w:t>投标总报价（元）</w:t>
            </w:r>
          </w:p>
        </w:tc>
        <w:tc>
          <w:tcPr>
            <w:tcW w:w="7657" w:type="dxa"/>
            <w:gridSpan w:val="4"/>
            <w:tcBorders>
              <w:top w:val="single" w:color="000000" w:sz="4" w:space="0"/>
            </w:tcBorders>
            <w:vAlign w:val="center"/>
          </w:tcPr>
          <w:p w14:paraId="06A984FA">
            <w:pPr>
              <w:pageBreakBefore w:val="0"/>
              <w:topLinePunct w:val="0"/>
              <w:bidi w:val="0"/>
              <w:spacing w:line="500" w:lineRule="exact"/>
              <w:ind w:right="0" w:rightChars="0"/>
              <w:jc w:val="both"/>
              <w:rPr>
                <w:rFonts w:hint="eastAsia"/>
                <w:color w:val="auto"/>
                <w:sz w:val="24"/>
                <w:szCs w:val="24"/>
                <w:lang w:val="en-US" w:eastAsia="zh-CN"/>
              </w:rPr>
            </w:pPr>
            <w:r>
              <w:rPr>
                <w:rFonts w:hint="eastAsia"/>
                <w:color w:val="auto"/>
                <w:sz w:val="24"/>
                <w:szCs w:val="24"/>
                <w:lang w:val="en-US" w:eastAsia="zh-CN"/>
              </w:rPr>
              <w:t>大写：</w:t>
            </w:r>
          </w:p>
          <w:p w14:paraId="1A97446E">
            <w:pPr>
              <w:pStyle w:val="12"/>
              <w:pageBreakBefore w:val="0"/>
              <w:topLinePunct w:val="0"/>
              <w:bidi w:val="0"/>
              <w:spacing w:line="500" w:lineRule="exact"/>
              <w:ind w:right="0" w:rightChars="0"/>
              <w:rPr>
                <w:rFonts w:hint="default"/>
                <w:color w:val="auto"/>
                <w:lang w:val="en-US" w:eastAsia="zh-CN"/>
              </w:rPr>
            </w:pPr>
            <w:r>
              <w:rPr>
                <w:rFonts w:hint="eastAsia"/>
                <w:color w:val="auto"/>
                <w:sz w:val="24"/>
                <w:szCs w:val="24"/>
                <w:lang w:val="en-US" w:eastAsia="zh-CN"/>
              </w:rPr>
              <w:t>小写：</w:t>
            </w:r>
          </w:p>
        </w:tc>
      </w:tr>
      <w:tr w14:paraId="6FFED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16" w:hRule="atLeast"/>
        </w:trPr>
        <w:tc>
          <w:tcPr>
            <w:tcW w:w="9630" w:type="dxa"/>
            <w:gridSpan w:val="5"/>
            <w:vAlign w:val="center"/>
          </w:tcPr>
          <w:p w14:paraId="4B2DAA57">
            <w:pPr>
              <w:pageBreakBefore w:val="0"/>
              <w:topLinePunct w:val="0"/>
              <w:bidi w:val="0"/>
              <w:spacing w:line="500" w:lineRule="exact"/>
              <w:ind w:right="0" w:rightChars="0"/>
              <w:rPr>
                <w:rFonts w:hint="eastAsia"/>
                <w:b/>
                <w:bCs/>
                <w:color w:val="auto"/>
                <w:sz w:val="24"/>
                <w:szCs w:val="24"/>
              </w:rPr>
            </w:pPr>
            <w:r>
              <w:rPr>
                <w:rFonts w:hint="eastAsia"/>
                <w:b/>
                <w:bCs/>
                <w:color w:val="auto"/>
                <w:sz w:val="24"/>
                <w:szCs w:val="24"/>
              </w:rPr>
              <w:t>注：</w:t>
            </w:r>
          </w:p>
          <w:p w14:paraId="4C44134B">
            <w:pPr>
              <w:pStyle w:val="8"/>
              <w:pageBreakBefore w:val="0"/>
              <w:numPr>
                <w:ilvl w:val="0"/>
                <w:numId w:val="0"/>
              </w:numPr>
              <w:topLinePunct w:val="0"/>
              <w:bidi w:val="0"/>
              <w:spacing w:line="360" w:lineRule="auto"/>
              <w:ind w:left="0" w:leftChars="0" w:right="0" w:rightChars="0" w:firstLine="480" w:firstLineChars="200"/>
              <w:rPr>
                <w:rFonts w:hint="eastAsia"/>
                <w:b w:val="0"/>
                <w:bCs w:val="0"/>
                <w:color w:val="auto"/>
                <w:sz w:val="24"/>
                <w:szCs w:val="24"/>
                <w:lang w:val="en-US" w:eastAsia="zh-CN"/>
              </w:rPr>
            </w:pPr>
            <w:r>
              <w:rPr>
                <w:rFonts w:hint="eastAsia"/>
                <w:b w:val="0"/>
                <w:bCs w:val="0"/>
                <w:color w:val="auto"/>
                <w:sz w:val="24"/>
                <w:szCs w:val="24"/>
                <w:lang w:val="en-US" w:eastAsia="zh-CN"/>
              </w:rPr>
              <w:t>1.投标报价表中（全区营养午餐蔬菜、水果、干货及调味品）标明的价格为总价，最终结算价格单价因此类原辅料因价格市场行情波动较大，需采取市场采价确定。具体为汉滨区教体局联合区发改部门及各学校成立询价小组，选择在汉滨城区3家及以上大型商超及农贸市场进行询价。每月开展两次市场采价询价工作</w:t>
            </w:r>
            <w:r>
              <w:rPr>
                <w:rFonts w:hint="eastAsia" w:cs="宋体"/>
                <w:i w:val="0"/>
                <w:iCs w:val="0"/>
                <w:color w:val="auto"/>
                <w:sz w:val="24"/>
                <w:szCs w:val="24"/>
                <w:highlight w:val="none"/>
                <w:u w:val="none"/>
                <w:lang w:val="en-US" w:eastAsia="zh-CN"/>
              </w:rPr>
              <w:t>（调味品每学期采价一次）</w:t>
            </w:r>
            <w:r>
              <w:rPr>
                <w:rFonts w:hint="eastAsia"/>
                <w:b w:val="0"/>
                <w:bCs w:val="0"/>
                <w:color w:val="auto"/>
                <w:sz w:val="24"/>
                <w:szCs w:val="24"/>
                <w:lang w:val="en-US" w:eastAsia="zh-CN"/>
              </w:rPr>
              <w:t>，将每次所取的市场均价作为后半月的结算价。故每次结算单价的计算方式为：所取的市场均价为基准*（1-优惠率），依据实际供货量据实结算，</w:t>
            </w:r>
            <w:r>
              <w:rPr>
                <w:rFonts w:hint="eastAsia"/>
                <w:b/>
                <w:bCs/>
                <w:color w:val="auto"/>
                <w:sz w:val="24"/>
                <w:szCs w:val="24"/>
                <w:lang w:val="en-US" w:eastAsia="zh-CN"/>
              </w:rPr>
              <w:t>投标报价=本标段总预算*</w:t>
            </w:r>
            <w:r>
              <w:rPr>
                <w:rFonts w:hint="eastAsia" w:cs="宋体"/>
                <w:b/>
                <w:bCs/>
                <w:color w:val="auto"/>
                <w:sz w:val="24"/>
                <w:szCs w:val="24"/>
                <w:highlight w:val="none"/>
                <w:lang w:val="en-US" w:eastAsia="zh-CN"/>
              </w:rPr>
              <w:t>（</w:t>
            </w:r>
            <w:r>
              <w:rPr>
                <w:rFonts w:hint="eastAsia" w:cs="宋体"/>
                <w:b/>
                <w:bCs/>
                <w:i w:val="0"/>
                <w:iCs w:val="0"/>
                <w:color w:val="auto"/>
                <w:sz w:val="24"/>
                <w:szCs w:val="24"/>
                <w:shd w:val="clear" w:color="auto" w:fill="auto"/>
                <w:lang w:val="en-US" w:eastAsia="zh-CN"/>
              </w:rPr>
              <w:t>1-</w:t>
            </w:r>
            <w:r>
              <w:rPr>
                <w:rFonts w:hint="eastAsia" w:cs="宋体"/>
                <w:b/>
                <w:bCs/>
                <w:color w:val="auto"/>
                <w:sz w:val="24"/>
                <w:szCs w:val="24"/>
                <w:highlight w:val="none"/>
                <w:lang w:val="en-US" w:eastAsia="zh-CN"/>
              </w:rPr>
              <w:t>投标优惠率）</w:t>
            </w:r>
            <w:r>
              <w:rPr>
                <w:rFonts w:hint="eastAsia"/>
                <w:b w:val="0"/>
                <w:bCs w:val="0"/>
                <w:color w:val="auto"/>
                <w:sz w:val="24"/>
                <w:szCs w:val="24"/>
                <w:lang w:val="en-US" w:eastAsia="zh-CN"/>
              </w:rPr>
              <w:t>。</w:t>
            </w:r>
          </w:p>
          <w:p w14:paraId="0984A1D9">
            <w:pPr>
              <w:spacing w:line="360" w:lineRule="auto"/>
              <w:ind w:firstLine="482" w:firstLineChars="200"/>
              <w:rPr>
                <w:rFonts w:hint="eastAsia"/>
                <w:color w:val="auto"/>
                <w:lang w:val="en-US" w:eastAsia="zh-CN"/>
              </w:rPr>
            </w:pPr>
            <w:r>
              <w:rPr>
                <w:rFonts w:hint="eastAsia" w:cs="宋体"/>
                <w:b/>
                <w:bCs/>
                <w:color w:val="auto"/>
                <w:kern w:val="0"/>
                <w:sz w:val="24"/>
                <w:szCs w:val="24"/>
                <w:lang w:val="en-US" w:eastAsia="zh-CN" w:bidi="ar"/>
              </w:rPr>
              <w:t>2.报价时数量等相关数据参考本招标文件《第三章  招标采购内容及服务要求》的数据。</w:t>
            </w:r>
          </w:p>
          <w:p w14:paraId="45FA229C">
            <w:pPr>
              <w:pageBreakBefore w:val="0"/>
              <w:topLinePunct w:val="0"/>
              <w:bidi w:val="0"/>
              <w:spacing w:line="360" w:lineRule="auto"/>
              <w:ind w:left="0" w:leftChars="0" w:right="0" w:rightChars="0" w:firstLine="480" w:firstLineChars="200"/>
              <w:rPr>
                <w:rFonts w:hint="eastAsia"/>
                <w:color w:val="auto"/>
                <w:sz w:val="24"/>
                <w:szCs w:val="24"/>
              </w:rPr>
            </w:pPr>
            <w:r>
              <w:rPr>
                <w:rFonts w:hint="eastAsia"/>
                <w:color w:val="auto"/>
                <w:sz w:val="24"/>
                <w:szCs w:val="24"/>
                <w:lang w:val="en-US" w:eastAsia="zh-CN"/>
              </w:rPr>
              <w:t>3.报价应</w:t>
            </w:r>
            <w:r>
              <w:rPr>
                <w:rFonts w:hint="eastAsia"/>
                <w:color w:val="auto"/>
                <w:sz w:val="24"/>
                <w:szCs w:val="24"/>
              </w:rPr>
              <w:t>包括</w:t>
            </w:r>
            <w:r>
              <w:rPr>
                <w:rFonts w:hint="eastAsia"/>
                <w:color w:val="auto"/>
                <w:sz w:val="24"/>
                <w:szCs w:val="24"/>
                <w:lang w:eastAsia="zh-CN"/>
              </w:rPr>
              <w:t>涉及</w:t>
            </w:r>
            <w:r>
              <w:rPr>
                <w:rFonts w:hint="eastAsia"/>
                <w:color w:val="auto"/>
                <w:sz w:val="24"/>
                <w:szCs w:val="24"/>
              </w:rPr>
              <w:t>的食品采购、包装、运输、装卸、加工、供货服务期限、配送</w:t>
            </w:r>
            <w:r>
              <w:rPr>
                <w:rFonts w:hint="eastAsia"/>
                <w:color w:val="auto"/>
                <w:sz w:val="24"/>
                <w:szCs w:val="24"/>
                <w:lang w:eastAsia="zh-CN"/>
              </w:rPr>
              <w:t>（</w:t>
            </w:r>
            <w:r>
              <w:rPr>
                <w:rFonts w:hint="eastAsia"/>
                <w:color w:val="auto"/>
                <w:sz w:val="24"/>
                <w:szCs w:val="24"/>
              </w:rPr>
              <w:t>配送到指定学校地点</w:t>
            </w:r>
            <w:r>
              <w:rPr>
                <w:rFonts w:hint="eastAsia"/>
                <w:color w:val="auto"/>
                <w:sz w:val="24"/>
                <w:szCs w:val="24"/>
                <w:lang w:eastAsia="zh-CN"/>
              </w:rPr>
              <w:t>）</w:t>
            </w:r>
            <w:r>
              <w:rPr>
                <w:rFonts w:hint="eastAsia"/>
                <w:color w:val="auto"/>
                <w:sz w:val="24"/>
                <w:szCs w:val="24"/>
              </w:rPr>
              <w:t>、售后服务及国家按现行税收政策征收的一切税费等。</w:t>
            </w:r>
          </w:p>
          <w:p w14:paraId="360CAC80">
            <w:pPr>
              <w:pageBreakBefore w:val="0"/>
              <w:topLinePunct w:val="0"/>
              <w:bidi w:val="0"/>
              <w:spacing w:line="360" w:lineRule="auto"/>
              <w:ind w:left="0" w:leftChars="0" w:right="0" w:rightChars="0" w:firstLine="480" w:firstLineChars="200"/>
              <w:rPr>
                <w:rFonts w:hint="eastAsia"/>
                <w:color w:val="auto"/>
              </w:rPr>
            </w:pPr>
            <w:r>
              <w:rPr>
                <w:rFonts w:hint="eastAsia"/>
                <w:color w:val="auto"/>
                <w:sz w:val="24"/>
                <w:szCs w:val="24"/>
                <w:lang w:val="en-US" w:eastAsia="zh-CN"/>
              </w:rPr>
              <w:t>4.</w:t>
            </w:r>
            <w:r>
              <w:rPr>
                <w:rFonts w:hint="eastAsia"/>
                <w:color w:val="auto"/>
                <w:sz w:val="24"/>
                <w:szCs w:val="24"/>
              </w:rPr>
              <w:t>表内报价内容以元为单位，可精确到分。</w:t>
            </w:r>
          </w:p>
        </w:tc>
      </w:tr>
    </w:tbl>
    <w:p w14:paraId="2A5BA4B8">
      <w:pPr>
        <w:pageBreakBefore w:val="0"/>
        <w:topLinePunct w:val="0"/>
        <w:bidi w:val="0"/>
        <w:spacing w:line="500" w:lineRule="exact"/>
        <w:ind w:left="0" w:leftChars="0" w:right="0" w:rightChars="0" w:firstLine="480" w:firstLineChars="200"/>
        <w:jc w:val="center"/>
        <w:rPr>
          <w:color w:val="auto"/>
          <w:sz w:val="24"/>
          <w:szCs w:val="24"/>
        </w:rPr>
      </w:pPr>
    </w:p>
    <w:p w14:paraId="66FC042F">
      <w:pPr>
        <w:pageBreakBefore w:val="0"/>
        <w:topLinePunct w:val="0"/>
        <w:bidi w:val="0"/>
        <w:spacing w:line="500" w:lineRule="exact"/>
        <w:ind w:left="0" w:leftChars="0" w:right="0" w:rightChars="0" w:firstLine="480" w:firstLineChars="200"/>
        <w:jc w:val="both"/>
        <w:rPr>
          <w:rFonts w:hint="eastAsia"/>
          <w:color w:val="auto"/>
          <w:sz w:val="24"/>
          <w:szCs w:val="24"/>
          <w:lang w:val="en-US"/>
        </w:rPr>
      </w:pPr>
      <w:r>
        <w:rPr>
          <w:rFonts w:hint="eastAsia"/>
          <w:color w:val="auto"/>
          <w:sz w:val="24"/>
          <w:szCs w:val="24"/>
          <w:lang w:eastAsia="zh-CN"/>
        </w:rPr>
        <w:t>供应商（</w:t>
      </w:r>
      <w:r>
        <w:rPr>
          <w:rFonts w:hint="eastAsia"/>
          <w:color w:val="auto"/>
          <w:sz w:val="24"/>
          <w:szCs w:val="24"/>
          <w:lang w:val="en-US" w:eastAsia="zh-CN"/>
        </w:rPr>
        <w:t>公章</w:t>
      </w:r>
      <w:r>
        <w:rPr>
          <w:rFonts w:hint="eastAsia"/>
          <w:color w:val="auto"/>
          <w:sz w:val="24"/>
          <w:szCs w:val="24"/>
          <w:lang w:eastAsia="zh-CN"/>
        </w:rPr>
        <w:t>）：</w:t>
      </w:r>
    </w:p>
    <w:p w14:paraId="0C681878">
      <w:pPr>
        <w:pageBreakBefore w:val="0"/>
        <w:topLinePunct w:val="0"/>
        <w:bidi w:val="0"/>
        <w:spacing w:line="500" w:lineRule="exact"/>
        <w:ind w:left="0" w:leftChars="0" w:right="0" w:rightChars="0" w:firstLine="480" w:firstLineChars="200"/>
        <w:jc w:val="both"/>
        <w:rPr>
          <w:rFonts w:hint="eastAsia"/>
          <w:color w:val="auto"/>
          <w:sz w:val="24"/>
          <w:szCs w:val="24"/>
          <w:lang w:val="zh-CN" w:eastAsia="zh-CN"/>
        </w:rPr>
      </w:pPr>
      <w:r>
        <w:rPr>
          <w:rFonts w:hint="eastAsia"/>
          <w:color w:val="auto"/>
          <w:sz w:val="24"/>
          <w:szCs w:val="24"/>
          <w:lang w:val="en-US" w:eastAsia="zh-CN"/>
        </w:rPr>
        <w:t>法定代表人或授权委托人（签字或盖章）：</w:t>
      </w:r>
    </w:p>
    <w:p w14:paraId="3A9928E3">
      <w:pPr>
        <w:pStyle w:val="12"/>
        <w:pageBreakBefore w:val="0"/>
        <w:tabs>
          <w:tab w:val="left" w:pos="3998"/>
          <w:tab w:val="left" w:pos="6318"/>
        </w:tabs>
        <w:topLinePunct w:val="0"/>
        <w:bidi w:val="0"/>
        <w:spacing w:line="500" w:lineRule="exact"/>
        <w:ind w:left="0" w:leftChars="0" w:right="0" w:rightChars="0" w:firstLine="480" w:firstLineChars="200"/>
        <w:rPr>
          <w:color w:val="auto"/>
        </w:rPr>
        <w:sectPr>
          <w:pgSz w:w="11910" w:h="16840"/>
          <w:pgMar w:top="1060" w:right="1020" w:bottom="1200" w:left="1040" w:header="872" w:footer="1005" w:gutter="0"/>
          <w:pgNumType w:fmt="decimal"/>
          <w:cols w:space="720" w:num="1"/>
        </w:sectPr>
      </w:pPr>
      <w:r>
        <w:rPr>
          <w:rFonts w:hint="eastAsia"/>
          <w:color w:val="auto"/>
          <w:sz w:val="24"/>
          <w:szCs w:val="24"/>
          <w:lang w:val="en-US" w:eastAsia="zh-CN"/>
        </w:rPr>
        <w:t>日期：</w:t>
      </w:r>
      <w:r>
        <w:rPr>
          <w:rFonts w:hint="eastAsia"/>
          <w:color w:val="auto"/>
          <w:sz w:val="24"/>
          <w:szCs w:val="24"/>
        </w:rPr>
        <w:t xml:space="preserve">年 </w:t>
      </w:r>
      <w:r>
        <w:rPr>
          <w:rFonts w:hint="eastAsia"/>
          <w:color w:val="auto"/>
          <w:sz w:val="24"/>
          <w:szCs w:val="24"/>
          <w:lang w:val="en-US" w:eastAsia="zh-CN"/>
        </w:rPr>
        <w:t xml:space="preserve">  </w:t>
      </w:r>
      <w:r>
        <w:rPr>
          <w:rFonts w:hint="eastAsia"/>
          <w:color w:val="auto"/>
          <w:sz w:val="24"/>
          <w:szCs w:val="24"/>
        </w:rPr>
        <w:t xml:space="preserve">月 </w:t>
      </w:r>
      <w:r>
        <w:rPr>
          <w:rFonts w:hint="eastAsia"/>
          <w:color w:val="auto"/>
          <w:sz w:val="24"/>
          <w:szCs w:val="24"/>
          <w:lang w:val="en-US" w:eastAsia="zh-CN"/>
        </w:rPr>
        <w:t xml:space="preserve">  日  </w:t>
      </w:r>
    </w:p>
    <w:p w14:paraId="57F643E4">
      <w:pPr>
        <w:bidi w:val="0"/>
        <w:rPr>
          <w:rFonts w:hint="eastAsia"/>
          <w:lang w:val="zh-CN" w:eastAsia="zh-CN"/>
        </w:rPr>
      </w:pPr>
    </w:p>
    <w:p w14:paraId="71CC07DA">
      <w:pPr>
        <w:bidi w:val="0"/>
        <w:rPr>
          <w:rFonts w:hint="eastAsia"/>
          <w:lang w:val="zh-CN" w:eastAsia="zh-CN"/>
        </w:rPr>
      </w:pPr>
    </w:p>
    <w:p w14:paraId="667FBF55">
      <w:pPr>
        <w:pageBreakBefore w:val="0"/>
        <w:tabs>
          <w:tab w:val="left" w:pos="7647"/>
        </w:tabs>
        <w:topLinePunct w:val="0"/>
        <w:bidi w:val="0"/>
        <w:spacing w:line="500" w:lineRule="exact"/>
        <w:ind w:left="0" w:leftChars="0" w:right="0" w:rightChars="0" w:firstLine="723" w:firstLineChars="200"/>
        <w:jc w:val="center"/>
        <w:rPr>
          <w:rFonts w:hint="default" w:cs="宋体"/>
          <w:b/>
          <w:color w:val="auto"/>
          <w:sz w:val="36"/>
          <w:szCs w:val="22"/>
          <w:lang w:val="en-US" w:eastAsia="zh-CN" w:bidi="zh-CN"/>
        </w:rPr>
      </w:pPr>
      <w:r>
        <w:rPr>
          <w:rFonts w:hint="eastAsia" w:ascii="宋体" w:hAnsi="宋体" w:eastAsia="宋体" w:cs="宋体"/>
          <w:b/>
          <w:color w:val="auto"/>
          <w:sz w:val="36"/>
          <w:szCs w:val="22"/>
          <w:lang w:val="en-US" w:eastAsia="zh-CN" w:bidi="zh-CN"/>
        </w:rPr>
        <w:t>合同包一/二/三</w:t>
      </w:r>
      <w:r>
        <w:rPr>
          <w:rFonts w:hint="eastAsia" w:cs="宋体"/>
          <w:b/>
          <w:color w:val="auto"/>
          <w:sz w:val="36"/>
          <w:szCs w:val="22"/>
          <w:lang w:val="en-US" w:eastAsia="zh-CN" w:bidi="zh-CN"/>
        </w:rPr>
        <w:t>/四/五/六</w:t>
      </w:r>
    </w:p>
    <w:p w14:paraId="2296C672">
      <w:pPr>
        <w:pStyle w:val="12"/>
        <w:pageBreakBefore w:val="0"/>
        <w:topLinePunct w:val="0"/>
        <w:bidi w:val="0"/>
        <w:spacing w:line="500" w:lineRule="exact"/>
        <w:ind w:left="0" w:leftChars="0" w:right="0" w:rightChars="0" w:firstLine="723" w:firstLineChars="200"/>
        <w:jc w:val="center"/>
        <w:rPr>
          <w:b/>
          <w:color w:val="auto"/>
          <w:sz w:val="36"/>
        </w:rPr>
      </w:pPr>
      <w:r>
        <w:rPr>
          <w:b/>
          <w:color w:val="auto"/>
          <w:sz w:val="36"/>
        </w:rPr>
        <w:t>货物（产品）说明一览表</w:t>
      </w:r>
    </w:p>
    <w:p w14:paraId="6666BC9F">
      <w:pPr>
        <w:pageBreakBefore w:val="0"/>
        <w:topLinePunct w:val="0"/>
        <w:bidi w:val="0"/>
        <w:spacing w:line="500" w:lineRule="exact"/>
        <w:ind w:left="0" w:leftChars="0" w:right="0" w:rightChars="0" w:firstLine="480" w:firstLineChars="200"/>
        <w:rPr>
          <w:rFonts w:hint="eastAsia" w:eastAsia="宋体"/>
          <w:color w:val="auto"/>
          <w:sz w:val="24"/>
          <w:szCs w:val="24"/>
          <w:lang w:eastAsia="zh-CN"/>
        </w:rPr>
      </w:pPr>
      <w:r>
        <w:rPr>
          <w:rFonts w:hint="eastAsia"/>
          <w:color w:val="auto"/>
          <w:sz w:val="24"/>
          <w:szCs w:val="24"/>
          <w:lang w:eastAsia="zh-CN"/>
        </w:rPr>
        <w:t>供应商</w:t>
      </w:r>
      <w:r>
        <w:rPr>
          <w:rFonts w:hint="eastAsia"/>
          <w:color w:val="auto"/>
          <w:sz w:val="24"/>
          <w:szCs w:val="24"/>
        </w:rPr>
        <w:t>名称：</w:t>
      </w:r>
      <w:r>
        <w:rPr>
          <w:rFonts w:hint="eastAsia"/>
          <w:color w:val="auto"/>
          <w:sz w:val="24"/>
          <w:szCs w:val="24"/>
          <w:lang w:val="en-US"/>
        </w:rPr>
        <w:t xml:space="preserve">   </w:t>
      </w:r>
      <w:r>
        <w:rPr>
          <w:rFonts w:hint="eastAsia"/>
          <w:color w:val="auto"/>
          <w:sz w:val="24"/>
          <w:szCs w:val="24"/>
        </w:rPr>
        <w:tab/>
      </w:r>
      <w:r>
        <w:rPr>
          <w:rFonts w:hint="eastAsia"/>
          <w:color w:val="auto"/>
          <w:sz w:val="24"/>
          <w:szCs w:val="24"/>
          <w:lang w:val="en-US" w:eastAsia="zh-CN"/>
        </w:rPr>
        <w:t xml:space="preserve"> </w:t>
      </w:r>
    </w:p>
    <w:tbl>
      <w:tblPr>
        <w:tblStyle w:val="23"/>
        <w:tblW w:w="14695" w:type="dxa"/>
        <w:tblInd w:w="-354"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257"/>
        <w:gridCol w:w="2045"/>
        <w:gridCol w:w="1611"/>
        <w:gridCol w:w="1454"/>
        <w:gridCol w:w="1533"/>
        <w:gridCol w:w="1237"/>
        <w:gridCol w:w="1695"/>
        <w:gridCol w:w="1395"/>
        <w:gridCol w:w="1258"/>
        <w:gridCol w:w="1210"/>
      </w:tblGrid>
      <w:tr w14:paraId="465BA17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71" w:hRule="atLeast"/>
        </w:trPr>
        <w:tc>
          <w:tcPr>
            <w:tcW w:w="1257" w:type="dxa"/>
            <w:tcBorders>
              <w:bottom w:val="single" w:color="000000" w:sz="4" w:space="0"/>
              <w:right w:val="single" w:color="000000" w:sz="4" w:space="0"/>
            </w:tcBorders>
            <w:vAlign w:val="center"/>
          </w:tcPr>
          <w:p w14:paraId="442844D7">
            <w:pPr>
              <w:pageBreakBefore w:val="0"/>
              <w:topLinePunct w:val="0"/>
              <w:bidi w:val="0"/>
              <w:spacing w:line="500" w:lineRule="exact"/>
              <w:ind w:right="0" w:rightChars="0"/>
              <w:jc w:val="center"/>
              <w:rPr>
                <w:b/>
                <w:bCs/>
                <w:color w:val="auto"/>
                <w:sz w:val="24"/>
                <w:szCs w:val="24"/>
              </w:rPr>
            </w:pPr>
            <w:r>
              <w:rPr>
                <w:rFonts w:hint="eastAsia"/>
                <w:b/>
                <w:bCs/>
                <w:color w:val="auto"/>
                <w:sz w:val="24"/>
                <w:szCs w:val="24"/>
              </w:rPr>
              <w:t>序号</w:t>
            </w:r>
          </w:p>
        </w:tc>
        <w:tc>
          <w:tcPr>
            <w:tcW w:w="2045" w:type="dxa"/>
            <w:tcBorders>
              <w:left w:val="single" w:color="000000" w:sz="4" w:space="0"/>
              <w:bottom w:val="single" w:color="000000" w:sz="4" w:space="0"/>
              <w:right w:val="single" w:color="000000" w:sz="4" w:space="0"/>
            </w:tcBorders>
            <w:vAlign w:val="center"/>
          </w:tcPr>
          <w:p w14:paraId="79840E3D">
            <w:pPr>
              <w:pageBreakBefore w:val="0"/>
              <w:topLinePunct w:val="0"/>
              <w:bidi w:val="0"/>
              <w:spacing w:line="500" w:lineRule="exact"/>
              <w:ind w:right="0" w:rightChars="0"/>
              <w:jc w:val="center"/>
              <w:rPr>
                <w:b/>
                <w:bCs/>
                <w:color w:val="auto"/>
                <w:sz w:val="24"/>
                <w:szCs w:val="24"/>
              </w:rPr>
            </w:pPr>
            <w:r>
              <w:rPr>
                <w:rFonts w:hint="eastAsia"/>
                <w:b/>
                <w:bCs/>
                <w:color w:val="auto"/>
                <w:sz w:val="24"/>
                <w:szCs w:val="24"/>
              </w:rPr>
              <w:t>货物名称</w:t>
            </w:r>
          </w:p>
        </w:tc>
        <w:tc>
          <w:tcPr>
            <w:tcW w:w="1611" w:type="dxa"/>
            <w:tcBorders>
              <w:left w:val="single" w:color="000000" w:sz="4" w:space="0"/>
              <w:bottom w:val="single" w:color="000000" w:sz="4" w:space="0"/>
              <w:right w:val="single" w:color="000000" w:sz="4" w:space="0"/>
            </w:tcBorders>
            <w:vAlign w:val="center"/>
          </w:tcPr>
          <w:p w14:paraId="219DF00B">
            <w:pPr>
              <w:pageBreakBefore w:val="0"/>
              <w:tabs>
                <w:tab w:val="left" w:pos="550"/>
              </w:tabs>
              <w:topLinePunct w:val="0"/>
              <w:bidi w:val="0"/>
              <w:spacing w:line="500" w:lineRule="exact"/>
              <w:ind w:right="0" w:rightChars="0"/>
              <w:jc w:val="center"/>
              <w:rPr>
                <w:b/>
                <w:bCs/>
                <w:color w:val="auto"/>
                <w:sz w:val="24"/>
                <w:szCs w:val="24"/>
              </w:rPr>
            </w:pPr>
            <w:r>
              <w:rPr>
                <w:rFonts w:hint="eastAsia"/>
                <w:b/>
                <w:bCs/>
                <w:color w:val="auto"/>
                <w:sz w:val="24"/>
                <w:szCs w:val="24"/>
              </w:rPr>
              <w:t>品牌</w:t>
            </w:r>
          </w:p>
        </w:tc>
        <w:tc>
          <w:tcPr>
            <w:tcW w:w="1454" w:type="dxa"/>
            <w:tcBorders>
              <w:left w:val="single" w:color="000000" w:sz="4" w:space="0"/>
              <w:bottom w:val="single" w:color="000000" w:sz="4" w:space="0"/>
              <w:right w:val="single" w:color="000000" w:sz="4" w:space="0"/>
            </w:tcBorders>
            <w:vAlign w:val="center"/>
          </w:tcPr>
          <w:p w14:paraId="529642A4">
            <w:pPr>
              <w:pageBreakBefore w:val="0"/>
              <w:topLinePunct w:val="0"/>
              <w:bidi w:val="0"/>
              <w:spacing w:line="500" w:lineRule="exact"/>
              <w:ind w:right="0" w:rightChars="0"/>
              <w:jc w:val="center"/>
              <w:rPr>
                <w:b/>
                <w:bCs/>
                <w:color w:val="auto"/>
                <w:sz w:val="24"/>
                <w:szCs w:val="24"/>
              </w:rPr>
            </w:pPr>
            <w:r>
              <w:rPr>
                <w:rFonts w:hint="eastAsia"/>
                <w:b/>
                <w:bCs/>
                <w:color w:val="auto"/>
                <w:sz w:val="24"/>
                <w:szCs w:val="24"/>
              </w:rPr>
              <w:t>规格</w:t>
            </w:r>
          </w:p>
        </w:tc>
        <w:tc>
          <w:tcPr>
            <w:tcW w:w="1533" w:type="dxa"/>
            <w:tcBorders>
              <w:left w:val="single" w:color="000000" w:sz="4" w:space="0"/>
              <w:bottom w:val="single" w:color="000000" w:sz="4" w:space="0"/>
              <w:right w:val="single" w:color="000000" w:sz="4" w:space="0"/>
            </w:tcBorders>
            <w:vAlign w:val="center"/>
          </w:tcPr>
          <w:p w14:paraId="4AB56568">
            <w:pPr>
              <w:pageBreakBefore w:val="0"/>
              <w:topLinePunct w:val="0"/>
              <w:bidi w:val="0"/>
              <w:spacing w:line="500" w:lineRule="exact"/>
              <w:ind w:right="0" w:rightChars="0"/>
              <w:jc w:val="center"/>
              <w:rPr>
                <w:b/>
                <w:bCs/>
                <w:color w:val="auto"/>
                <w:sz w:val="24"/>
                <w:szCs w:val="24"/>
              </w:rPr>
            </w:pPr>
            <w:r>
              <w:rPr>
                <w:rFonts w:hint="eastAsia"/>
                <w:b/>
                <w:bCs/>
                <w:color w:val="auto"/>
                <w:sz w:val="24"/>
                <w:szCs w:val="24"/>
              </w:rPr>
              <w:t>制造厂商</w:t>
            </w:r>
          </w:p>
        </w:tc>
        <w:tc>
          <w:tcPr>
            <w:tcW w:w="1237" w:type="dxa"/>
            <w:tcBorders>
              <w:left w:val="single" w:color="000000" w:sz="4" w:space="0"/>
              <w:bottom w:val="single" w:color="000000" w:sz="4" w:space="0"/>
              <w:right w:val="single" w:color="000000" w:sz="4" w:space="0"/>
            </w:tcBorders>
            <w:vAlign w:val="center"/>
          </w:tcPr>
          <w:p w14:paraId="74145CC6">
            <w:pPr>
              <w:pageBreakBefore w:val="0"/>
              <w:topLinePunct w:val="0"/>
              <w:bidi w:val="0"/>
              <w:spacing w:line="500" w:lineRule="exact"/>
              <w:ind w:right="0" w:rightChars="0"/>
              <w:jc w:val="center"/>
              <w:rPr>
                <w:b/>
                <w:bCs/>
                <w:color w:val="auto"/>
                <w:sz w:val="24"/>
                <w:szCs w:val="24"/>
              </w:rPr>
            </w:pPr>
            <w:r>
              <w:rPr>
                <w:rFonts w:hint="eastAsia"/>
                <w:b/>
                <w:bCs/>
                <w:color w:val="auto"/>
                <w:sz w:val="24"/>
                <w:szCs w:val="24"/>
              </w:rPr>
              <w:t>数量/</w:t>
            </w:r>
          </w:p>
          <w:p w14:paraId="16AC5052">
            <w:pPr>
              <w:pageBreakBefore w:val="0"/>
              <w:topLinePunct w:val="0"/>
              <w:bidi w:val="0"/>
              <w:spacing w:line="500" w:lineRule="exact"/>
              <w:ind w:left="0" w:leftChars="0" w:right="0" w:rightChars="0" w:firstLine="482" w:firstLineChars="200"/>
              <w:jc w:val="center"/>
              <w:rPr>
                <w:b/>
                <w:bCs/>
                <w:color w:val="auto"/>
                <w:sz w:val="24"/>
                <w:szCs w:val="24"/>
              </w:rPr>
            </w:pPr>
            <w:r>
              <w:rPr>
                <w:rFonts w:hint="eastAsia"/>
                <w:b/>
                <w:bCs/>
                <w:color w:val="auto"/>
                <w:sz w:val="24"/>
                <w:szCs w:val="24"/>
              </w:rPr>
              <w:t>单位</w:t>
            </w:r>
          </w:p>
        </w:tc>
        <w:tc>
          <w:tcPr>
            <w:tcW w:w="1695" w:type="dxa"/>
            <w:tcBorders>
              <w:left w:val="single" w:color="000000" w:sz="4" w:space="0"/>
              <w:bottom w:val="single" w:color="000000" w:sz="4" w:space="0"/>
              <w:right w:val="single" w:color="000000" w:sz="4" w:space="0"/>
            </w:tcBorders>
            <w:vAlign w:val="center"/>
          </w:tcPr>
          <w:p w14:paraId="3A045B17">
            <w:pPr>
              <w:pageBreakBefore w:val="0"/>
              <w:topLinePunct w:val="0"/>
              <w:bidi w:val="0"/>
              <w:spacing w:line="500" w:lineRule="exact"/>
              <w:ind w:right="0" w:rightChars="0"/>
              <w:jc w:val="center"/>
              <w:rPr>
                <w:b/>
                <w:bCs/>
                <w:color w:val="auto"/>
                <w:sz w:val="24"/>
                <w:szCs w:val="24"/>
              </w:rPr>
            </w:pPr>
            <w:r>
              <w:rPr>
                <w:rFonts w:hint="eastAsia"/>
                <w:b/>
                <w:bCs/>
                <w:color w:val="auto"/>
                <w:sz w:val="24"/>
                <w:szCs w:val="24"/>
              </w:rPr>
              <w:t>执行标准</w:t>
            </w:r>
          </w:p>
        </w:tc>
        <w:tc>
          <w:tcPr>
            <w:tcW w:w="1395" w:type="dxa"/>
            <w:tcBorders>
              <w:left w:val="single" w:color="000000" w:sz="4" w:space="0"/>
              <w:bottom w:val="single" w:color="000000" w:sz="4" w:space="0"/>
              <w:right w:val="single" w:color="000000" w:sz="4" w:space="0"/>
            </w:tcBorders>
            <w:vAlign w:val="center"/>
          </w:tcPr>
          <w:p w14:paraId="5B2D7BDF">
            <w:pPr>
              <w:pageBreakBefore w:val="0"/>
              <w:topLinePunct w:val="0"/>
              <w:bidi w:val="0"/>
              <w:spacing w:line="500" w:lineRule="exact"/>
              <w:ind w:right="0" w:rightChars="0"/>
              <w:jc w:val="center"/>
              <w:rPr>
                <w:b/>
                <w:bCs/>
                <w:color w:val="auto"/>
                <w:sz w:val="24"/>
                <w:szCs w:val="24"/>
              </w:rPr>
            </w:pPr>
            <w:r>
              <w:rPr>
                <w:rFonts w:hint="eastAsia"/>
                <w:b/>
                <w:bCs/>
                <w:color w:val="auto"/>
                <w:sz w:val="24"/>
                <w:szCs w:val="24"/>
              </w:rPr>
              <w:t>供货期限</w:t>
            </w:r>
          </w:p>
        </w:tc>
        <w:tc>
          <w:tcPr>
            <w:tcW w:w="1258" w:type="dxa"/>
            <w:tcBorders>
              <w:left w:val="single" w:color="000000" w:sz="4" w:space="0"/>
              <w:bottom w:val="single" w:color="000000" w:sz="4" w:space="0"/>
              <w:right w:val="single" w:color="000000" w:sz="4" w:space="0"/>
            </w:tcBorders>
            <w:vAlign w:val="center"/>
          </w:tcPr>
          <w:p w14:paraId="715410D1">
            <w:pPr>
              <w:pageBreakBefore w:val="0"/>
              <w:topLinePunct w:val="0"/>
              <w:bidi w:val="0"/>
              <w:spacing w:line="500" w:lineRule="exact"/>
              <w:ind w:right="0" w:rightChars="0"/>
              <w:jc w:val="center"/>
              <w:rPr>
                <w:b/>
                <w:bCs/>
                <w:color w:val="auto"/>
                <w:sz w:val="24"/>
                <w:szCs w:val="24"/>
              </w:rPr>
            </w:pPr>
            <w:r>
              <w:rPr>
                <w:rFonts w:hint="eastAsia"/>
                <w:b/>
                <w:bCs/>
                <w:color w:val="auto"/>
                <w:sz w:val="24"/>
                <w:szCs w:val="24"/>
              </w:rPr>
              <w:t>保质期</w:t>
            </w:r>
          </w:p>
        </w:tc>
        <w:tc>
          <w:tcPr>
            <w:tcW w:w="1210" w:type="dxa"/>
            <w:tcBorders>
              <w:left w:val="single" w:color="000000" w:sz="4" w:space="0"/>
              <w:bottom w:val="single" w:color="000000" w:sz="4" w:space="0"/>
            </w:tcBorders>
            <w:vAlign w:val="center"/>
          </w:tcPr>
          <w:p w14:paraId="461D4D7F">
            <w:pPr>
              <w:pageBreakBefore w:val="0"/>
              <w:topLinePunct w:val="0"/>
              <w:bidi w:val="0"/>
              <w:spacing w:line="500" w:lineRule="exact"/>
              <w:ind w:right="0" w:rightChars="0"/>
              <w:jc w:val="center"/>
              <w:rPr>
                <w:b/>
                <w:bCs/>
                <w:color w:val="auto"/>
                <w:sz w:val="24"/>
                <w:szCs w:val="24"/>
              </w:rPr>
            </w:pPr>
            <w:r>
              <w:rPr>
                <w:rFonts w:hint="eastAsia"/>
                <w:b/>
                <w:bCs/>
                <w:color w:val="auto"/>
                <w:sz w:val="24"/>
                <w:szCs w:val="24"/>
              </w:rPr>
              <w:t>备注</w:t>
            </w:r>
          </w:p>
        </w:tc>
      </w:tr>
      <w:tr w14:paraId="1EDB525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44" w:hRule="atLeast"/>
        </w:trPr>
        <w:tc>
          <w:tcPr>
            <w:tcW w:w="1257" w:type="dxa"/>
            <w:tcBorders>
              <w:top w:val="single" w:color="000000" w:sz="4" w:space="0"/>
              <w:bottom w:val="single" w:color="000000" w:sz="4" w:space="0"/>
              <w:right w:val="single" w:color="000000" w:sz="4" w:space="0"/>
            </w:tcBorders>
          </w:tcPr>
          <w:p w14:paraId="66B0B4F3">
            <w:pPr>
              <w:pageBreakBefore w:val="0"/>
              <w:topLinePunct w:val="0"/>
              <w:bidi w:val="0"/>
              <w:spacing w:line="500" w:lineRule="exact"/>
              <w:ind w:left="0" w:leftChars="0" w:right="0" w:rightChars="0" w:firstLine="480" w:firstLineChars="200"/>
              <w:jc w:val="center"/>
              <w:rPr>
                <w:color w:val="auto"/>
                <w:sz w:val="24"/>
                <w:szCs w:val="24"/>
              </w:rPr>
            </w:pPr>
          </w:p>
        </w:tc>
        <w:tc>
          <w:tcPr>
            <w:tcW w:w="2045" w:type="dxa"/>
            <w:tcBorders>
              <w:top w:val="single" w:color="000000" w:sz="4" w:space="0"/>
              <w:left w:val="single" w:color="000000" w:sz="4" w:space="0"/>
              <w:bottom w:val="single" w:color="000000" w:sz="4" w:space="0"/>
              <w:right w:val="single" w:color="000000" w:sz="4" w:space="0"/>
            </w:tcBorders>
          </w:tcPr>
          <w:p w14:paraId="1CEBFA68">
            <w:pPr>
              <w:pageBreakBefore w:val="0"/>
              <w:topLinePunct w:val="0"/>
              <w:bidi w:val="0"/>
              <w:spacing w:line="500" w:lineRule="exact"/>
              <w:ind w:left="0" w:leftChars="0" w:right="0" w:rightChars="0" w:firstLine="480" w:firstLineChars="200"/>
              <w:jc w:val="center"/>
              <w:rPr>
                <w:color w:val="auto"/>
                <w:sz w:val="24"/>
                <w:szCs w:val="24"/>
              </w:rPr>
            </w:pPr>
          </w:p>
        </w:tc>
        <w:tc>
          <w:tcPr>
            <w:tcW w:w="1611" w:type="dxa"/>
            <w:tcBorders>
              <w:top w:val="single" w:color="000000" w:sz="4" w:space="0"/>
              <w:left w:val="single" w:color="000000" w:sz="4" w:space="0"/>
              <w:bottom w:val="single" w:color="000000" w:sz="4" w:space="0"/>
              <w:right w:val="single" w:color="000000" w:sz="4" w:space="0"/>
            </w:tcBorders>
          </w:tcPr>
          <w:p w14:paraId="6D44763B">
            <w:pPr>
              <w:pageBreakBefore w:val="0"/>
              <w:topLinePunct w:val="0"/>
              <w:bidi w:val="0"/>
              <w:spacing w:line="500" w:lineRule="exact"/>
              <w:ind w:left="0" w:leftChars="0" w:right="0" w:rightChars="0" w:firstLine="480" w:firstLineChars="200"/>
              <w:jc w:val="center"/>
              <w:rPr>
                <w:color w:val="auto"/>
                <w:sz w:val="24"/>
                <w:szCs w:val="24"/>
              </w:rPr>
            </w:pPr>
          </w:p>
        </w:tc>
        <w:tc>
          <w:tcPr>
            <w:tcW w:w="1454" w:type="dxa"/>
            <w:tcBorders>
              <w:top w:val="single" w:color="000000" w:sz="4" w:space="0"/>
              <w:left w:val="single" w:color="000000" w:sz="4" w:space="0"/>
              <w:bottom w:val="single" w:color="000000" w:sz="4" w:space="0"/>
              <w:right w:val="single" w:color="000000" w:sz="4" w:space="0"/>
            </w:tcBorders>
          </w:tcPr>
          <w:p w14:paraId="34CE0DC2">
            <w:pPr>
              <w:pageBreakBefore w:val="0"/>
              <w:topLinePunct w:val="0"/>
              <w:bidi w:val="0"/>
              <w:spacing w:line="500" w:lineRule="exact"/>
              <w:ind w:left="0" w:leftChars="0" w:right="0" w:rightChars="0" w:firstLine="480" w:firstLineChars="200"/>
              <w:jc w:val="center"/>
              <w:rPr>
                <w:color w:val="auto"/>
                <w:sz w:val="24"/>
                <w:szCs w:val="24"/>
              </w:rPr>
            </w:pPr>
          </w:p>
        </w:tc>
        <w:tc>
          <w:tcPr>
            <w:tcW w:w="1533" w:type="dxa"/>
            <w:tcBorders>
              <w:top w:val="single" w:color="000000" w:sz="4" w:space="0"/>
              <w:left w:val="single" w:color="000000" w:sz="4" w:space="0"/>
              <w:bottom w:val="single" w:color="000000" w:sz="4" w:space="0"/>
              <w:right w:val="single" w:color="000000" w:sz="4" w:space="0"/>
            </w:tcBorders>
          </w:tcPr>
          <w:p w14:paraId="59CC0C9C">
            <w:pPr>
              <w:pageBreakBefore w:val="0"/>
              <w:topLinePunct w:val="0"/>
              <w:bidi w:val="0"/>
              <w:spacing w:line="500" w:lineRule="exact"/>
              <w:ind w:left="0" w:leftChars="0" w:right="0" w:rightChars="0" w:firstLine="480" w:firstLineChars="200"/>
              <w:jc w:val="center"/>
              <w:rPr>
                <w:color w:val="auto"/>
                <w:sz w:val="24"/>
                <w:szCs w:val="24"/>
              </w:rPr>
            </w:pPr>
          </w:p>
        </w:tc>
        <w:tc>
          <w:tcPr>
            <w:tcW w:w="1237" w:type="dxa"/>
            <w:tcBorders>
              <w:top w:val="single" w:color="000000" w:sz="4" w:space="0"/>
              <w:left w:val="single" w:color="000000" w:sz="4" w:space="0"/>
              <w:bottom w:val="single" w:color="000000" w:sz="4" w:space="0"/>
              <w:right w:val="single" w:color="000000" w:sz="4" w:space="0"/>
            </w:tcBorders>
          </w:tcPr>
          <w:p w14:paraId="508809CB">
            <w:pPr>
              <w:pageBreakBefore w:val="0"/>
              <w:topLinePunct w:val="0"/>
              <w:bidi w:val="0"/>
              <w:spacing w:line="500" w:lineRule="exact"/>
              <w:ind w:left="0" w:leftChars="0" w:right="0" w:rightChars="0" w:firstLine="480" w:firstLineChars="200"/>
              <w:jc w:val="center"/>
              <w:rPr>
                <w:color w:val="auto"/>
                <w:sz w:val="24"/>
                <w:szCs w:val="24"/>
              </w:rPr>
            </w:pPr>
          </w:p>
        </w:tc>
        <w:tc>
          <w:tcPr>
            <w:tcW w:w="1695" w:type="dxa"/>
            <w:tcBorders>
              <w:top w:val="single" w:color="000000" w:sz="4" w:space="0"/>
              <w:left w:val="single" w:color="000000" w:sz="4" w:space="0"/>
              <w:bottom w:val="single" w:color="000000" w:sz="4" w:space="0"/>
              <w:right w:val="single" w:color="000000" w:sz="4" w:space="0"/>
            </w:tcBorders>
          </w:tcPr>
          <w:p w14:paraId="6EC311EE">
            <w:pPr>
              <w:pageBreakBefore w:val="0"/>
              <w:topLinePunct w:val="0"/>
              <w:bidi w:val="0"/>
              <w:spacing w:line="500" w:lineRule="exact"/>
              <w:ind w:left="0" w:leftChars="0" w:right="0" w:rightChars="0" w:firstLine="480" w:firstLineChars="200"/>
              <w:jc w:val="center"/>
              <w:rPr>
                <w:color w:val="auto"/>
                <w:sz w:val="24"/>
                <w:szCs w:val="24"/>
              </w:rPr>
            </w:pPr>
          </w:p>
        </w:tc>
        <w:tc>
          <w:tcPr>
            <w:tcW w:w="1395" w:type="dxa"/>
            <w:tcBorders>
              <w:top w:val="single" w:color="000000" w:sz="4" w:space="0"/>
              <w:left w:val="single" w:color="000000" w:sz="4" w:space="0"/>
              <w:bottom w:val="single" w:color="000000" w:sz="4" w:space="0"/>
              <w:right w:val="single" w:color="000000" w:sz="4" w:space="0"/>
            </w:tcBorders>
          </w:tcPr>
          <w:p w14:paraId="124AF1D5">
            <w:pPr>
              <w:pageBreakBefore w:val="0"/>
              <w:topLinePunct w:val="0"/>
              <w:bidi w:val="0"/>
              <w:spacing w:line="500" w:lineRule="exact"/>
              <w:ind w:left="0" w:leftChars="0" w:right="0" w:rightChars="0" w:firstLine="480" w:firstLineChars="200"/>
              <w:jc w:val="center"/>
              <w:rPr>
                <w:color w:val="auto"/>
                <w:sz w:val="24"/>
                <w:szCs w:val="24"/>
              </w:rPr>
            </w:pPr>
          </w:p>
        </w:tc>
        <w:tc>
          <w:tcPr>
            <w:tcW w:w="1258" w:type="dxa"/>
            <w:tcBorders>
              <w:top w:val="single" w:color="000000" w:sz="4" w:space="0"/>
              <w:left w:val="single" w:color="000000" w:sz="4" w:space="0"/>
              <w:bottom w:val="single" w:color="000000" w:sz="4" w:space="0"/>
              <w:right w:val="single" w:color="000000" w:sz="4" w:space="0"/>
            </w:tcBorders>
          </w:tcPr>
          <w:p w14:paraId="242C6A0E">
            <w:pPr>
              <w:pageBreakBefore w:val="0"/>
              <w:topLinePunct w:val="0"/>
              <w:bidi w:val="0"/>
              <w:spacing w:line="500" w:lineRule="exact"/>
              <w:ind w:left="0" w:leftChars="0" w:right="0" w:rightChars="0" w:firstLine="480" w:firstLineChars="200"/>
              <w:jc w:val="center"/>
              <w:rPr>
                <w:color w:val="auto"/>
                <w:sz w:val="24"/>
                <w:szCs w:val="24"/>
              </w:rPr>
            </w:pPr>
          </w:p>
        </w:tc>
        <w:tc>
          <w:tcPr>
            <w:tcW w:w="1210" w:type="dxa"/>
            <w:tcBorders>
              <w:top w:val="single" w:color="000000" w:sz="4" w:space="0"/>
              <w:left w:val="single" w:color="000000" w:sz="4" w:space="0"/>
              <w:bottom w:val="single" w:color="000000" w:sz="4" w:space="0"/>
            </w:tcBorders>
          </w:tcPr>
          <w:p w14:paraId="257FC77E">
            <w:pPr>
              <w:pageBreakBefore w:val="0"/>
              <w:topLinePunct w:val="0"/>
              <w:bidi w:val="0"/>
              <w:spacing w:line="500" w:lineRule="exact"/>
              <w:ind w:left="0" w:leftChars="0" w:right="0" w:rightChars="0" w:firstLine="480" w:firstLineChars="200"/>
              <w:jc w:val="center"/>
              <w:rPr>
                <w:color w:val="auto"/>
                <w:sz w:val="24"/>
                <w:szCs w:val="24"/>
              </w:rPr>
            </w:pPr>
          </w:p>
        </w:tc>
      </w:tr>
      <w:tr w14:paraId="3EBA53B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1" w:hRule="atLeast"/>
        </w:trPr>
        <w:tc>
          <w:tcPr>
            <w:tcW w:w="1257" w:type="dxa"/>
            <w:tcBorders>
              <w:top w:val="single" w:color="000000" w:sz="4" w:space="0"/>
              <w:bottom w:val="single" w:color="000000" w:sz="4" w:space="0"/>
              <w:right w:val="single" w:color="000000" w:sz="4" w:space="0"/>
            </w:tcBorders>
          </w:tcPr>
          <w:p w14:paraId="4039E617">
            <w:pPr>
              <w:pageBreakBefore w:val="0"/>
              <w:topLinePunct w:val="0"/>
              <w:bidi w:val="0"/>
              <w:spacing w:line="500" w:lineRule="exact"/>
              <w:ind w:left="0" w:leftChars="0" w:right="0" w:rightChars="0" w:firstLine="480" w:firstLineChars="200"/>
              <w:jc w:val="center"/>
              <w:rPr>
                <w:color w:val="auto"/>
                <w:sz w:val="24"/>
                <w:szCs w:val="24"/>
              </w:rPr>
            </w:pPr>
          </w:p>
        </w:tc>
        <w:tc>
          <w:tcPr>
            <w:tcW w:w="2045" w:type="dxa"/>
            <w:tcBorders>
              <w:top w:val="single" w:color="000000" w:sz="4" w:space="0"/>
              <w:left w:val="single" w:color="000000" w:sz="4" w:space="0"/>
              <w:bottom w:val="single" w:color="000000" w:sz="4" w:space="0"/>
              <w:right w:val="single" w:color="000000" w:sz="4" w:space="0"/>
            </w:tcBorders>
          </w:tcPr>
          <w:p w14:paraId="26CDC7BF">
            <w:pPr>
              <w:pageBreakBefore w:val="0"/>
              <w:topLinePunct w:val="0"/>
              <w:bidi w:val="0"/>
              <w:spacing w:line="500" w:lineRule="exact"/>
              <w:ind w:left="0" w:leftChars="0" w:right="0" w:rightChars="0" w:firstLine="480" w:firstLineChars="200"/>
              <w:jc w:val="center"/>
              <w:rPr>
                <w:color w:val="auto"/>
                <w:sz w:val="24"/>
                <w:szCs w:val="24"/>
              </w:rPr>
            </w:pPr>
          </w:p>
        </w:tc>
        <w:tc>
          <w:tcPr>
            <w:tcW w:w="1611" w:type="dxa"/>
            <w:tcBorders>
              <w:top w:val="single" w:color="000000" w:sz="4" w:space="0"/>
              <w:left w:val="single" w:color="000000" w:sz="4" w:space="0"/>
              <w:bottom w:val="single" w:color="000000" w:sz="4" w:space="0"/>
              <w:right w:val="single" w:color="000000" w:sz="4" w:space="0"/>
            </w:tcBorders>
          </w:tcPr>
          <w:p w14:paraId="192AFCA9">
            <w:pPr>
              <w:pageBreakBefore w:val="0"/>
              <w:topLinePunct w:val="0"/>
              <w:bidi w:val="0"/>
              <w:spacing w:line="500" w:lineRule="exact"/>
              <w:ind w:left="0" w:leftChars="0" w:right="0" w:rightChars="0" w:firstLine="480" w:firstLineChars="200"/>
              <w:jc w:val="center"/>
              <w:rPr>
                <w:color w:val="auto"/>
                <w:sz w:val="24"/>
                <w:szCs w:val="24"/>
              </w:rPr>
            </w:pPr>
          </w:p>
        </w:tc>
        <w:tc>
          <w:tcPr>
            <w:tcW w:w="1454" w:type="dxa"/>
            <w:tcBorders>
              <w:top w:val="single" w:color="000000" w:sz="4" w:space="0"/>
              <w:left w:val="single" w:color="000000" w:sz="4" w:space="0"/>
              <w:bottom w:val="single" w:color="000000" w:sz="4" w:space="0"/>
              <w:right w:val="single" w:color="000000" w:sz="4" w:space="0"/>
            </w:tcBorders>
          </w:tcPr>
          <w:p w14:paraId="24449A9F">
            <w:pPr>
              <w:pageBreakBefore w:val="0"/>
              <w:topLinePunct w:val="0"/>
              <w:bidi w:val="0"/>
              <w:spacing w:line="500" w:lineRule="exact"/>
              <w:ind w:left="0" w:leftChars="0" w:right="0" w:rightChars="0" w:firstLine="480" w:firstLineChars="200"/>
              <w:jc w:val="center"/>
              <w:rPr>
                <w:color w:val="auto"/>
                <w:sz w:val="24"/>
                <w:szCs w:val="24"/>
              </w:rPr>
            </w:pPr>
          </w:p>
        </w:tc>
        <w:tc>
          <w:tcPr>
            <w:tcW w:w="1533" w:type="dxa"/>
            <w:tcBorders>
              <w:top w:val="single" w:color="000000" w:sz="4" w:space="0"/>
              <w:left w:val="single" w:color="000000" w:sz="4" w:space="0"/>
              <w:bottom w:val="single" w:color="000000" w:sz="4" w:space="0"/>
              <w:right w:val="single" w:color="000000" w:sz="4" w:space="0"/>
            </w:tcBorders>
          </w:tcPr>
          <w:p w14:paraId="590FCB09">
            <w:pPr>
              <w:pageBreakBefore w:val="0"/>
              <w:topLinePunct w:val="0"/>
              <w:bidi w:val="0"/>
              <w:spacing w:line="500" w:lineRule="exact"/>
              <w:ind w:left="0" w:leftChars="0" w:right="0" w:rightChars="0" w:firstLine="480" w:firstLineChars="200"/>
              <w:jc w:val="center"/>
              <w:rPr>
                <w:color w:val="auto"/>
                <w:sz w:val="24"/>
                <w:szCs w:val="24"/>
              </w:rPr>
            </w:pPr>
          </w:p>
        </w:tc>
        <w:tc>
          <w:tcPr>
            <w:tcW w:w="1237" w:type="dxa"/>
            <w:tcBorders>
              <w:top w:val="single" w:color="000000" w:sz="4" w:space="0"/>
              <w:left w:val="single" w:color="000000" w:sz="4" w:space="0"/>
              <w:bottom w:val="single" w:color="000000" w:sz="4" w:space="0"/>
              <w:right w:val="single" w:color="000000" w:sz="4" w:space="0"/>
            </w:tcBorders>
          </w:tcPr>
          <w:p w14:paraId="417A8DE1">
            <w:pPr>
              <w:pageBreakBefore w:val="0"/>
              <w:topLinePunct w:val="0"/>
              <w:bidi w:val="0"/>
              <w:spacing w:line="500" w:lineRule="exact"/>
              <w:ind w:left="0" w:leftChars="0" w:right="0" w:rightChars="0" w:firstLine="480" w:firstLineChars="200"/>
              <w:jc w:val="center"/>
              <w:rPr>
                <w:color w:val="auto"/>
                <w:sz w:val="24"/>
                <w:szCs w:val="24"/>
              </w:rPr>
            </w:pPr>
          </w:p>
        </w:tc>
        <w:tc>
          <w:tcPr>
            <w:tcW w:w="1695" w:type="dxa"/>
            <w:tcBorders>
              <w:top w:val="single" w:color="000000" w:sz="4" w:space="0"/>
              <w:left w:val="single" w:color="000000" w:sz="4" w:space="0"/>
              <w:bottom w:val="single" w:color="000000" w:sz="4" w:space="0"/>
              <w:right w:val="single" w:color="000000" w:sz="4" w:space="0"/>
            </w:tcBorders>
          </w:tcPr>
          <w:p w14:paraId="7913FDD1">
            <w:pPr>
              <w:pageBreakBefore w:val="0"/>
              <w:topLinePunct w:val="0"/>
              <w:bidi w:val="0"/>
              <w:spacing w:line="500" w:lineRule="exact"/>
              <w:ind w:left="0" w:leftChars="0" w:right="0" w:rightChars="0" w:firstLine="480" w:firstLineChars="200"/>
              <w:jc w:val="center"/>
              <w:rPr>
                <w:color w:val="auto"/>
                <w:sz w:val="24"/>
                <w:szCs w:val="24"/>
              </w:rPr>
            </w:pPr>
          </w:p>
        </w:tc>
        <w:tc>
          <w:tcPr>
            <w:tcW w:w="1395" w:type="dxa"/>
            <w:tcBorders>
              <w:top w:val="single" w:color="000000" w:sz="4" w:space="0"/>
              <w:left w:val="single" w:color="000000" w:sz="4" w:space="0"/>
              <w:bottom w:val="single" w:color="000000" w:sz="4" w:space="0"/>
              <w:right w:val="single" w:color="000000" w:sz="4" w:space="0"/>
            </w:tcBorders>
          </w:tcPr>
          <w:p w14:paraId="2DC7535B">
            <w:pPr>
              <w:pageBreakBefore w:val="0"/>
              <w:topLinePunct w:val="0"/>
              <w:bidi w:val="0"/>
              <w:spacing w:line="500" w:lineRule="exact"/>
              <w:ind w:left="0" w:leftChars="0" w:right="0" w:rightChars="0" w:firstLine="480" w:firstLineChars="200"/>
              <w:jc w:val="center"/>
              <w:rPr>
                <w:color w:val="auto"/>
                <w:sz w:val="24"/>
                <w:szCs w:val="24"/>
              </w:rPr>
            </w:pPr>
          </w:p>
        </w:tc>
        <w:tc>
          <w:tcPr>
            <w:tcW w:w="1258" w:type="dxa"/>
            <w:tcBorders>
              <w:top w:val="single" w:color="000000" w:sz="4" w:space="0"/>
              <w:left w:val="single" w:color="000000" w:sz="4" w:space="0"/>
              <w:bottom w:val="single" w:color="000000" w:sz="4" w:space="0"/>
              <w:right w:val="single" w:color="000000" w:sz="4" w:space="0"/>
            </w:tcBorders>
          </w:tcPr>
          <w:p w14:paraId="3262A926">
            <w:pPr>
              <w:pageBreakBefore w:val="0"/>
              <w:topLinePunct w:val="0"/>
              <w:bidi w:val="0"/>
              <w:spacing w:line="500" w:lineRule="exact"/>
              <w:ind w:left="0" w:leftChars="0" w:right="0" w:rightChars="0" w:firstLine="480" w:firstLineChars="200"/>
              <w:jc w:val="center"/>
              <w:rPr>
                <w:color w:val="auto"/>
                <w:sz w:val="24"/>
                <w:szCs w:val="24"/>
              </w:rPr>
            </w:pPr>
          </w:p>
        </w:tc>
        <w:tc>
          <w:tcPr>
            <w:tcW w:w="1210" w:type="dxa"/>
            <w:tcBorders>
              <w:top w:val="single" w:color="000000" w:sz="4" w:space="0"/>
              <w:left w:val="single" w:color="000000" w:sz="4" w:space="0"/>
              <w:bottom w:val="single" w:color="000000" w:sz="4" w:space="0"/>
            </w:tcBorders>
          </w:tcPr>
          <w:p w14:paraId="7FB434A7">
            <w:pPr>
              <w:pageBreakBefore w:val="0"/>
              <w:topLinePunct w:val="0"/>
              <w:bidi w:val="0"/>
              <w:spacing w:line="500" w:lineRule="exact"/>
              <w:ind w:left="0" w:leftChars="0" w:right="0" w:rightChars="0" w:firstLine="480" w:firstLineChars="200"/>
              <w:jc w:val="center"/>
              <w:rPr>
                <w:color w:val="auto"/>
                <w:sz w:val="24"/>
                <w:szCs w:val="24"/>
              </w:rPr>
            </w:pPr>
          </w:p>
        </w:tc>
      </w:tr>
      <w:tr w14:paraId="6777BAE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7" w:hRule="atLeast"/>
        </w:trPr>
        <w:tc>
          <w:tcPr>
            <w:tcW w:w="1257" w:type="dxa"/>
            <w:tcBorders>
              <w:top w:val="single" w:color="000000" w:sz="4" w:space="0"/>
              <w:bottom w:val="single" w:color="000000" w:sz="4" w:space="0"/>
              <w:right w:val="single" w:color="000000" w:sz="4" w:space="0"/>
            </w:tcBorders>
          </w:tcPr>
          <w:p w14:paraId="63C63194">
            <w:pPr>
              <w:pageBreakBefore w:val="0"/>
              <w:topLinePunct w:val="0"/>
              <w:bidi w:val="0"/>
              <w:spacing w:line="500" w:lineRule="exact"/>
              <w:ind w:left="0" w:leftChars="0" w:right="0" w:rightChars="0" w:firstLine="480" w:firstLineChars="200"/>
              <w:jc w:val="center"/>
              <w:rPr>
                <w:color w:val="auto"/>
                <w:sz w:val="24"/>
                <w:szCs w:val="24"/>
              </w:rPr>
            </w:pPr>
          </w:p>
        </w:tc>
        <w:tc>
          <w:tcPr>
            <w:tcW w:w="2045" w:type="dxa"/>
            <w:tcBorders>
              <w:top w:val="single" w:color="000000" w:sz="4" w:space="0"/>
              <w:left w:val="single" w:color="000000" w:sz="4" w:space="0"/>
              <w:bottom w:val="single" w:color="000000" w:sz="4" w:space="0"/>
              <w:right w:val="single" w:color="000000" w:sz="4" w:space="0"/>
            </w:tcBorders>
          </w:tcPr>
          <w:p w14:paraId="6A4F1B90">
            <w:pPr>
              <w:pageBreakBefore w:val="0"/>
              <w:topLinePunct w:val="0"/>
              <w:bidi w:val="0"/>
              <w:spacing w:line="500" w:lineRule="exact"/>
              <w:ind w:left="0" w:leftChars="0" w:right="0" w:rightChars="0" w:firstLine="480" w:firstLineChars="200"/>
              <w:jc w:val="center"/>
              <w:rPr>
                <w:color w:val="auto"/>
                <w:sz w:val="24"/>
                <w:szCs w:val="24"/>
              </w:rPr>
            </w:pPr>
          </w:p>
        </w:tc>
        <w:tc>
          <w:tcPr>
            <w:tcW w:w="1611" w:type="dxa"/>
            <w:tcBorders>
              <w:top w:val="single" w:color="000000" w:sz="4" w:space="0"/>
              <w:left w:val="single" w:color="000000" w:sz="4" w:space="0"/>
              <w:bottom w:val="single" w:color="000000" w:sz="4" w:space="0"/>
              <w:right w:val="single" w:color="000000" w:sz="4" w:space="0"/>
            </w:tcBorders>
          </w:tcPr>
          <w:p w14:paraId="34781AC4">
            <w:pPr>
              <w:pageBreakBefore w:val="0"/>
              <w:topLinePunct w:val="0"/>
              <w:bidi w:val="0"/>
              <w:spacing w:line="500" w:lineRule="exact"/>
              <w:ind w:left="0" w:leftChars="0" w:right="0" w:rightChars="0" w:firstLine="480" w:firstLineChars="200"/>
              <w:jc w:val="center"/>
              <w:rPr>
                <w:color w:val="auto"/>
                <w:sz w:val="24"/>
                <w:szCs w:val="24"/>
              </w:rPr>
            </w:pPr>
          </w:p>
        </w:tc>
        <w:tc>
          <w:tcPr>
            <w:tcW w:w="1454" w:type="dxa"/>
            <w:tcBorders>
              <w:top w:val="single" w:color="000000" w:sz="4" w:space="0"/>
              <w:left w:val="single" w:color="000000" w:sz="4" w:space="0"/>
              <w:bottom w:val="single" w:color="000000" w:sz="4" w:space="0"/>
              <w:right w:val="single" w:color="000000" w:sz="4" w:space="0"/>
            </w:tcBorders>
          </w:tcPr>
          <w:p w14:paraId="080D204E">
            <w:pPr>
              <w:pageBreakBefore w:val="0"/>
              <w:topLinePunct w:val="0"/>
              <w:bidi w:val="0"/>
              <w:spacing w:line="500" w:lineRule="exact"/>
              <w:ind w:left="0" w:leftChars="0" w:right="0" w:rightChars="0" w:firstLine="480" w:firstLineChars="200"/>
              <w:jc w:val="center"/>
              <w:rPr>
                <w:color w:val="auto"/>
                <w:sz w:val="24"/>
                <w:szCs w:val="24"/>
              </w:rPr>
            </w:pPr>
          </w:p>
        </w:tc>
        <w:tc>
          <w:tcPr>
            <w:tcW w:w="1533" w:type="dxa"/>
            <w:tcBorders>
              <w:top w:val="single" w:color="000000" w:sz="4" w:space="0"/>
              <w:left w:val="single" w:color="000000" w:sz="4" w:space="0"/>
              <w:bottom w:val="single" w:color="000000" w:sz="4" w:space="0"/>
              <w:right w:val="single" w:color="000000" w:sz="4" w:space="0"/>
            </w:tcBorders>
          </w:tcPr>
          <w:p w14:paraId="775214AC">
            <w:pPr>
              <w:pageBreakBefore w:val="0"/>
              <w:topLinePunct w:val="0"/>
              <w:bidi w:val="0"/>
              <w:spacing w:line="500" w:lineRule="exact"/>
              <w:ind w:left="0" w:leftChars="0" w:right="0" w:rightChars="0" w:firstLine="480" w:firstLineChars="200"/>
              <w:jc w:val="center"/>
              <w:rPr>
                <w:color w:val="auto"/>
                <w:sz w:val="24"/>
                <w:szCs w:val="24"/>
              </w:rPr>
            </w:pPr>
          </w:p>
        </w:tc>
        <w:tc>
          <w:tcPr>
            <w:tcW w:w="1237" w:type="dxa"/>
            <w:tcBorders>
              <w:top w:val="single" w:color="000000" w:sz="4" w:space="0"/>
              <w:left w:val="single" w:color="000000" w:sz="4" w:space="0"/>
              <w:bottom w:val="single" w:color="000000" w:sz="4" w:space="0"/>
              <w:right w:val="single" w:color="000000" w:sz="4" w:space="0"/>
            </w:tcBorders>
          </w:tcPr>
          <w:p w14:paraId="7FB92542">
            <w:pPr>
              <w:pageBreakBefore w:val="0"/>
              <w:topLinePunct w:val="0"/>
              <w:bidi w:val="0"/>
              <w:spacing w:line="500" w:lineRule="exact"/>
              <w:ind w:left="0" w:leftChars="0" w:right="0" w:rightChars="0" w:firstLine="480" w:firstLineChars="200"/>
              <w:jc w:val="center"/>
              <w:rPr>
                <w:color w:val="auto"/>
                <w:sz w:val="24"/>
                <w:szCs w:val="24"/>
              </w:rPr>
            </w:pPr>
          </w:p>
        </w:tc>
        <w:tc>
          <w:tcPr>
            <w:tcW w:w="1695" w:type="dxa"/>
            <w:tcBorders>
              <w:top w:val="single" w:color="000000" w:sz="4" w:space="0"/>
              <w:left w:val="single" w:color="000000" w:sz="4" w:space="0"/>
              <w:bottom w:val="single" w:color="000000" w:sz="4" w:space="0"/>
              <w:right w:val="single" w:color="000000" w:sz="4" w:space="0"/>
            </w:tcBorders>
          </w:tcPr>
          <w:p w14:paraId="0521BDC6">
            <w:pPr>
              <w:pageBreakBefore w:val="0"/>
              <w:topLinePunct w:val="0"/>
              <w:bidi w:val="0"/>
              <w:spacing w:line="500" w:lineRule="exact"/>
              <w:ind w:left="0" w:leftChars="0" w:right="0" w:rightChars="0" w:firstLine="480" w:firstLineChars="200"/>
              <w:jc w:val="center"/>
              <w:rPr>
                <w:color w:val="auto"/>
                <w:sz w:val="24"/>
                <w:szCs w:val="24"/>
              </w:rPr>
            </w:pPr>
          </w:p>
        </w:tc>
        <w:tc>
          <w:tcPr>
            <w:tcW w:w="1395" w:type="dxa"/>
            <w:tcBorders>
              <w:top w:val="single" w:color="000000" w:sz="4" w:space="0"/>
              <w:left w:val="single" w:color="000000" w:sz="4" w:space="0"/>
              <w:bottom w:val="single" w:color="000000" w:sz="4" w:space="0"/>
              <w:right w:val="single" w:color="000000" w:sz="4" w:space="0"/>
            </w:tcBorders>
          </w:tcPr>
          <w:p w14:paraId="7F12AA35">
            <w:pPr>
              <w:pageBreakBefore w:val="0"/>
              <w:topLinePunct w:val="0"/>
              <w:bidi w:val="0"/>
              <w:spacing w:line="500" w:lineRule="exact"/>
              <w:ind w:left="0" w:leftChars="0" w:right="0" w:rightChars="0" w:firstLine="480" w:firstLineChars="200"/>
              <w:jc w:val="center"/>
              <w:rPr>
                <w:color w:val="auto"/>
                <w:sz w:val="24"/>
                <w:szCs w:val="24"/>
              </w:rPr>
            </w:pPr>
          </w:p>
        </w:tc>
        <w:tc>
          <w:tcPr>
            <w:tcW w:w="1258" w:type="dxa"/>
            <w:tcBorders>
              <w:top w:val="single" w:color="000000" w:sz="4" w:space="0"/>
              <w:left w:val="single" w:color="000000" w:sz="4" w:space="0"/>
              <w:bottom w:val="single" w:color="000000" w:sz="4" w:space="0"/>
              <w:right w:val="single" w:color="000000" w:sz="4" w:space="0"/>
            </w:tcBorders>
          </w:tcPr>
          <w:p w14:paraId="050942C0">
            <w:pPr>
              <w:pageBreakBefore w:val="0"/>
              <w:topLinePunct w:val="0"/>
              <w:bidi w:val="0"/>
              <w:spacing w:line="500" w:lineRule="exact"/>
              <w:ind w:left="0" w:leftChars="0" w:right="0" w:rightChars="0" w:firstLine="480" w:firstLineChars="200"/>
              <w:jc w:val="center"/>
              <w:rPr>
                <w:color w:val="auto"/>
                <w:sz w:val="24"/>
                <w:szCs w:val="24"/>
              </w:rPr>
            </w:pPr>
          </w:p>
        </w:tc>
        <w:tc>
          <w:tcPr>
            <w:tcW w:w="1210" w:type="dxa"/>
            <w:tcBorders>
              <w:top w:val="single" w:color="000000" w:sz="4" w:space="0"/>
              <w:left w:val="single" w:color="000000" w:sz="4" w:space="0"/>
              <w:bottom w:val="single" w:color="000000" w:sz="4" w:space="0"/>
            </w:tcBorders>
          </w:tcPr>
          <w:p w14:paraId="1783AE5E">
            <w:pPr>
              <w:pageBreakBefore w:val="0"/>
              <w:topLinePunct w:val="0"/>
              <w:bidi w:val="0"/>
              <w:spacing w:line="500" w:lineRule="exact"/>
              <w:ind w:left="0" w:leftChars="0" w:right="0" w:rightChars="0" w:firstLine="480" w:firstLineChars="200"/>
              <w:jc w:val="center"/>
              <w:rPr>
                <w:color w:val="auto"/>
                <w:sz w:val="24"/>
                <w:szCs w:val="24"/>
              </w:rPr>
            </w:pPr>
          </w:p>
        </w:tc>
      </w:tr>
      <w:tr w14:paraId="7F283FC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08" w:hRule="atLeast"/>
        </w:trPr>
        <w:tc>
          <w:tcPr>
            <w:tcW w:w="1257" w:type="dxa"/>
            <w:tcBorders>
              <w:top w:val="single" w:color="000000" w:sz="4" w:space="0"/>
              <w:bottom w:val="single" w:color="000000" w:sz="4" w:space="0"/>
              <w:right w:val="single" w:color="000000" w:sz="4" w:space="0"/>
            </w:tcBorders>
          </w:tcPr>
          <w:p w14:paraId="5DF31D5E">
            <w:pPr>
              <w:pageBreakBefore w:val="0"/>
              <w:topLinePunct w:val="0"/>
              <w:bidi w:val="0"/>
              <w:spacing w:line="500" w:lineRule="exact"/>
              <w:ind w:left="0" w:leftChars="0" w:right="0" w:rightChars="0" w:firstLine="480" w:firstLineChars="200"/>
              <w:jc w:val="center"/>
              <w:rPr>
                <w:color w:val="auto"/>
                <w:sz w:val="24"/>
                <w:szCs w:val="24"/>
              </w:rPr>
            </w:pPr>
          </w:p>
        </w:tc>
        <w:tc>
          <w:tcPr>
            <w:tcW w:w="2045" w:type="dxa"/>
            <w:tcBorders>
              <w:top w:val="single" w:color="000000" w:sz="4" w:space="0"/>
              <w:left w:val="single" w:color="000000" w:sz="4" w:space="0"/>
              <w:bottom w:val="single" w:color="000000" w:sz="4" w:space="0"/>
              <w:right w:val="single" w:color="000000" w:sz="4" w:space="0"/>
            </w:tcBorders>
          </w:tcPr>
          <w:p w14:paraId="6CB7A362">
            <w:pPr>
              <w:pageBreakBefore w:val="0"/>
              <w:topLinePunct w:val="0"/>
              <w:bidi w:val="0"/>
              <w:spacing w:line="500" w:lineRule="exact"/>
              <w:ind w:left="0" w:leftChars="0" w:right="0" w:rightChars="0" w:firstLine="480" w:firstLineChars="200"/>
              <w:jc w:val="center"/>
              <w:rPr>
                <w:color w:val="auto"/>
                <w:sz w:val="24"/>
                <w:szCs w:val="24"/>
              </w:rPr>
            </w:pPr>
          </w:p>
        </w:tc>
        <w:tc>
          <w:tcPr>
            <w:tcW w:w="1611" w:type="dxa"/>
            <w:tcBorders>
              <w:top w:val="single" w:color="000000" w:sz="4" w:space="0"/>
              <w:left w:val="single" w:color="000000" w:sz="4" w:space="0"/>
              <w:bottom w:val="single" w:color="000000" w:sz="4" w:space="0"/>
              <w:right w:val="single" w:color="000000" w:sz="4" w:space="0"/>
            </w:tcBorders>
          </w:tcPr>
          <w:p w14:paraId="7A11EE9D">
            <w:pPr>
              <w:pageBreakBefore w:val="0"/>
              <w:topLinePunct w:val="0"/>
              <w:bidi w:val="0"/>
              <w:spacing w:line="500" w:lineRule="exact"/>
              <w:ind w:left="0" w:leftChars="0" w:right="0" w:rightChars="0" w:firstLine="480" w:firstLineChars="200"/>
              <w:jc w:val="center"/>
              <w:rPr>
                <w:color w:val="auto"/>
                <w:sz w:val="24"/>
                <w:szCs w:val="24"/>
              </w:rPr>
            </w:pPr>
          </w:p>
        </w:tc>
        <w:tc>
          <w:tcPr>
            <w:tcW w:w="1454" w:type="dxa"/>
            <w:tcBorders>
              <w:top w:val="single" w:color="000000" w:sz="4" w:space="0"/>
              <w:left w:val="single" w:color="000000" w:sz="4" w:space="0"/>
              <w:bottom w:val="single" w:color="000000" w:sz="4" w:space="0"/>
              <w:right w:val="single" w:color="000000" w:sz="4" w:space="0"/>
            </w:tcBorders>
          </w:tcPr>
          <w:p w14:paraId="01F961F6">
            <w:pPr>
              <w:pageBreakBefore w:val="0"/>
              <w:topLinePunct w:val="0"/>
              <w:bidi w:val="0"/>
              <w:spacing w:line="500" w:lineRule="exact"/>
              <w:ind w:left="0" w:leftChars="0" w:right="0" w:rightChars="0" w:firstLine="480" w:firstLineChars="200"/>
              <w:jc w:val="center"/>
              <w:rPr>
                <w:color w:val="auto"/>
                <w:sz w:val="24"/>
                <w:szCs w:val="24"/>
              </w:rPr>
            </w:pPr>
          </w:p>
        </w:tc>
        <w:tc>
          <w:tcPr>
            <w:tcW w:w="1533" w:type="dxa"/>
            <w:tcBorders>
              <w:top w:val="single" w:color="000000" w:sz="4" w:space="0"/>
              <w:left w:val="single" w:color="000000" w:sz="4" w:space="0"/>
              <w:bottom w:val="single" w:color="000000" w:sz="4" w:space="0"/>
              <w:right w:val="single" w:color="000000" w:sz="4" w:space="0"/>
            </w:tcBorders>
          </w:tcPr>
          <w:p w14:paraId="6B4645F7">
            <w:pPr>
              <w:pageBreakBefore w:val="0"/>
              <w:topLinePunct w:val="0"/>
              <w:bidi w:val="0"/>
              <w:spacing w:line="500" w:lineRule="exact"/>
              <w:ind w:left="0" w:leftChars="0" w:right="0" w:rightChars="0" w:firstLine="480" w:firstLineChars="200"/>
              <w:jc w:val="center"/>
              <w:rPr>
                <w:color w:val="auto"/>
                <w:sz w:val="24"/>
                <w:szCs w:val="24"/>
              </w:rPr>
            </w:pPr>
          </w:p>
        </w:tc>
        <w:tc>
          <w:tcPr>
            <w:tcW w:w="1237" w:type="dxa"/>
            <w:tcBorders>
              <w:top w:val="single" w:color="000000" w:sz="4" w:space="0"/>
              <w:left w:val="single" w:color="000000" w:sz="4" w:space="0"/>
              <w:bottom w:val="single" w:color="000000" w:sz="4" w:space="0"/>
              <w:right w:val="single" w:color="000000" w:sz="4" w:space="0"/>
            </w:tcBorders>
          </w:tcPr>
          <w:p w14:paraId="59C621C6">
            <w:pPr>
              <w:pageBreakBefore w:val="0"/>
              <w:topLinePunct w:val="0"/>
              <w:bidi w:val="0"/>
              <w:spacing w:line="500" w:lineRule="exact"/>
              <w:ind w:left="0" w:leftChars="0" w:right="0" w:rightChars="0" w:firstLine="480" w:firstLineChars="200"/>
              <w:jc w:val="center"/>
              <w:rPr>
                <w:color w:val="auto"/>
                <w:sz w:val="24"/>
                <w:szCs w:val="24"/>
              </w:rPr>
            </w:pPr>
          </w:p>
        </w:tc>
        <w:tc>
          <w:tcPr>
            <w:tcW w:w="1695" w:type="dxa"/>
            <w:tcBorders>
              <w:top w:val="single" w:color="000000" w:sz="4" w:space="0"/>
              <w:left w:val="single" w:color="000000" w:sz="4" w:space="0"/>
              <w:bottom w:val="single" w:color="000000" w:sz="4" w:space="0"/>
              <w:right w:val="single" w:color="000000" w:sz="4" w:space="0"/>
            </w:tcBorders>
          </w:tcPr>
          <w:p w14:paraId="04418A1F">
            <w:pPr>
              <w:pageBreakBefore w:val="0"/>
              <w:topLinePunct w:val="0"/>
              <w:bidi w:val="0"/>
              <w:spacing w:line="500" w:lineRule="exact"/>
              <w:ind w:left="0" w:leftChars="0" w:right="0" w:rightChars="0" w:firstLine="480" w:firstLineChars="200"/>
              <w:jc w:val="center"/>
              <w:rPr>
                <w:color w:val="auto"/>
                <w:sz w:val="24"/>
                <w:szCs w:val="24"/>
              </w:rPr>
            </w:pPr>
          </w:p>
        </w:tc>
        <w:tc>
          <w:tcPr>
            <w:tcW w:w="1395" w:type="dxa"/>
            <w:tcBorders>
              <w:top w:val="single" w:color="000000" w:sz="4" w:space="0"/>
              <w:left w:val="single" w:color="000000" w:sz="4" w:space="0"/>
              <w:bottom w:val="single" w:color="000000" w:sz="4" w:space="0"/>
              <w:right w:val="single" w:color="000000" w:sz="4" w:space="0"/>
            </w:tcBorders>
          </w:tcPr>
          <w:p w14:paraId="357EEDE9">
            <w:pPr>
              <w:pageBreakBefore w:val="0"/>
              <w:topLinePunct w:val="0"/>
              <w:bidi w:val="0"/>
              <w:spacing w:line="500" w:lineRule="exact"/>
              <w:ind w:left="0" w:leftChars="0" w:right="0" w:rightChars="0" w:firstLine="480" w:firstLineChars="200"/>
              <w:jc w:val="center"/>
              <w:rPr>
                <w:color w:val="auto"/>
                <w:sz w:val="24"/>
                <w:szCs w:val="24"/>
              </w:rPr>
            </w:pPr>
          </w:p>
        </w:tc>
        <w:tc>
          <w:tcPr>
            <w:tcW w:w="1258" w:type="dxa"/>
            <w:tcBorders>
              <w:top w:val="single" w:color="000000" w:sz="4" w:space="0"/>
              <w:left w:val="single" w:color="000000" w:sz="4" w:space="0"/>
              <w:bottom w:val="single" w:color="000000" w:sz="4" w:space="0"/>
              <w:right w:val="single" w:color="000000" w:sz="4" w:space="0"/>
            </w:tcBorders>
          </w:tcPr>
          <w:p w14:paraId="27CED85F">
            <w:pPr>
              <w:pageBreakBefore w:val="0"/>
              <w:topLinePunct w:val="0"/>
              <w:bidi w:val="0"/>
              <w:spacing w:line="500" w:lineRule="exact"/>
              <w:ind w:left="0" w:leftChars="0" w:right="0" w:rightChars="0" w:firstLine="480" w:firstLineChars="200"/>
              <w:jc w:val="center"/>
              <w:rPr>
                <w:color w:val="auto"/>
                <w:sz w:val="24"/>
                <w:szCs w:val="24"/>
              </w:rPr>
            </w:pPr>
          </w:p>
        </w:tc>
        <w:tc>
          <w:tcPr>
            <w:tcW w:w="1210" w:type="dxa"/>
            <w:tcBorders>
              <w:top w:val="single" w:color="000000" w:sz="4" w:space="0"/>
              <w:left w:val="single" w:color="000000" w:sz="4" w:space="0"/>
              <w:bottom w:val="single" w:color="000000" w:sz="4" w:space="0"/>
            </w:tcBorders>
          </w:tcPr>
          <w:p w14:paraId="33D902D5">
            <w:pPr>
              <w:pageBreakBefore w:val="0"/>
              <w:topLinePunct w:val="0"/>
              <w:bidi w:val="0"/>
              <w:spacing w:line="500" w:lineRule="exact"/>
              <w:ind w:left="0" w:leftChars="0" w:right="0" w:rightChars="0" w:firstLine="480" w:firstLineChars="200"/>
              <w:jc w:val="center"/>
              <w:rPr>
                <w:color w:val="auto"/>
                <w:sz w:val="24"/>
                <w:szCs w:val="24"/>
              </w:rPr>
            </w:pPr>
          </w:p>
        </w:tc>
      </w:tr>
      <w:tr w14:paraId="7373235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04" w:hRule="atLeast"/>
        </w:trPr>
        <w:tc>
          <w:tcPr>
            <w:tcW w:w="1257" w:type="dxa"/>
            <w:tcBorders>
              <w:top w:val="single" w:color="000000" w:sz="4" w:space="0"/>
              <w:right w:val="single" w:color="000000" w:sz="4" w:space="0"/>
            </w:tcBorders>
          </w:tcPr>
          <w:p w14:paraId="3550EE2C">
            <w:pPr>
              <w:pageBreakBefore w:val="0"/>
              <w:topLinePunct w:val="0"/>
              <w:bidi w:val="0"/>
              <w:spacing w:line="500" w:lineRule="exact"/>
              <w:ind w:left="0" w:leftChars="0" w:right="0" w:rightChars="0" w:firstLine="480" w:firstLineChars="200"/>
              <w:jc w:val="center"/>
              <w:rPr>
                <w:color w:val="auto"/>
                <w:sz w:val="24"/>
                <w:szCs w:val="24"/>
              </w:rPr>
            </w:pPr>
          </w:p>
        </w:tc>
        <w:tc>
          <w:tcPr>
            <w:tcW w:w="2045" w:type="dxa"/>
            <w:tcBorders>
              <w:top w:val="single" w:color="000000" w:sz="4" w:space="0"/>
              <w:left w:val="single" w:color="000000" w:sz="4" w:space="0"/>
              <w:right w:val="single" w:color="000000" w:sz="4" w:space="0"/>
            </w:tcBorders>
          </w:tcPr>
          <w:p w14:paraId="70E9C1C9">
            <w:pPr>
              <w:pageBreakBefore w:val="0"/>
              <w:topLinePunct w:val="0"/>
              <w:bidi w:val="0"/>
              <w:spacing w:line="500" w:lineRule="exact"/>
              <w:ind w:left="0" w:leftChars="0" w:right="0" w:rightChars="0" w:firstLine="480" w:firstLineChars="200"/>
              <w:jc w:val="center"/>
              <w:rPr>
                <w:color w:val="auto"/>
                <w:sz w:val="24"/>
                <w:szCs w:val="24"/>
              </w:rPr>
            </w:pPr>
          </w:p>
        </w:tc>
        <w:tc>
          <w:tcPr>
            <w:tcW w:w="1611" w:type="dxa"/>
            <w:tcBorders>
              <w:top w:val="single" w:color="000000" w:sz="4" w:space="0"/>
              <w:left w:val="single" w:color="000000" w:sz="4" w:space="0"/>
              <w:right w:val="single" w:color="000000" w:sz="4" w:space="0"/>
            </w:tcBorders>
          </w:tcPr>
          <w:p w14:paraId="77AFA232">
            <w:pPr>
              <w:pageBreakBefore w:val="0"/>
              <w:topLinePunct w:val="0"/>
              <w:bidi w:val="0"/>
              <w:spacing w:line="500" w:lineRule="exact"/>
              <w:ind w:left="0" w:leftChars="0" w:right="0" w:rightChars="0" w:firstLine="480" w:firstLineChars="200"/>
              <w:jc w:val="center"/>
              <w:rPr>
                <w:color w:val="auto"/>
                <w:sz w:val="24"/>
                <w:szCs w:val="24"/>
              </w:rPr>
            </w:pPr>
          </w:p>
        </w:tc>
        <w:tc>
          <w:tcPr>
            <w:tcW w:w="1454" w:type="dxa"/>
            <w:tcBorders>
              <w:top w:val="single" w:color="000000" w:sz="4" w:space="0"/>
              <w:left w:val="single" w:color="000000" w:sz="4" w:space="0"/>
              <w:right w:val="single" w:color="000000" w:sz="4" w:space="0"/>
            </w:tcBorders>
          </w:tcPr>
          <w:p w14:paraId="48E13A01">
            <w:pPr>
              <w:pageBreakBefore w:val="0"/>
              <w:topLinePunct w:val="0"/>
              <w:bidi w:val="0"/>
              <w:spacing w:line="500" w:lineRule="exact"/>
              <w:ind w:left="0" w:leftChars="0" w:right="0" w:rightChars="0" w:firstLine="480" w:firstLineChars="200"/>
              <w:jc w:val="center"/>
              <w:rPr>
                <w:color w:val="auto"/>
                <w:sz w:val="24"/>
                <w:szCs w:val="24"/>
              </w:rPr>
            </w:pPr>
          </w:p>
        </w:tc>
        <w:tc>
          <w:tcPr>
            <w:tcW w:w="1533" w:type="dxa"/>
            <w:tcBorders>
              <w:top w:val="single" w:color="000000" w:sz="4" w:space="0"/>
              <w:left w:val="single" w:color="000000" w:sz="4" w:space="0"/>
              <w:right w:val="single" w:color="000000" w:sz="4" w:space="0"/>
            </w:tcBorders>
          </w:tcPr>
          <w:p w14:paraId="4D27DDBE">
            <w:pPr>
              <w:pageBreakBefore w:val="0"/>
              <w:topLinePunct w:val="0"/>
              <w:bidi w:val="0"/>
              <w:spacing w:line="500" w:lineRule="exact"/>
              <w:ind w:left="0" w:leftChars="0" w:right="0" w:rightChars="0" w:firstLine="480" w:firstLineChars="200"/>
              <w:jc w:val="center"/>
              <w:rPr>
                <w:color w:val="auto"/>
                <w:sz w:val="24"/>
                <w:szCs w:val="24"/>
              </w:rPr>
            </w:pPr>
          </w:p>
        </w:tc>
        <w:tc>
          <w:tcPr>
            <w:tcW w:w="1237" w:type="dxa"/>
            <w:tcBorders>
              <w:top w:val="single" w:color="000000" w:sz="4" w:space="0"/>
              <w:left w:val="single" w:color="000000" w:sz="4" w:space="0"/>
              <w:right w:val="single" w:color="000000" w:sz="4" w:space="0"/>
            </w:tcBorders>
          </w:tcPr>
          <w:p w14:paraId="1488A761">
            <w:pPr>
              <w:pageBreakBefore w:val="0"/>
              <w:topLinePunct w:val="0"/>
              <w:bidi w:val="0"/>
              <w:spacing w:line="500" w:lineRule="exact"/>
              <w:ind w:left="0" w:leftChars="0" w:right="0" w:rightChars="0" w:firstLine="480" w:firstLineChars="200"/>
              <w:jc w:val="center"/>
              <w:rPr>
                <w:color w:val="auto"/>
                <w:sz w:val="24"/>
                <w:szCs w:val="24"/>
              </w:rPr>
            </w:pPr>
          </w:p>
        </w:tc>
        <w:tc>
          <w:tcPr>
            <w:tcW w:w="1695" w:type="dxa"/>
            <w:tcBorders>
              <w:top w:val="single" w:color="000000" w:sz="4" w:space="0"/>
              <w:left w:val="single" w:color="000000" w:sz="4" w:space="0"/>
              <w:right w:val="single" w:color="000000" w:sz="4" w:space="0"/>
            </w:tcBorders>
          </w:tcPr>
          <w:p w14:paraId="7C93C7FF">
            <w:pPr>
              <w:pageBreakBefore w:val="0"/>
              <w:topLinePunct w:val="0"/>
              <w:bidi w:val="0"/>
              <w:spacing w:line="500" w:lineRule="exact"/>
              <w:ind w:left="0" w:leftChars="0" w:right="0" w:rightChars="0" w:firstLine="480" w:firstLineChars="200"/>
              <w:jc w:val="center"/>
              <w:rPr>
                <w:color w:val="auto"/>
                <w:sz w:val="24"/>
                <w:szCs w:val="24"/>
              </w:rPr>
            </w:pPr>
          </w:p>
        </w:tc>
        <w:tc>
          <w:tcPr>
            <w:tcW w:w="1395" w:type="dxa"/>
            <w:tcBorders>
              <w:top w:val="single" w:color="000000" w:sz="4" w:space="0"/>
              <w:left w:val="single" w:color="000000" w:sz="4" w:space="0"/>
              <w:right w:val="single" w:color="000000" w:sz="4" w:space="0"/>
            </w:tcBorders>
          </w:tcPr>
          <w:p w14:paraId="3759AF95">
            <w:pPr>
              <w:pageBreakBefore w:val="0"/>
              <w:topLinePunct w:val="0"/>
              <w:bidi w:val="0"/>
              <w:spacing w:line="500" w:lineRule="exact"/>
              <w:ind w:left="0" w:leftChars="0" w:right="0" w:rightChars="0" w:firstLine="480" w:firstLineChars="200"/>
              <w:jc w:val="center"/>
              <w:rPr>
                <w:color w:val="auto"/>
                <w:sz w:val="24"/>
                <w:szCs w:val="24"/>
              </w:rPr>
            </w:pPr>
          </w:p>
        </w:tc>
        <w:tc>
          <w:tcPr>
            <w:tcW w:w="1258" w:type="dxa"/>
            <w:tcBorders>
              <w:top w:val="single" w:color="000000" w:sz="4" w:space="0"/>
              <w:left w:val="single" w:color="000000" w:sz="4" w:space="0"/>
              <w:right w:val="single" w:color="000000" w:sz="4" w:space="0"/>
            </w:tcBorders>
          </w:tcPr>
          <w:p w14:paraId="0E9B12BA">
            <w:pPr>
              <w:pageBreakBefore w:val="0"/>
              <w:topLinePunct w:val="0"/>
              <w:bidi w:val="0"/>
              <w:spacing w:line="500" w:lineRule="exact"/>
              <w:ind w:left="0" w:leftChars="0" w:right="0" w:rightChars="0" w:firstLine="480" w:firstLineChars="200"/>
              <w:jc w:val="center"/>
              <w:rPr>
                <w:color w:val="auto"/>
                <w:sz w:val="24"/>
                <w:szCs w:val="24"/>
              </w:rPr>
            </w:pPr>
          </w:p>
        </w:tc>
        <w:tc>
          <w:tcPr>
            <w:tcW w:w="1210" w:type="dxa"/>
            <w:tcBorders>
              <w:top w:val="single" w:color="000000" w:sz="4" w:space="0"/>
              <w:left w:val="single" w:color="000000" w:sz="4" w:space="0"/>
            </w:tcBorders>
          </w:tcPr>
          <w:p w14:paraId="4CAD0D00">
            <w:pPr>
              <w:pageBreakBefore w:val="0"/>
              <w:topLinePunct w:val="0"/>
              <w:bidi w:val="0"/>
              <w:spacing w:line="500" w:lineRule="exact"/>
              <w:ind w:left="0" w:leftChars="0" w:right="0" w:rightChars="0" w:firstLine="480" w:firstLineChars="200"/>
              <w:jc w:val="center"/>
              <w:rPr>
                <w:color w:val="auto"/>
                <w:sz w:val="24"/>
                <w:szCs w:val="24"/>
              </w:rPr>
            </w:pPr>
          </w:p>
        </w:tc>
      </w:tr>
    </w:tbl>
    <w:p w14:paraId="5E1D1D6F">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说明</w:t>
      </w:r>
    </w:p>
    <w:p w14:paraId="10634B26">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1</w:t>
      </w:r>
      <w:r>
        <w:rPr>
          <w:rFonts w:hint="eastAsia"/>
          <w:color w:val="auto"/>
          <w:sz w:val="24"/>
          <w:szCs w:val="24"/>
          <w:lang w:val="en-US" w:eastAsia="zh-CN"/>
        </w:rPr>
        <w:t>.</w:t>
      </w:r>
      <w:r>
        <w:rPr>
          <w:rFonts w:hint="eastAsia"/>
          <w:color w:val="auto"/>
          <w:sz w:val="24"/>
          <w:szCs w:val="24"/>
        </w:rPr>
        <w:t>本表须逐项填写，不得空缺；如空缺将视为没有实质性响应招标文件。</w:t>
      </w:r>
    </w:p>
    <w:p w14:paraId="2D3B718E">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2</w:t>
      </w:r>
      <w:r>
        <w:rPr>
          <w:rFonts w:hint="eastAsia"/>
          <w:color w:val="auto"/>
          <w:sz w:val="24"/>
          <w:szCs w:val="24"/>
          <w:lang w:val="en-US" w:eastAsia="zh-CN"/>
        </w:rPr>
        <w:t>.</w:t>
      </w:r>
      <w:r>
        <w:rPr>
          <w:rFonts w:hint="eastAsia"/>
          <w:color w:val="auto"/>
          <w:sz w:val="24"/>
          <w:szCs w:val="24"/>
        </w:rPr>
        <w:t>货物各项详细技术性能可另页描述；若货物没有注册商标和具体型号须注明。</w:t>
      </w:r>
    </w:p>
    <w:p w14:paraId="0625BF34">
      <w:pPr>
        <w:pageBreakBefore w:val="0"/>
        <w:topLinePunct w:val="0"/>
        <w:bidi w:val="0"/>
        <w:spacing w:line="500" w:lineRule="exact"/>
        <w:ind w:left="0" w:leftChars="0" w:right="0" w:rightChars="0" w:firstLine="480" w:firstLineChars="200"/>
        <w:jc w:val="both"/>
        <w:rPr>
          <w:rFonts w:hint="eastAsia"/>
          <w:color w:val="auto"/>
          <w:sz w:val="24"/>
          <w:szCs w:val="24"/>
          <w:lang w:val="en-US"/>
        </w:rPr>
      </w:pPr>
      <w:r>
        <w:rPr>
          <w:rFonts w:hint="eastAsia"/>
          <w:color w:val="auto"/>
          <w:sz w:val="24"/>
          <w:szCs w:val="24"/>
          <w:lang w:eastAsia="zh-CN"/>
        </w:rPr>
        <w:t>供应商（</w:t>
      </w:r>
      <w:r>
        <w:rPr>
          <w:rFonts w:hint="eastAsia"/>
          <w:color w:val="auto"/>
          <w:sz w:val="24"/>
          <w:szCs w:val="24"/>
          <w:lang w:val="en-US" w:eastAsia="zh-CN"/>
        </w:rPr>
        <w:t>公章</w:t>
      </w:r>
      <w:r>
        <w:rPr>
          <w:rFonts w:hint="eastAsia"/>
          <w:color w:val="auto"/>
          <w:sz w:val="24"/>
          <w:szCs w:val="24"/>
          <w:lang w:eastAsia="zh-CN"/>
        </w:rPr>
        <w:t>）：</w:t>
      </w:r>
    </w:p>
    <w:p w14:paraId="5C9E1D09">
      <w:pPr>
        <w:pageBreakBefore w:val="0"/>
        <w:topLinePunct w:val="0"/>
        <w:bidi w:val="0"/>
        <w:spacing w:line="500" w:lineRule="exact"/>
        <w:ind w:left="0" w:leftChars="0" w:right="0" w:rightChars="0" w:firstLine="480" w:firstLineChars="200"/>
        <w:jc w:val="both"/>
        <w:rPr>
          <w:rFonts w:hint="eastAsia"/>
          <w:color w:val="auto"/>
          <w:sz w:val="24"/>
          <w:szCs w:val="24"/>
          <w:lang w:val="zh-CN" w:eastAsia="zh-CN"/>
        </w:rPr>
      </w:pPr>
      <w:r>
        <w:rPr>
          <w:rFonts w:hint="eastAsia"/>
          <w:color w:val="auto"/>
          <w:sz w:val="24"/>
          <w:szCs w:val="24"/>
          <w:lang w:val="en-US" w:eastAsia="zh-CN"/>
        </w:rPr>
        <w:t>法定代表人或授权委托人（签字或盖章）：</w:t>
      </w:r>
    </w:p>
    <w:p w14:paraId="486E7190">
      <w:pPr>
        <w:pStyle w:val="12"/>
        <w:pageBreakBefore w:val="0"/>
        <w:tabs>
          <w:tab w:val="left" w:pos="3998"/>
          <w:tab w:val="left" w:pos="6318"/>
        </w:tabs>
        <w:topLinePunct w:val="0"/>
        <w:bidi w:val="0"/>
        <w:spacing w:line="500" w:lineRule="exact"/>
        <w:ind w:left="0" w:leftChars="0" w:right="0" w:rightChars="0" w:firstLine="480" w:firstLineChars="200"/>
        <w:rPr>
          <w:color w:val="auto"/>
        </w:rPr>
      </w:pPr>
      <w:r>
        <w:rPr>
          <w:rFonts w:hint="eastAsia"/>
          <w:color w:val="auto"/>
          <w:sz w:val="24"/>
          <w:szCs w:val="24"/>
          <w:lang w:val="en-US" w:eastAsia="zh-CN"/>
        </w:rPr>
        <w:t xml:space="preserve">日期：    </w:t>
      </w:r>
      <w:r>
        <w:rPr>
          <w:rFonts w:hint="eastAsia"/>
          <w:color w:val="auto"/>
          <w:sz w:val="24"/>
          <w:szCs w:val="24"/>
        </w:rPr>
        <w:t xml:space="preserve">年 </w:t>
      </w:r>
      <w:r>
        <w:rPr>
          <w:rFonts w:hint="eastAsia"/>
          <w:color w:val="auto"/>
          <w:sz w:val="24"/>
          <w:szCs w:val="24"/>
          <w:lang w:val="en-US" w:eastAsia="zh-CN"/>
        </w:rPr>
        <w:t xml:space="preserve">  </w:t>
      </w:r>
      <w:r>
        <w:rPr>
          <w:rFonts w:hint="eastAsia"/>
          <w:color w:val="auto"/>
          <w:sz w:val="24"/>
          <w:szCs w:val="24"/>
        </w:rPr>
        <w:t xml:space="preserve">月 </w:t>
      </w:r>
      <w:r>
        <w:rPr>
          <w:rFonts w:hint="eastAsia"/>
          <w:color w:val="auto"/>
          <w:sz w:val="24"/>
          <w:szCs w:val="24"/>
          <w:lang w:val="en-US" w:eastAsia="zh-CN"/>
        </w:rPr>
        <w:t xml:space="preserve">  </w:t>
      </w:r>
      <w:r>
        <w:rPr>
          <w:rFonts w:hint="eastAsia"/>
          <w:color w:val="auto"/>
          <w:sz w:val="24"/>
          <w:szCs w:val="24"/>
        </w:rPr>
        <w:t>日</w:t>
      </w:r>
    </w:p>
    <w:p w14:paraId="20EA335E">
      <w:pPr>
        <w:pageBreakBefore w:val="0"/>
        <w:topLinePunct w:val="0"/>
        <w:bidi w:val="0"/>
        <w:spacing w:line="500" w:lineRule="exact"/>
        <w:ind w:left="0" w:leftChars="0" w:right="0" w:rightChars="0" w:firstLine="440" w:firstLineChars="200"/>
        <w:jc w:val="both"/>
        <w:rPr>
          <w:color w:val="auto"/>
        </w:rPr>
        <w:sectPr>
          <w:headerReference r:id="rId13" w:type="default"/>
          <w:footerReference r:id="rId14" w:type="default"/>
          <w:pgSz w:w="16840" w:h="11910" w:orient="landscape"/>
          <w:pgMar w:top="780" w:right="880" w:bottom="1200" w:left="1300" w:header="0" w:footer="1005" w:gutter="0"/>
          <w:pgNumType w:fmt="decimal"/>
          <w:cols w:space="720" w:num="1"/>
        </w:sectPr>
      </w:pPr>
    </w:p>
    <w:p w14:paraId="1F49A2EC">
      <w:pPr>
        <w:pageBreakBefore w:val="0"/>
        <w:topLinePunct w:val="0"/>
        <w:bidi w:val="0"/>
        <w:spacing w:line="500" w:lineRule="exact"/>
        <w:ind w:left="0" w:leftChars="0" w:right="0" w:rightChars="0" w:firstLine="643" w:firstLineChars="200"/>
        <w:jc w:val="center"/>
        <w:rPr>
          <w:b/>
          <w:color w:val="auto"/>
          <w:sz w:val="32"/>
          <w:szCs w:val="32"/>
        </w:rPr>
      </w:pPr>
      <w:r>
        <w:rPr>
          <w:rFonts w:hint="eastAsia"/>
          <w:b/>
          <w:color w:val="auto"/>
          <w:sz w:val="32"/>
          <w:szCs w:val="32"/>
          <w:lang w:val="en-US" w:eastAsia="zh-CN"/>
        </w:rPr>
        <w:t>合同包一/二/三/四/五/六</w:t>
      </w:r>
      <w:r>
        <w:rPr>
          <w:rFonts w:hint="eastAsia"/>
          <w:b/>
          <w:color w:val="auto"/>
          <w:sz w:val="32"/>
          <w:szCs w:val="32"/>
        </w:rPr>
        <w:t>投标产品偏差表</w:t>
      </w:r>
    </w:p>
    <w:p w14:paraId="64E6B4AB">
      <w:pPr>
        <w:pStyle w:val="8"/>
        <w:pageBreakBefore w:val="0"/>
        <w:topLinePunct w:val="0"/>
        <w:bidi w:val="0"/>
        <w:spacing w:line="500" w:lineRule="exact"/>
        <w:ind w:left="0" w:leftChars="0" w:right="0" w:rightChars="0" w:firstLine="400" w:firstLineChars="200"/>
        <w:rPr>
          <w:rFonts w:hint="eastAsia"/>
          <w:color w:val="auto"/>
        </w:rPr>
      </w:pPr>
    </w:p>
    <w:p w14:paraId="33FA805F">
      <w:pPr>
        <w:numPr>
          <w:ilvl w:val="0"/>
          <w:numId w:val="0"/>
        </w:numPr>
        <w:spacing w:line="560" w:lineRule="exact"/>
        <w:jc w:val="both"/>
        <w:rPr>
          <w:rFonts w:hint="eastAsia" w:ascii="宋体" w:hAnsi="宋体" w:cs="宋体"/>
          <w:b/>
          <w:bCs/>
          <w:color w:val="000000"/>
          <w:sz w:val="36"/>
          <w:szCs w:val="36"/>
          <w:highlight w:val="none"/>
        </w:rPr>
      </w:pPr>
      <w:r>
        <w:rPr>
          <w:rFonts w:hint="eastAsia" w:ascii="宋体" w:hAnsi="宋体"/>
          <w:szCs w:val="21"/>
          <w:highlight w:val="none"/>
          <w:lang w:eastAsia="zh-CN"/>
        </w:rPr>
        <w:t>投标人名称：</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                         项目编号：</w:t>
      </w:r>
      <w:r>
        <w:rPr>
          <w:rFonts w:hint="eastAsia" w:ascii="宋体" w:hAnsi="宋体"/>
          <w:szCs w:val="21"/>
          <w:highlight w:val="none"/>
          <w:u w:val="single"/>
          <w:lang w:val="en-US" w:eastAsia="zh-CN"/>
        </w:rPr>
        <w:t xml:space="preserve">              </w:t>
      </w:r>
    </w:p>
    <w:tbl>
      <w:tblPr>
        <w:tblStyle w:val="24"/>
        <w:tblW w:w="9210" w:type="dxa"/>
        <w:tblInd w:w="131"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910"/>
        <w:gridCol w:w="2625"/>
        <w:gridCol w:w="1590"/>
        <w:gridCol w:w="1245"/>
      </w:tblGrid>
      <w:tr w14:paraId="2D8DB3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40" w:type="dxa"/>
            <w:tcBorders>
              <w:tl2br w:val="nil"/>
              <w:tr2bl w:val="nil"/>
            </w:tcBorders>
            <w:vAlign w:val="center"/>
          </w:tcPr>
          <w:p w14:paraId="7BB38134">
            <w:pPr>
              <w:spacing w:line="320" w:lineRule="exact"/>
              <w:ind w:left="-101" w:leftChars="-46"/>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序号</w:t>
            </w:r>
          </w:p>
        </w:tc>
        <w:tc>
          <w:tcPr>
            <w:tcW w:w="2910" w:type="dxa"/>
            <w:tcBorders>
              <w:tl2br w:val="nil"/>
              <w:tr2bl w:val="nil"/>
            </w:tcBorders>
            <w:vAlign w:val="center"/>
          </w:tcPr>
          <w:p w14:paraId="023C4771">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招标文件技术</w:t>
            </w:r>
            <w:r>
              <w:rPr>
                <w:rFonts w:hint="eastAsia" w:ascii="新宋体" w:hAnsi="新宋体" w:cs="新宋体"/>
                <w:b/>
                <w:color w:val="auto"/>
                <w:sz w:val="21"/>
                <w:szCs w:val="21"/>
                <w:highlight w:val="none"/>
                <w:lang w:val="en-US" w:eastAsia="zh-CN"/>
              </w:rPr>
              <w:t>参数</w:t>
            </w:r>
            <w:r>
              <w:rPr>
                <w:rFonts w:hint="eastAsia" w:ascii="新宋体" w:hAnsi="新宋体" w:cs="新宋体"/>
                <w:b/>
                <w:color w:val="auto"/>
                <w:sz w:val="21"/>
                <w:szCs w:val="21"/>
                <w:highlight w:val="none"/>
              </w:rPr>
              <w:t>要求</w:t>
            </w:r>
          </w:p>
        </w:tc>
        <w:tc>
          <w:tcPr>
            <w:tcW w:w="2625" w:type="dxa"/>
            <w:tcBorders>
              <w:tl2br w:val="nil"/>
              <w:tr2bl w:val="nil"/>
            </w:tcBorders>
            <w:vAlign w:val="center"/>
          </w:tcPr>
          <w:p w14:paraId="266A3CDA">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投标文件技术</w:t>
            </w:r>
            <w:r>
              <w:rPr>
                <w:rFonts w:hint="eastAsia" w:ascii="新宋体" w:hAnsi="新宋体" w:cs="新宋体"/>
                <w:b/>
                <w:color w:val="auto"/>
                <w:sz w:val="21"/>
                <w:szCs w:val="21"/>
                <w:highlight w:val="none"/>
                <w:lang w:val="en-US" w:eastAsia="zh-CN"/>
              </w:rPr>
              <w:t>参数</w:t>
            </w:r>
            <w:r>
              <w:rPr>
                <w:rFonts w:hint="eastAsia" w:ascii="新宋体" w:hAnsi="新宋体" w:cs="新宋体"/>
                <w:b/>
                <w:color w:val="auto"/>
                <w:sz w:val="21"/>
                <w:szCs w:val="21"/>
                <w:highlight w:val="none"/>
              </w:rPr>
              <w:t>响应</w:t>
            </w:r>
          </w:p>
        </w:tc>
        <w:tc>
          <w:tcPr>
            <w:tcW w:w="1590" w:type="dxa"/>
            <w:tcBorders>
              <w:tl2br w:val="nil"/>
              <w:tr2bl w:val="nil"/>
            </w:tcBorders>
            <w:vAlign w:val="center"/>
          </w:tcPr>
          <w:p w14:paraId="5095C284">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偏离情况</w:t>
            </w:r>
          </w:p>
        </w:tc>
        <w:tc>
          <w:tcPr>
            <w:tcW w:w="1245" w:type="dxa"/>
            <w:tcBorders>
              <w:tl2br w:val="nil"/>
              <w:tr2bl w:val="nil"/>
            </w:tcBorders>
            <w:vAlign w:val="center"/>
          </w:tcPr>
          <w:p w14:paraId="57DE5EF8">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说明</w:t>
            </w:r>
          </w:p>
        </w:tc>
      </w:tr>
      <w:tr w14:paraId="68C26F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174A38FC">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264F7ED2">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14BB135A">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18C770D9">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152E539C">
            <w:pPr>
              <w:spacing w:line="560" w:lineRule="exact"/>
              <w:jc w:val="both"/>
              <w:rPr>
                <w:rFonts w:hint="eastAsia" w:ascii="宋体" w:hAnsi="宋体"/>
                <w:b/>
                <w:bCs/>
                <w:position w:val="4"/>
                <w:sz w:val="32"/>
                <w:szCs w:val="32"/>
                <w:highlight w:val="none"/>
                <w:vertAlign w:val="baseline"/>
              </w:rPr>
            </w:pPr>
          </w:p>
        </w:tc>
      </w:tr>
      <w:tr w14:paraId="582E19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6DFD7005">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18187736">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09E62B00">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601F906C">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777BD488">
            <w:pPr>
              <w:spacing w:line="560" w:lineRule="exact"/>
              <w:jc w:val="both"/>
              <w:rPr>
                <w:rFonts w:hint="eastAsia" w:ascii="宋体" w:hAnsi="宋体"/>
                <w:b/>
                <w:bCs/>
                <w:position w:val="4"/>
                <w:sz w:val="32"/>
                <w:szCs w:val="32"/>
                <w:highlight w:val="none"/>
                <w:vertAlign w:val="baseline"/>
              </w:rPr>
            </w:pPr>
          </w:p>
        </w:tc>
      </w:tr>
      <w:tr w14:paraId="2C971B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1B69A1A2">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6882E274">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6978DB1F">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2D234764">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3DA43D42">
            <w:pPr>
              <w:spacing w:line="560" w:lineRule="exact"/>
              <w:jc w:val="both"/>
              <w:rPr>
                <w:rFonts w:hint="eastAsia" w:ascii="宋体" w:hAnsi="宋体"/>
                <w:b/>
                <w:bCs/>
                <w:position w:val="4"/>
                <w:sz w:val="32"/>
                <w:szCs w:val="32"/>
                <w:highlight w:val="none"/>
                <w:vertAlign w:val="baseline"/>
              </w:rPr>
            </w:pPr>
          </w:p>
        </w:tc>
      </w:tr>
      <w:tr w14:paraId="72B37C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7CD1578C">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1C53C3D0">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092240FC">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2BEE474E">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7A4C696B">
            <w:pPr>
              <w:spacing w:line="560" w:lineRule="exact"/>
              <w:jc w:val="both"/>
              <w:rPr>
                <w:rFonts w:hint="eastAsia" w:ascii="宋体" w:hAnsi="宋体"/>
                <w:b/>
                <w:bCs/>
                <w:position w:val="4"/>
                <w:sz w:val="32"/>
                <w:szCs w:val="32"/>
                <w:highlight w:val="none"/>
                <w:vertAlign w:val="baseline"/>
              </w:rPr>
            </w:pPr>
          </w:p>
        </w:tc>
      </w:tr>
      <w:tr w14:paraId="3EE0D3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2C051A5A">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625400B8">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29B20B44">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150CCBCD">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2A201635">
            <w:pPr>
              <w:spacing w:line="560" w:lineRule="exact"/>
              <w:jc w:val="both"/>
              <w:rPr>
                <w:rFonts w:hint="eastAsia" w:ascii="宋体" w:hAnsi="宋体"/>
                <w:b/>
                <w:bCs/>
                <w:position w:val="4"/>
                <w:sz w:val="32"/>
                <w:szCs w:val="32"/>
                <w:highlight w:val="none"/>
                <w:vertAlign w:val="baseline"/>
              </w:rPr>
            </w:pPr>
          </w:p>
        </w:tc>
      </w:tr>
      <w:tr w14:paraId="3059A1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1BD19FC5">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3456109A">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78CE262E">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2F858CB1">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6B4AB058">
            <w:pPr>
              <w:spacing w:line="560" w:lineRule="exact"/>
              <w:jc w:val="both"/>
              <w:rPr>
                <w:rFonts w:hint="eastAsia" w:ascii="宋体" w:hAnsi="宋体"/>
                <w:b/>
                <w:bCs/>
                <w:position w:val="4"/>
                <w:sz w:val="32"/>
                <w:szCs w:val="32"/>
                <w:highlight w:val="none"/>
                <w:vertAlign w:val="baseline"/>
              </w:rPr>
            </w:pPr>
          </w:p>
        </w:tc>
      </w:tr>
    </w:tbl>
    <w:p w14:paraId="0BE4CEC4">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lang w:val="en-US"/>
        </w:rPr>
        <w:t xml:space="preserve">         </w:t>
      </w:r>
    </w:p>
    <w:p w14:paraId="1D706E34">
      <w:pPr>
        <w:pageBreakBefore w:val="0"/>
        <w:topLinePunct w:val="0"/>
        <w:bidi w:val="0"/>
        <w:spacing w:line="500" w:lineRule="exact"/>
        <w:ind w:left="0" w:leftChars="0" w:right="0" w:rightChars="0" w:firstLine="480" w:firstLineChars="200"/>
        <w:rPr>
          <w:rFonts w:hint="eastAsia"/>
          <w:color w:val="auto"/>
          <w:sz w:val="24"/>
          <w:szCs w:val="24"/>
        </w:rPr>
      </w:pPr>
      <w:r>
        <w:rPr>
          <w:rFonts w:hint="eastAsia"/>
          <w:color w:val="auto"/>
          <w:sz w:val="24"/>
          <w:szCs w:val="24"/>
        </w:rPr>
        <w:t>注：1、</w:t>
      </w:r>
      <w:r>
        <w:rPr>
          <w:rFonts w:hint="eastAsia"/>
          <w:color w:val="auto"/>
          <w:sz w:val="24"/>
          <w:szCs w:val="24"/>
          <w:lang w:val="en-US" w:eastAsia="zh-CN"/>
        </w:rPr>
        <w:t>根据第三章采购内容及要求逐条响应，</w:t>
      </w:r>
      <w:r>
        <w:rPr>
          <w:rFonts w:hint="eastAsia"/>
          <w:color w:val="auto"/>
          <w:sz w:val="24"/>
          <w:szCs w:val="24"/>
        </w:rPr>
        <w:t>如有缺漏项将按无效响应文件处理；</w:t>
      </w:r>
    </w:p>
    <w:p w14:paraId="1AFFA368">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2、未</w:t>
      </w:r>
      <w:r>
        <w:rPr>
          <w:rFonts w:hint="eastAsia"/>
          <w:color w:val="auto"/>
          <w:sz w:val="24"/>
          <w:szCs w:val="24"/>
          <w:lang w:val="en-US" w:eastAsia="zh-CN"/>
        </w:rPr>
        <w:t>提供质量与技术标准中所要求的证明材料</w:t>
      </w:r>
      <w:r>
        <w:rPr>
          <w:rFonts w:hint="eastAsia"/>
          <w:color w:val="auto"/>
          <w:sz w:val="24"/>
          <w:szCs w:val="24"/>
        </w:rPr>
        <w:t>或提供的技术支持资料与产品不一致或不能体现技术要求的，评标委员会有权不予认可，并扣除相应的分值；响应说明填写：优于、相同、低于。</w:t>
      </w:r>
    </w:p>
    <w:p w14:paraId="2B5331E8">
      <w:pPr>
        <w:pageBreakBefore w:val="0"/>
        <w:topLinePunct w:val="0"/>
        <w:bidi w:val="0"/>
        <w:spacing w:line="500" w:lineRule="exact"/>
        <w:ind w:left="0" w:leftChars="0" w:right="0" w:rightChars="0" w:firstLine="480" w:firstLineChars="200"/>
        <w:rPr>
          <w:color w:val="auto"/>
          <w:sz w:val="24"/>
          <w:szCs w:val="24"/>
        </w:rPr>
      </w:pPr>
    </w:p>
    <w:p w14:paraId="1FA72C37">
      <w:pPr>
        <w:pStyle w:val="60"/>
        <w:keepNext w:val="0"/>
        <w:keepLines w:val="0"/>
        <w:pageBreakBefore w:val="0"/>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新宋体" w:hAnsi="新宋体"/>
          <w:b w:val="0"/>
          <w:color w:val="auto"/>
          <w:sz w:val="24"/>
          <w:szCs w:val="24"/>
          <w:highlight w:val="none"/>
        </w:rPr>
      </w:pPr>
      <w:r>
        <w:rPr>
          <w:rFonts w:hint="eastAsia" w:ascii="新宋体" w:hAnsi="新宋体"/>
          <w:b w:val="0"/>
          <w:color w:val="auto"/>
          <w:sz w:val="21"/>
          <w:szCs w:val="21"/>
          <w:highlight w:val="none"/>
          <w:lang w:val="en-US" w:eastAsia="zh-CN"/>
        </w:rPr>
        <w:t xml:space="preserve">                                       </w:t>
      </w:r>
      <w:r>
        <w:rPr>
          <w:rFonts w:hint="eastAsia" w:ascii="新宋体" w:hAnsi="新宋体"/>
          <w:b w:val="0"/>
          <w:color w:val="auto"/>
          <w:sz w:val="22"/>
          <w:szCs w:val="22"/>
          <w:highlight w:val="none"/>
          <w:lang w:val="en-US" w:eastAsia="zh-CN"/>
        </w:rPr>
        <w:t xml:space="preserve">     </w:t>
      </w:r>
      <w:r>
        <w:rPr>
          <w:rFonts w:hint="eastAsia" w:ascii="新宋体" w:hAnsi="新宋体"/>
          <w:b w:val="0"/>
          <w:color w:val="auto"/>
          <w:sz w:val="24"/>
          <w:szCs w:val="24"/>
          <w:highlight w:val="none"/>
        </w:rPr>
        <w:t>投标人：</w:t>
      </w:r>
      <w:r>
        <w:rPr>
          <w:rFonts w:ascii="新宋体" w:hAnsi="新宋体"/>
          <w:b w:val="0"/>
          <w:color w:val="auto"/>
          <w:sz w:val="24"/>
          <w:szCs w:val="24"/>
          <w:highlight w:val="none"/>
          <w:u w:val="single"/>
        </w:rPr>
        <w:t xml:space="preserve">             </w:t>
      </w:r>
      <w:r>
        <w:rPr>
          <w:rFonts w:hint="eastAsia" w:ascii="新宋体" w:hAnsi="新宋体"/>
          <w:b w:val="0"/>
          <w:color w:val="auto"/>
          <w:sz w:val="24"/>
          <w:szCs w:val="24"/>
          <w:highlight w:val="none"/>
          <w:u w:val="single"/>
        </w:rPr>
        <w:t xml:space="preserve">  （单位全称、盖章）   </w:t>
      </w:r>
    </w:p>
    <w:p w14:paraId="20DC2DDF">
      <w:pPr>
        <w:pStyle w:val="60"/>
        <w:keepNext w:val="0"/>
        <w:keepLines w:val="0"/>
        <w:pageBreakBefore w:val="0"/>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新宋体" w:hAnsi="新宋体"/>
          <w:b w:val="0"/>
          <w:color w:val="auto"/>
          <w:sz w:val="24"/>
          <w:szCs w:val="24"/>
          <w:highlight w:val="none"/>
        </w:rPr>
      </w:pPr>
      <w:r>
        <w:rPr>
          <w:rFonts w:hint="eastAsia" w:ascii="新宋体" w:hAnsi="新宋体"/>
          <w:b w:val="0"/>
          <w:color w:val="auto"/>
          <w:sz w:val="24"/>
          <w:szCs w:val="24"/>
          <w:highlight w:val="none"/>
          <w:lang w:val="en-US" w:eastAsia="zh-CN"/>
        </w:rPr>
        <w:t xml:space="preserve">                                       </w:t>
      </w:r>
      <w:r>
        <w:rPr>
          <w:rFonts w:hint="eastAsia" w:ascii="新宋体" w:hAnsi="新宋体"/>
          <w:b w:val="0"/>
          <w:color w:val="auto"/>
          <w:sz w:val="24"/>
          <w:szCs w:val="24"/>
          <w:highlight w:val="none"/>
        </w:rPr>
        <w:t>法定代表人或授权代表：</w:t>
      </w:r>
      <w:r>
        <w:rPr>
          <w:rFonts w:hint="eastAsia" w:ascii="新宋体" w:hAnsi="新宋体"/>
          <w:b w:val="0"/>
          <w:color w:val="auto"/>
          <w:sz w:val="24"/>
          <w:szCs w:val="24"/>
          <w:highlight w:val="none"/>
          <w:u w:val="single"/>
        </w:rPr>
        <w:t xml:space="preserve">     （</w:t>
      </w:r>
      <w:r>
        <w:rPr>
          <w:rFonts w:hint="eastAsia" w:ascii="新宋体" w:hAnsi="新宋体"/>
          <w:b w:val="0"/>
          <w:color w:val="auto"/>
          <w:sz w:val="24"/>
          <w:szCs w:val="24"/>
          <w:highlight w:val="none"/>
          <w:u w:val="single"/>
          <w:lang w:eastAsia="zh-CN"/>
        </w:rPr>
        <w:t>盖章或签字</w:t>
      </w:r>
      <w:r>
        <w:rPr>
          <w:rFonts w:hint="eastAsia" w:ascii="新宋体" w:hAnsi="新宋体"/>
          <w:b w:val="0"/>
          <w:color w:val="auto"/>
          <w:sz w:val="24"/>
          <w:szCs w:val="24"/>
          <w:highlight w:val="none"/>
          <w:u w:val="single"/>
        </w:rPr>
        <w:t xml:space="preserve">）    </w:t>
      </w:r>
    </w:p>
    <w:p w14:paraId="4D1ADBE5">
      <w:pPr>
        <w:spacing w:line="440" w:lineRule="exact"/>
        <w:rPr>
          <w:rFonts w:hint="eastAsia"/>
          <w:sz w:val="28"/>
          <w:szCs w:val="24"/>
          <w:highlight w:val="none"/>
        </w:rPr>
      </w:pPr>
      <w:r>
        <w:rPr>
          <w:rFonts w:hint="eastAsia" w:ascii="新宋体" w:hAnsi="新宋体"/>
          <w:b w:val="0"/>
          <w:color w:val="auto"/>
          <w:sz w:val="24"/>
          <w:szCs w:val="24"/>
          <w:highlight w:val="none"/>
          <w:lang w:val="en-US" w:eastAsia="zh-CN"/>
        </w:rPr>
        <w:t xml:space="preserve">                                       </w:t>
      </w:r>
      <w:r>
        <w:rPr>
          <w:rFonts w:hint="eastAsia" w:ascii="新宋体" w:hAnsi="新宋体"/>
          <w:b w:val="0"/>
          <w:color w:val="auto"/>
          <w:sz w:val="24"/>
          <w:szCs w:val="24"/>
          <w:highlight w:val="none"/>
        </w:rPr>
        <w:t>投标日期：</w:t>
      </w:r>
      <w:r>
        <w:rPr>
          <w:rFonts w:hint="eastAsia" w:ascii="新宋体" w:hAnsi="新宋体"/>
          <w:b w:val="0"/>
          <w:color w:val="auto"/>
          <w:sz w:val="24"/>
          <w:szCs w:val="24"/>
          <w:highlight w:val="none"/>
          <w:u w:val="single"/>
        </w:rPr>
        <w:t xml:space="preserve">        </w:t>
      </w:r>
      <w:r>
        <w:rPr>
          <w:rFonts w:hint="eastAsia" w:ascii="新宋体" w:hAnsi="新宋体"/>
          <w:b w:val="0"/>
          <w:color w:val="auto"/>
          <w:sz w:val="24"/>
          <w:szCs w:val="24"/>
          <w:highlight w:val="none"/>
        </w:rPr>
        <w:t>年</w:t>
      </w:r>
      <w:r>
        <w:rPr>
          <w:rFonts w:hint="eastAsia" w:ascii="新宋体" w:hAnsi="新宋体"/>
          <w:b w:val="0"/>
          <w:color w:val="auto"/>
          <w:sz w:val="24"/>
          <w:szCs w:val="24"/>
          <w:highlight w:val="none"/>
          <w:u w:val="single"/>
        </w:rPr>
        <w:t xml:space="preserve">    </w:t>
      </w:r>
      <w:r>
        <w:rPr>
          <w:rFonts w:hint="eastAsia" w:ascii="新宋体" w:hAnsi="新宋体"/>
          <w:b w:val="0"/>
          <w:color w:val="auto"/>
          <w:sz w:val="24"/>
          <w:szCs w:val="24"/>
          <w:highlight w:val="none"/>
        </w:rPr>
        <w:t>月</w:t>
      </w:r>
      <w:r>
        <w:rPr>
          <w:rFonts w:hint="eastAsia" w:ascii="新宋体" w:hAnsi="新宋体"/>
          <w:b w:val="0"/>
          <w:color w:val="auto"/>
          <w:sz w:val="24"/>
          <w:szCs w:val="24"/>
          <w:highlight w:val="none"/>
          <w:u w:val="single"/>
        </w:rPr>
        <w:t xml:space="preserve">    </w:t>
      </w:r>
      <w:r>
        <w:rPr>
          <w:rFonts w:hint="eastAsia" w:ascii="新宋体" w:hAnsi="新宋体"/>
          <w:b w:val="0"/>
          <w:color w:val="auto"/>
          <w:sz w:val="24"/>
          <w:szCs w:val="24"/>
          <w:highlight w:val="none"/>
        </w:rPr>
        <w:t>日</w:t>
      </w:r>
    </w:p>
    <w:p w14:paraId="42BE3EE2">
      <w:pPr>
        <w:pageBreakBefore w:val="0"/>
        <w:topLinePunct w:val="0"/>
        <w:bidi w:val="0"/>
        <w:spacing w:line="500" w:lineRule="exact"/>
        <w:ind w:left="0" w:leftChars="0" w:right="0" w:rightChars="0" w:firstLine="440" w:firstLineChars="200"/>
        <w:rPr>
          <w:color w:val="auto"/>
        </w:rPr>
        <w:sectPr>
          <w:headerReference r:id="rId15" w:type="default"/>
          <w:footerReference r:id="rId16" w:type="default"/>
          <w:pgSz w:w="11910" w:h="16840"/>
          <w:pgMar w:top="1360" w:right="660" w:bottom="1200" w:left="1340" w:header="872" w:footer="1005" w:gutter="0"/>
          <w:pgNumType w:fmt="decimal"/>
          <w:cols w:space="720" w:num="1"/>
        </w:sectPr>
      </w:pPr>
    </w:p>
    <w:p w14:paraId="4BDCAF03">
      <w:pPr>
        <w:keepNext w:val="0"/>
        <w:keepLines w:val="0"/>
        <w:pageBreakBefore w:val="0"/>
        <w:widowControl w:val="0"/>
        <w:kinsoku/>
        <w:wordWrap/>
        <w:overflowPunct/>
        <w:topLinePunct w:val="0"/>
        <w:autoSpaceDE/>
        <w:autoSpaceDN/>
        <w:bidi w:val="0"/>
        <w:adjustRightInd/>
        <w:snapToGrid/>
        <w:spacing w:before="0" w:beforeLines="100" w:after="0" w:afterLines="50" w:line="560" w:lineRule="exact"/>
        <w:ind w:left="0" w:leftChars="0" w:right="0" w:rightChars="0" w:firstLine="0" w:firstLineChars="0"/>
        <w:jc w:val="center"/>
        <w:textAlignment w:val="auto"/>
        <w:outlineLvl w:val="9"/>
        <w:rPr>
          <w:rFonts w:hint="eastAsia" w:ascii="宋体" w:hAnsi="宋体" w:cs="宋体"/>
          <w:b/>
          <w:bCs/>
          <w:color w:val="000000"/>
          <w:sz w:val="36"/>
          <w:szCs w:val="36"/>
          <w:highlight w:val="none"/>
        </w:rPr>
      </w:pPr>
      <w:r>
        <w:rPr>
          <w:rFonts w:hint="eastAsia"/>
          <w:b/>
          <w:color w:val="auto"/>
          <w:sz w:val="32"/>
          <w:szCs w:val="32"/>
          <w:lang w:val="en-US" w:eastAsia="zh-CN"/>
        </w:rPr>
        <w:t>合同包一/二/三/四/五/六商务条款偏离表</w:t>
      </w:r>
    </w:p>
    <w:p w14:paraId="3AEA7665">
      <w:pPr>
        <w:numPr>
          <w:ilvl w:val="0"/>
          <w:numId w:val="0"/>
        </w:numPr>
        <w:spacing w:line="560" w:lineRule="exact"/>
        <w:jc w:val="both"/>
        <w:rPr>
          <w:rFonts w:hint="eastAsia" w:ascii="宋体" w:hAnsi="宋体" w:cs="宋体"/>
          <w:b/>
          <w:bCs/>
          <w:color w:val="000000"/>
          <w:sz w:val="36"/>
          <w:szCs w:val="36"/>
          <w:highlight w:val="none"/>
        </w:rPr>
      </w:pPr>
      <w:r>
        <w:rPr>
          <w:rFonts w:hint="eastAsia" w:ascii="宋体" w:hAnsi="宋体"/>
          <w:szCs w:val="21"/>
          <w:highlight w:val="none"/>
          <w:lang w:eastAsia="zh-CN"/>
        </w:rPr>
        <w:t>投标人名称：</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                         项目编号：</w:t>
      </w:r>
      <w:r>
        <w:rPr>
          <w:rFonts w:hint="eastAsia" w:ascii="宋体" w:hAnsi="宋体"/>
          <w:szCs w:val="21"/>
          <w:highlight w:val="none"/>
          <w:u w:val="single"/>
          <w:lang w:val="en-US" w:eastAsia="zh-CN"/>
        </w:rPr>
        <w:t xml:space="preserve">              </w:t>
      </w:r>
    </w:p>
    <w:tbl>
      <w:tblPr>
        <w:tblStyle w:val="24"/>
        <w:tblW w:w="9210" w:type="dxa"/>
        <w:tblInd w:w="131"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910"/>
        <w:gridCol w:w="2625"/>
        <w:gridCol w:w="1590"/>
        <w:gridCol w:w="1245"/>
      </w:tblGrid>
      <w:tr w14:paraId="5E4E79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40" w:type="dxa"/>
            <w:tcBorders>
              <w:tl2br w:val="nil"/>
              <w:tr2bl w:val="nil"/>
            </w:tcBorders>
            <w:vAlign w:val="center"/>
          </w:tcPr>
          <w:p w14:paraId="1109CB70">
            <w:pPr>
              <w:spacing w:line="320" w:lineRule="exact"/>
              <w:ind w:left="-101" w:leftChars="-46"/>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序号</w:t>
            </w:r>
          </w:p>
        </w:tc>
        <w:tc>
          <w:tcPr>
            <w:tcW w:w="2910" w:type="dxa"/>
            <w:tcBorders>
              <w:tl2br w:val="nil"/>
              <w:tr2bl w:val="nil"/>
            </w:tcBorders>
            <w:vAlign w:val="center"/>
          </w:tcPr>
          <w:p w14:paraId="0658C1D7">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招标文件商务要求</w:t>
            </w:r>
          </w:p>
        </w:tc>
        <w:tc>
          <w:tcPr>
            <w:tcW w:w="2625" w:type="dxa"/>
            <w:tcBorders>
              <w:tl2br w:val="nil"/>
              <w:tr2bl w:val="nil"/>
            </w:tcBorders>
            <w:vAlign w:val="center"/>
          </w:tcPr>
          <w:p w14:paraId="741ACA8C">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投标文件商务响应</w:t>
            </w:r>
          </w:p>
        </w:tc>
        <w:tc>
          <w:tcPr>
            <w:tcW w:w="1590" w:type="dxa"/>
            <w:tcBorders>
              <w:tl2br w:val="nil"/>
              <w:tr2bl w:val="nil"/>
            </w:tcBorders>
            <w:vAlign w:val="center"/>
          </w:tcPr>
          <w:p w14:paraId="3E70F5F9">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偏离情况</w:t>
            </w:r>
          </w:p>
        </w:tc>
        <w:tc>
          <w:tcPr>
            <w:tcW w:w="1245" w:type="dxa"/>
            <w:tcBorders>
              <w:tl2br w:val="nil"/>
              <w:tr2bl w:val="nil"/>
            </w:tcBorders>
            <w:vAlign w:val="center"/>
          </w:tcPr>
          <w:p w14:paraId="03369C18">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说明</w:t>
            </w:r>
          </w:p>
        </w:tc>
      </w:tr>
      <w:tr w14:paraId="478543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2C801F03">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53FDCF93">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13DE4DB4">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64E6DE89">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336A657B">
            <w:pPr>
              <w:spacing w:line="560" w:lineRule="exact"/>
              <w:jc w:val="both"/>
              <w:rPr>
                <w:rFonts w:hint="eastAsia" w:ascii="宋体" w:hAnsi="宋体"/>
                <w:b/>
                <w:bCs/>
                <w:position w:val="4"/>
                <w:sz w:val="32"/>
                <w:szCs w:val="32"/>
                <w:highlight w:val="none"/>
                <w:vertAlign w:val="baseline"/>
              </w:rPr>
            </w:pPr>
          </w:p>
        </w:tc>
      </w:tr>
      <w:tr w14:paraId="5A7AD0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26129EE2">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063AF078">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106D6C7D">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6329D698">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64547D49">
            <w:pPr>
              <w:spacing w:line="560" w:lineRule="exact"/>
              <w:jc w:val="both"/>
              <w:rPr>
                <w:rFonts w:hint="eastAsia" w:ascii="宋体" w:hAnsi="宋体"/>
                <w:b/>
                <w:bCs/>
                <w:position w:val="4"/>
                <w:sz w:val="32"/>
                <w:szCs w:val="32"/>
                <w:highlight w:val="none"/>
                <w:vertAlign w:val="baseline"/>
              </w:rPr>
            </w:pPr>
          </w:p>
        </w:tc>
      </w:tr>
      <w:tr w14:paraId="00ABC2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62CCD68C">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4398F61D">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5B933707">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30A0D74B">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2F536536">
            <w:pPr>
              <w:spacing w:line="560" w:lineRule="exact"/>
              <w:jc w:val="both"/>
              <w:rPr>
                <w:rFonts w:hint="eastAsia" w:ascii="宋体" w:hAnsi="宋体"/>
                <w:b/>
                <w:bCs/>
                <w:position w:val="4"/>
                <w:sz w:val="32"/>
                <w:szCs w:val="32"/>
                <w:highlight w:val="none"/>
                <w:vertAlign w:val="baseline"/>
              </w:rPr>
            </w:pPr>
          </w:p>
        </w:tc>
      </w:tr>
      <w:tr w14:paraId="64D915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4AF8FC7C">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561C49A5">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6A106849">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04AFFDA1">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2472C7DC">
            <w:pPr>
              <w:spacing w:line="560" w:lineRule="exact"/>
              <w:jc w:val="both"/>
              <w:rPr>
                <w:rFonts w:hint="eastAsia" w:ascii="宋体" w:hAnsi="宋体"/>
                <w:b/>
                <w:bCs/>
                <w:position w:val="4"/>
                <w:sz w:val="32"/>
                <w:szCs w:val="32"/>
                <w:highlight w:val="none"/>
                <w:vertAlign w:val="baseline"/>
              </w:rPr>
            </w:pPr>
          </w:p>
        </w:tc>
      </w:tr>
      <w:tr w14:paraId="2CED51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4D03BEE6">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37E68908">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3DA65403">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3EFC64D9">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76EB3EF6">
            <w:pPr>
              <w:spacing w:line="560" w:lineRule="exact"/>
              <w:jc w:val="both"/>
              <w:rPr>
                <w:rFonts w:hint="eastAsia" w:ascii="宋体" w:hAnsi="宋体"/>
                <w:b/>
                <w:bCs/>
                <w:position w:val="4"/>
                <w:sz w:val="32"/>
                <w:szCs w:val="32"/>
                <w:highlight w:val="none"/>
                <w:vertAlign w:val="baseline"/>
              </w:rPr>
            </w:pPr>
          </w:p>
        </w:tc>
      </w:tr>
      <w:tr w14:paraId="400F6B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6402750B">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018AB639">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2B71C23A">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3098EDAC">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4150F26E">
            <w:pPr>
              <w:spacing w:line="560" w:lineRule="exact"/>
              <w:jc w:val="both"/>
              <w:rPr>
                <w:rFonts w:hint="eastAsia" w:ascii="宋体" w:hAnsi="宋体"/>
                <w:b/>
                <w:bCs/>
                <w:position w:val="4"/>
                <w:sz w:val="32"/>
                <w:szCs w:val="32"/>
                <w:highlight w:val="none"/>
                <w:vertAlign w:val="baseline"/>
              </w:rPr>
            </w:pPr>
          </w:p>
        </w:tc>
      </w:tr>
    </w:tbl>
    <w:p w14:paraId="5B85F9B8">
      <w:pPr>
        <w:pageBreakBefore w:val="0"/>
        <w:topLinePunct w:val="0"/>
        <w:bidi w:val="0"/>
        <w:spacing w:line="500" w:lineRule="exact"/>
        <w:ind w:left="0" w:leftChars="0" w:right="0" w:rightChars="0" w:firstLine="480" w:firstLineChars="200"/>
        <w:rPr>
          <w:rFonts w:hint="eastAsia"/>
          <w:color w:val="auto"/>
          <w:sz w:val="24"/>
          <w:szCs w:val="24"/>
          <w:lang w:val="en-US" w:eastAsia="zh-CN"/>
        </w:rPr>
      </w:pPr>
      <w:r>
        <w:rPr>
          <w:rFonts w:hint="eastAsia"/>
          <w:color w:val="auto"/>
          <w:sz w:val="24"/>
          <w:szCs w:val="24"/>
          <w:lang w:val="en-US" w:eastAsia="zh-CN"/>
        </w:rPr>
        <w:t>注：1、根据第四章商务要求逐条响应，如对本项目商务条款有偏离的，请按上表所列内容依次填写；若未填视为其所有商务条款均完全响应“招标文件”中的要求；</w:t>
      </w:r>
      <w:r>
        <w:rPr>
          <w:rFonts w:hint="eastAsia"/>
          <w:color w:val="auto"/>
          <w:sz w:val="24"/>
          <w:szCs w:val="24"/>
        </w:rPr>
        <w:t>响应说明填写：优于、相同、低于</w:t>
      </w:r>
      <w:r>
        <w:rPr>
          <w:rFonts w:hint="eastAsia"/>
          <w:color w:val="auto"/>
          <w:sz w:val="24"/>
          <w:szCs w:val="24"/>
          <w:lang w:val="en-US" w:eastAsia="zh-CN"/>
        </w:rPr>
        <w:t>。</w:t>
      </w:r>
    </w:p>
    <w:p w14:paraId="338DA7AF">
      <w:pPr>
        <w:pageBreakBefore w:val="0"/>
        <w:topLinePunct w:val="0"/>
        <w:bidi w:val="0"/>
        <w:spacing w:line="500" w:lineRule="exact"/>
        <w:ind w:left="0" w:leftChars="0" w:right="0" w:rightChars="0" w:firstLine="480" w:firstLineChars="200"/>
        <w:rPr>
          <w:rFonts w:hint="eastAsia"/>
          <w:color w:val="auto"/>
          <w:sz w:val="24"/>
          <w:szCs w:val="24"/>
          <w:lang w:val="en-US" w:eastAsia="zh-CN"/>
        </w:rPr>
      </w:pPr>
      <w:r>
        <w:rPr>
          <w:rFonts w:hint="eastAsia"/>
          <w:color w:val="auto"/>
          <w:sz w:val="24"/>
          <w:szCs w:val="24"/>
          <w:lang w:val="en-US" w:eastAsia="zh-CN"/>
        </w:rPr>
        <w:t>投标人必须据实填写，不得虚假响应，否则将取消其投标或中标资格，并按有关规定进行处罚。</w:t>
      </w:r>
    </w:p>
    <w:p w14:paraId="0B29AD88">
      <w:pPr>
        <w:numPr>
          <w:ilvl w:val="0"/>
          <w:numId w:val="0"/>
        </w:numPr>
        <w:spacing w:line="440" w:lineRule="exact"/>
        <w:rPr>
          <w:rFonts w:hint="eastAsia"/>
          <w:szCs w:val="21"/>
          <w:highlight w:val="none"/>
        </w:rPr>
      </w:pPr>
    </w:p>
    <w:p w14:paraId="72B44526">
      <w:pPr>
        <w:numPr>
          <w:ilvl w:val="0"/>
          <w:numId w:val="0"/>
        </w:numPr>
        <w:spacing w:line="440" w:lineRule="exact"/>
        <w:rPr>
          <w:rFonts w:hint="eastAsia"/>
          <w:szCs w:val="21"/>
          <w:highlight w:val="none"/>
        </w:rPr>
      </w:pPr>
    </w:p>
    <w:p w14:paraId="2CC43C59">
      <w:pPr>
        <w:pStyle w:val="60"/>
        <w:keepNext w:val="0"/>
        <w:keepLines w:val="0"/>
        <w:pageBreakBefore w:val="0"/>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新宋体" w:hAnsi="新宋体"/>
          <w:b w:val="0"/>
          <w:color w:val="auto"/>
          <w:sz w:val="24"/>
          <w:szCs w:val="24"/>
          <w:highlight w:val="none"/>
        </w:rPr>
      </w:pPr>
      <w:r>
        <w:rPr>
          <w:rFonts w:hint="eastAsia" w:ascii="新宋体" w:hAnsi="新宋体"/>
          <w:b w:val="0"/>
          <w:color w:val="auto"/>
          <w:sz w:val="21"/>
          <w:szCs w:val="21"/>
          <w:highlight w:val="none"/>
          <w:lang w:val="en-US" w:eastAsia="zh-CN"/>
        </w:rPr>
        <w:t xml:space="preserve">                                            </w:t>
      </w:r>
      <w:r>
        <w:rPr>
          <w:rFonts w:hint="eastAsia" w:ascii="新宋体" w:hAnsi="新宋体"/>
          <w:b w:val="0"/>
          <w:color w:val="auto"/>
          <w:sz w:val="24"/>
          <w:szCs w:val="24"/>
          <w:highlight w:val="none"/>
        </w:rPr>
        <w:t>投标人：</w:t>
      </w:r>
      <w:r>
        <w:rPr>
          <w:rFonts w:ascii="新宋体" w:hAnsi="新宋体"/>
          <w:b w:val="0"/>
          <w:color w:val="auto"/>
          <w:sz w:val="24"/>
          <w:szCs w:val="24"/>
          <w:highlight w:val="none"/>
          <w:u w:val="single"/>
        </w:rPr>
        <w:t xml:space="preserve">             </w:t>
      </w:r>
      <w:r>
        <w:rPr>
          <w:rFonts w:hint="eastAsia" w:ascii="新宋体" w:hAnsi="新宋体"/>
          <w:b w:val="0"/>
          <w:color w:val="auto"/>
          <w:sz w:val="24"/>
          <w:szCs w:val="24"/>
          <w:highlight w:val="none"/>
          <w:u w:val="single"/>
        </w:rPr>
        <w:t xml:space="preserve">  （单位全称、盖章）   </w:t>
      </w:r>
    </w:p>
    <w:p w14:paraId="2D803CE2">
      <w:pPr>
        <w:pStyle w:val="60"/>
        <w:keepNext w:val="0"/>
        <w:keepLines w:val="0"/>
        <w:pageBreakBefore w:val="0"/>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新宋体" w:hAnsi="新宋体"/>
          <w:b w:val="0"/>
          <w:color w:val="auto"/>
          <w:sz w:val="24"/>
          <w:szCs w:val="24"/>
          <w:highlight w:val="none"/>
        </w:rPr>
      </w:pPr>
      <w:r>
        <w:rPr>
          <w:rFonts w:hint="eastAsia" w:ascii="新宋体" w:hAnsi="新宋体"/>
          <w:b w:val="0"/>
          <w:color w:val="auto"/>
          <w:sz w:val="24"/>
          <w:szCs w:val="24"/>
          <w:highlight w:val="none"/>
          <w:lang w:val="en-US" w:eastAsia="zh-CN"/>
        </w:rPr>
        <w:t xml:space="preserve">                                       </w:t>
      </w:r>
      <w:r>
        <w:rPr>
          <w:rFonts w:hint="eastAsia" w:ascii="新宋体" w:hAnsi="新宋体"/>
          <w:b w:val="0"/>
          <w:color w:val="auto"/>
          <w:sz w:val="24"/>
          <w:szCs w:val="24"/>
          <w:highlight w:val="none"/>
        </w:rPr>
        <w:t>法定代表人或授权代表：</w:t>
      </w:r>
      <w:r>
        <w:rPr>
          <w:rFonts w:hint="eastAsia" w:ascii="新宋体" w:hAnsi="新宋体"/>
          <w:b w:val="0"/>
          <w:color w:val="auto"/>
          <w:sz w:val="24"/>
          <w:szCs w:val="24"/>
          <w:highlight w:val="none"/>
          <w:u w:val="single"/>
        </w:rPr>
        <w:t xml:space="preserve">     （</w:t>
      </w:r>
      <w:r>
        <w:rPr>
          <w:rFonts w:hint="eastAsia" w:ascii="新宋体" w:hAnsi="新宋体"/>
          <w:b w:val="0"/>
          <w:color w:val="auto"/>
          <w:sz w:val="24"/>
          <w:szCs w:val="24"/>
          <w:highlight w:val="none"/>
          <w:u w:val="single"/>
          <w:lang w:eastAsia="zh-CN"/>
        </w:rPr>
        <w:t>盖章或签字</w:t>
      </w:r>
      <w:r>
        <w:rPr>
          <w:rFonts w:hint="eastAsia" w:ascii="新宋体" w:hAnsi="新宋体"/>
          <w:b w:val="0"/>
          <w:color w:val="auto"/>
          <w:sz w:val="24"/>
          <w:szCs w:val="24"/>
          <w:highlight w:val="none"/>
          <w:u w:val="single"/>
        </w:rPr>
        <w:t xml:space="preserve">）    </w:t>
      </w:r>
    </w:p>
    <w:p w14:paraId="49A112A2">
      <w:pPr>
        <w:spacing w:line="440" w:lineRule="exact"/>
        <w:rPr>
          <w:rFonts w:hint="eastAsia"/>
          <w:sz w:val="24"/>
          <w:szCs w:val="24"/>
          <w:highlight w:val="none"/>
        </w:rPr>
      </w:pPr>
      <w:r>
        <w:rPr>
          <w:rFonts w:hint="eastAsia" w:ascii="新宋体" w:hAnsi="新宋体"/>
          <w:b w:val="0"/>
          <w:color w:val="auto"/>
          <w:sz w:val="24"/>
          <w:szCs w:val="24"/>
          <w:highlight w:val="none"/>
          <w:lang w:val="en-US" w:eastAsia="zh-CN"/>
        </w:rPr>
        <w:t xml:space="preserve">                                       </w:t>
      </w:r>
      <w:r>
        <w:rPr>
          <w:rFonts w:hint="eastAsia" w:ascii="新宋体" w:hAnsi="新宋体"/>
          <w:b w:val="0"/>
          <w:color w:val="auto"/>
          <w:sz w:val="24"/>
          <w:szCs w:val="24"/>
          <w:highlight w:val="none"/>
        </w:rPr>
        <w:t>投标日期：</w:t>
      </w:r>
      <w:r>
        <w:rPr>
          <w:rFonts w:hint="eastAsia" w:ascii="新宋体" w:hAnsi="新宋体"/>
          <w:b w:val="0"/>
          <w:color w:val="auto"/>
          <w:sz w:val="24"/>
          <w:szCs w:val="24"/>
          <w:highlight w:val="none"/>
          <w:u w:val="single"/>
        </w:rPr>
        <w:t xml:space="preserve">        </w:t>
      </w:r>
      <w:r>
        <w:rPr>
          <w:rFonts w:hint="eastAsia" w:ascii="新宋体" w:hAnsi="新宋体"/>
          <w:b w:val="0"/>
          <w:color w:val="auto"/>
          <w:sz w:val="24"/>
          <w:szCs w:val="24"/>
          <w:highlight w:val="none"/>
        </w:rPr>
        <w:t>年</w:t>
      </w:r>
      <w:r>
        <w:rPr>
          <w:rFonts w:hint="eastAsia" w:ascii="新宋体" w:hAnsi="新宋体"/>
          <w:b w:val="0"/>
          <w:color w:val="auto"/>
          <w:sz w:val="24"/>
          <w:szCs w:val="24"/>
          <w:highlight w:val="none"/>
          <w:u w:val="single"/>
        </w:rPr>
        <w:t xml:space="preserve">    </w:t>
      </w:r>
      <w:r>
        <w:rPr>
          <w:rFonts w:hint="eastAsia" w:ascii="新宋体" w:hAnsi="新宋体"/>
          <w:b w:val="0"/>
          <w:color w:val="auto"/>
          <w:sz w:val="24"/>
          <w:szCs w:val="24"/>
          <w:highlight w:val="none"/>
        </w:rPr>
        <w:t>月</w:t>
      </w:r>
      <w:r>
        <w:rPr>
          <w:rFonts w:hint="eastAsia" w:ascii="新宋体" w:hAnsi="新宋体"/>
          <w:b w:val="0"/>
          <w:color w:val="auto"/>
          <w:sz w:val="24"/>
          <w:szCs w:val="24"/>
          <w:highlight w:val="none"/>
          <w:u w:val="single"/>
        </w:rPr>
        <w:t xml:space="preserve">    </w:t>
      </w:r>
      <w:r>
        <w:rPr>
          <w:rFonts w:hint="eastAsia" w:ascii="新宋体" w:hAnsi="新宋体"/>
          <w:b w:val="0"/>
          <w:color w:val="auto"/>
          <w:sz w:val="24"/>
          <w:szCs w:val="24"/>
          <w:highlight w:val="none"/>
        </w:rPr>
        <w:t>日</w:t>
      </w:r>
    </w:p>
    <w:p w14:paraId="3A0B50F0">
      <w:pPr>
        <w:pStyle w:val="4"/>
        <w:pageBreakBefore w:val="0"/>
        <w:tabs>
          <w:tab w:val="left" w:pos="1603"/>
        </w:tabs>
        <w:topLinePunct w:val="0"/>
        <w:bidi w:val="0"/>
        <w:spacing w:before="0" w:line="500" w:lineRule="exact"/>
        <w:ind w:left="0" w:leftChars="0" w:right="0" w:rightChars="0" w:firstLine="2891" w:firstLineChars="900"/>
        <w:jc w:val="both"/>
        <w:rPr>
          <w:color w:val="auto"/>
        </w:rPr>
      </w:pPr>
    </w:p>
    <w:p w14:paraId="1829C8AC">
      <w:pPr>
        <w:pStyle w:val="4"/>
        <w:pageBreakBefore w:val="0"/>
        <w:tabs>
          <w:tab w:val="left" w:pos="1603"/>
        </w:tabs>
        <w:topLinePunct w:val="0"/>
        <w:bidi w:val="0"/>
        <w:spacing w:before="0" w:line="500" w:lineRule="exact"/>
        <w:ind w:left="0" w:leftChars="0" w:right="0" w:rightChars="0" w:firstLine="2891" w:firstLineChars="900"/>
        <w:jc w:val="both"/>
        <w:rPr>
          <w:color w:val="auto"/>
        </w:rPr>
      </w:pPr>
    </w:p>
    <w:p w14:paraId="5A497CC8">
      <w:pPr>
        <w:pStyle w:val="4"/>
        <w:pageBreakBefore w:val="0"/>
        <w:tabs>
          <w:tab w:val="left" w:pos="1603"/>
        </w:tabs>
        <w:topLinePunct w:val="0"/>
        <w:bidi w:val="0"/>
        <w:spacing w:before="0" w:line="500" w:lineRule="exact"/>
        <w:ind w:left="0" w:leftChars="0" w:right="0" w:rightChars="0" w:firstLine="2891" w:firstLineChars="900"/>
        <w:jc w:val="both"/>
        <w:rPr>
          <w:color w:val="auto"/>
        </w:rPr>
      </w:pPr>
    </w:p>
    <w:p w14:paraId="5E32023A">
      <w:pPr>
        <w:pStyle w:val="4"/>
        <w:pageBreakBefore w:val="0"/>
        <w:tabs>
          <w:tab w:val="left" w:pos="1603"/>
        </w:tabs>
        <w:topLinePunct w:val="0"/>
        <w:bidi w:val="0"/>
        <w:spacing w:before="0" w:line="500" w:lineRule="exact"/>
        <w:ind w:left="0" w:leftChars="0" w:right="0" w:rightChars="0" w:firstLine="2891" w:firstLineChars="900"/>
        <w:jc w:val="both"/>
        <w:rPr>
          <w:color w:val="auto"/>
        </w:rPr>
      </w:pPr>
    </w:p>
    <w:p w14:paraId="36019CDB">
      <w:pPr>
        <w:pStyle w:val="4"/>
        <w:pageBreakBefore w:val="0"/>
        <w:tabs>
          <w:tab w:val="left" w:pos="1603"/>
        </w:tabs>
        <w:topLinePunct w:val="0"/>
        <w:bidi w:val="0"/>
        <w:spacing w:before="0" w:line="500" w:lineRule="exact"/>
        <w:ind w:left="0" w:leftChars="0" w:right="0" w:rightChars="0" w:firstLine="2891" w:firstLineChars="900"/>
        <w:jc w:val="both"/>
        <w:rPr>
          <w:color w:val="auto"/>
        </w:rPr>
      </w:pPr>
    </w:p>
    <w:p w14:paraId="32F1F46B">
      <w:pPr>
        <w:pStyle w:val="4"/>
        <w:pageBreakBefore w:val="0"/>
        <w:tabs>
          <w:tab w:val="left" w:pos="1603"/>
        </w:tabs>
        <w:topLinePunct w:val="0"/>
        <w:bidi w:val="0"/>
        <w:spacing w:before="0" w:line="500" w:lineRule="exact"/>
        <w:ind w:left="0" w:leftChars="0" w:right="0" w:rightChars="0" w:firstLine="2891" w:firstLineChars="900"/>
        <w:jc w:val="both"/>
        <w:rPr>
          <w:color w:val="auto"/>
        </w:rPr>
      </w:pPr>
    </w:p>
    <w:p w14:paraId="641B1FCA">
      <w:pPr>
        <w:pStyle w:val="4"/>
        <w:pageBreakBefore w:val="0"/>
        <w:tabs>
          <w:tab w:val="left" w:pos="1603"/>
        </w:tabs>
        <w:topLinePunct w:val="0"/>
        <w:bidi w:val="0"/>
        <w:spacing w:before="0" w:line="500" w:lineRule="exact"/>
        <w:ind w:right="0" w:rightChars="0"/>
        <w:jc w:val="both"/>
        <w:rPr>
          <w:color w:val="auto"/>
        </w:rPr>
      </w:pPr>
    </w:p>
    <w:p w14:paraId="0A53877D">
      <w:pPr>
        <w:pStyle w:val="4"/>
        <w:pageBreakBefore w:val="0"/>
        <w:tabs>
          <w:tab w:val="left" w:pos="1603"/>
        </w:tabs>
        <w:topLinePunct w:val="0"/>
        <w:bidi w:val="0"/>
        <w:spacing w:before="0" w:line="500" w:lineRule="exact"/>
        <w:ind w:left="0" w:leftChars="0" w:right="0" w:rightChars="0" w:firstLine="2891" w:firstLineChars="900"/>
        <w:jc w:val="both"/>
        <w:rPr>
          <w:color w:val="auto"/>
        </w:rPr>
      </w:pPr>
      <w:r>
        <w:rPr>
          <w:color w:val="auto"/>
        </w:rPr>
        <w:t>第三部分</w:t>
      </w:r>
      <w:r>
        <w:rPr>
          <w:color w:val="auto"/>
        </w:rPr>
        <w:tab/>
      </w:r>
      <w:r>
        <w:rPr>
          <w:color w:val="auto"/>
          <w:w w:val="95"/>
        </w:rPr>
        <w:t>投标方案</w:t>
      </w:r>
    </w:p>
    <w:p w14:paraId="17E97546">
      <w:pPr>
        <w:pStyle w:val="12"/>
        <w:pageBreakBefore w:val="0"/>
        <w:topLinePunct w:val="0"/>
        <w:bidi w:val="0"/>
        <w:spacing w:line="500" w:lineRule="exact"/>
        <w:ind w:left="0" w:leftChars="0" w:right="0" w:rightChars="0" w:firstLine="582" w:firstLineChars="200"/>
        <w:rPr>
          <w:b/>
          <w:color w:val="auto"/>
          <w:sz w:val="29"/>
        </w:rPr>
      </w:pPr>
    </w:p>
    <w:p w14:paraId="3F223A0A">
      <w:pPr>
        <w:pageBreakBefore w:val="0"/>
        <w:numPr>
          <w:ilvl w:val="0"/>
          <w:numId w:val="23"/>
        </w:numPr>
        <w:topLinePunct w:val="0"/>
        <w:bidi w:val="0"/>
        <w:spacing w:line="500" w:lineRule="exact"/>
        <w:ind w:left="0" w:leftChars="0" w:right="0" w:rightChars="0" w:firstLine="560" w:firstLineChars="200"/>
        <w:rPr>
          <w:color w:val="auto"/>
          <w:sz w:val="28"/>
          <w:szCs w:val="28"/>
          <w:lang w:val="en-US"/>
        </w:rPr>
      </w:pPr>
      <w:r>
        <w:rPr>
          <w:rFonts w:hint="eastAsia"/>
          <w:color w:val="auto"/>
          <w:sz w:val="28"/>
          <w:szCs w:val="28"/>
          <w:lang w:val="en-US" w:eastAsia="zh-CN"/>
        </w:rPr>
        <w:t>合同包一至合同包六：投标供应商</w:t>
      </w:r>
      <w:r>
        <w:rPr>
          <w:rFonts w:hint="eastAsia"/>
          <w:color w:val="auto"/>
          <w:sz w:val="28"/>
          <w:szCs w:val="28"/>
          <w:lang w:val="en-US"/>
        </w:rPr>
        <w:t>针对本项目</w:t>
      </w:r>
      <w:r>
        <w:rPr>
          <w:rFonts w:hint="eastAsia"/>
          <w:color w:val="auto"/>
          <w:sz w:val="28"/>
          <w:szCs w:val="28"/>
          <w:lang w:val="en-US" w:eastAsia="zh-CN"/>
        </w:rPr>
        <w:t>所投合同包</w:t>
      </w:r>
      <w:r>
        <w:rPr>
          <w:rFonts w:hint="eastAsia"/>
          <w:color w:val="auto"/>
          <w:sz w:val="28"/>
          <w:szCs w:val="28"/>
          <w:lang w:val="en-US"/>
        </w:rPr>
        <w:t>的技术方案</w:t>
      </w:r>
      <w:r>
        <w:rPr>
          <w:rFonts w:hint="eastAsia"/>
          <w:color w:val="auto"/>
          <w:sz w:val="28"/>
          <w:szCs w:val="28"/>
          <w:lang w:val="en-US" w:eastAsia="zh-CN"/>
        </w:rPr>
        <w:t>、质量及安全控制措施</w:t>
      </w:r>
      <w:r>
        <w:rPr>
          <w:rFonts w:hint="eastAsia"/>
          <w:color w:val="auto"/>
          <w:sz w:val="28"/>
          <w:szCs w:val="28"/>
          <w:lang w:val="en-US"/>
        </w:rPr>
        <w:t>、</w:t>
      </w:r>
      <w:r>
        <w:rPr>
          <w:rFonts w:hint="eastAsia"/>
          <w:color w:val="auto"/>
          <w:sz w:val="28"/>
          <w:szCs w:val="28"/>
          <w:lang w:val="en-US" w:eastAsia="zh-CN"/>
        </w:rPr>
        <w:t>业绩、售后服务等予以</w:t>
      </w:r>
      <w:r>
        <w:rPr>
          <w:rFonts w:hint="eastAsia"/>
          <w:color w:val="auto"/>
          <w:sz w:val="28"/>
          <w:szCs w:val="28"/>
          <w:lang w:val="en-US"/>
        </w:rPr>
        <w:t>说明</w:t>
      </w:r>
      <w:r>
        <w:rPr>
          <w:rFonts w:hint="eastAsia"/>
          <w:color w:val="auto"/>
          <w:sz w:val="28"/>
          <w:szCs w:val="28"/>
          <w:lang w:val="en-US" w:eastAsia="zh-CN"/>
        </w:rPr>
        <w:t>；</w:t>
      </w:r>
    </w:p>
    <w:p w14:paraId="042F487F">
      <w:pPr>
        <w:pageBreakBefore w:val="0"/>
        <w:topLinePunct w:val="0"/>
        <w:bidi w:val="0"/>
        <w:spacing w:line="500" w:lineRule="exact"/>
        <w:ind w:left="0" w:leftChars="0" w:right="0" w:rightChars="0" w:firstLine="560" w:firstLineChars="200"/>
        <w:rPr>
          <w:color w:val="auto"/>
          <w:sz w:val="28"/>
          <w:szCs w:val="28"/>
          <w:lang w:val="en-US"/>
        </w:rPr>
      </w:pPr>
      <w:r>
        <w:rPr>
          <w:rFonts w:hint="eastAsia"/>
          <w:color w:val="auto"/>
          <w:sz w:val="28"/>
          <w:szCs w:val="28"/>
          <w:lang w:val="en-US"/>
        </w:rPr>
        <w:t>二、食品安全承诺书。</w:t>
      </w:r>
    </w:p>
    <w:p w14:paraId="62A1C010">
      <w:pPr>
        <w:pageBreakBefore w:val="0"/>
        <w:topLinePunct w:val="0"/>
        <w:bidi w:val="0"/>
        <w:spacing w:line="500" w:lineRule="exact"/>
        <w:ind w:left="0" w:leftChars="0" w:right="0" w:rightChars="0" w:firstLine="560" w:firstLineChars="200"/>
        <w:rPr>
          <w:color w:val="auto"/>
          <w:sz w:val="28"/>
          <w:szCs w:val="28"/>
          <w:lang w:val="en-US"/>
        </w:rPr>
      </w:pPr>
      <w:r>
        <w:rPr>
          <w:rFonts w:hint="eastAsia"/>
          <w:color w:val="auto"/>
          <w:sz w:val="28"/>
          <w:szCs w:val="28"/>
          <w:lang w:val="en-US" w:eastAsia="zh-CN"/>
        </w:rPr>
        <w:t>三</w:t>
      </w:r>
      <w:r>
        <w:rPr>
          <w:rFonts w:hint="eastAsia"/>
          <w:color w:val="auto"/>
          <w:sz w:val="28"/>
          <w:szCs w:val="28"/>
          <w:lang w:val="en-US"/>
        </w:rPr>
        <w:t>、</w:t>
      </w:r>
      <w:r>
        <w:rPr>
          <w:rFonts w:hint="eastAsia"/>
          <w:color w:val="auto"/>
          <w:sz w:val="28"/>
          <w:szCs w:val="28"/>
          <w:lang w:val="en-US" w:eastAsia="zh-CN"/>
        </w:rPr>
        <w:t>供应商</w:t>
      </w:r>
      <w:r>
        <w:rPr>
          <w:rFonts w:hint="eastAsia"/>
          <w:color w:val="auto"/>
          <w:sz w:val="28"/>
          <w:szCs w:val="28"/>
          <w:lang w:val="en-US"/>
        </w:rPr>
        <w:t>认为有必要说明的问题。</w:t>
      </w:r>
    </w:p>
    <w:p w14:paraId="2B2F0AB5">
      <w:pPr>
        <w:pageBreakBefore w:val="0"/>
        <w:topLinePunct w:val="0"/>
        <w:bidi w:val="0"/>
        <w:spacing w:line="500" w:lineRule="exact"/>
        <w:ind w:left="0" w:leftChars="0" w:right="0" w:rightChars="0" w:firstLine="562" w:firstLineChars="200"/>
        <w:rPr>
          <w:color w:val="auto"/>
          <w:sz w:val="28"/>
          <w:szCs w:val="28"/>
          <w:lang w:val="en-US"/>
        </w:rPr>
      </w:pPr>
      <w:r>
        <w:rPr>
          <w:rFonts w:hint="eastAsia"/>
          <w:b/>
          <w:bCs/>
          <w:color w:val="auto"/>
          <w:sz w:val="28"/>
          <w:szCs w:val="28"/>
          <w:lang w:val="en-US"/>
        </w:rPr>
        <w:t>（各</w:t>
      </w:r>
      <w:r>
        <w:rPr>
          <w:rFonts w:hint="eastAsia"/>
          <w:b/>
          <w:bCs/>
          <w:color w:val="auto"/>
          <w:sz w:val="28"/>
          <w:szCs w:val="28"/>
          <w:lang w:val="en-US" w:eastAsia="zh-CN"/>
        </w:rPr>
        <w:t>供应商</w:t>
      </w:r>
      <w:r>
        <w:rPr>
          <w:rFonts w:hint="eastAsia"/>
          <w:b/>
          <w:bCs/>
          <w:color w:val="auto"/>
          <w:sz w:val="28"/>
          <w:szCs w:val="28"/>
          <w:lang w:val="en-US"/>
        </w:rPr>
        <w:t>根据采购人采购内容及要求，并结合评审办法，可自主编写投  标方案说明，包含但不限于以上内容。）</w:t>
      </w:r>
    </w:p>
    <w:p w14:paraId="503422B0">
      <w:pPr>
        <w:pageBreakBefore w:val="0"/>
        <w:topLinePunct w:val="0"/>
        <w:bidi w:val="0"/>
        <w:spacing w:line="500" w:lineRule="exact"/>
        <w:ind w:left="0" w:leftChars="0" w:right="0" w:rightChars="0" w:firstLine="440" w:firstLineChars="200"/>
        <w:rPr>
          <w:color w:val="auto"/>
        </w:rPr>
        <w:sectPr>
          <w:headerReference r:id="rId17" w:type="default"/>
          <w:pgSz w:w="11910" w:h="16840"/>
          <w:pgMar w:top="1360" w:right="660" w:bottom="1200" w:left="1340" w:header="872" w:footer="1005" w:gutter="0"/>
          <w:pgNumType w:fmt="decimal"/>
          <w:cols w:space="720" w:num="1"/>
        </w:sectPr>
      </w:pPr>
    </w:p>
    <w:p w14:paraId="27E19552">
      <w:pPr>
        <w:pageBreakBefore w:val="0"/>
        <w:topLinePunct w:val="0"/>
        <w:bidi w:val="0"/>
        <w:spacing w:line="500" w:lineRule="exact"/>
        <w:ind w:left="0" w:leftChars="0" w:right="0" w:rightChars="0" w:firstLine="643" w:firstLineChars="200"/>
        <w:rPr>
          <w:b/>
          <w:color w:val="auto"/>
          <w:sz w:val="32"/>
          <w:szCs w:val="32"/>
        </w:rPr>
      </w:pPr>
    </w:p>
    <w:p w14:paraId="3FCF3709">
      <w:pPr>
        <w:pageBreakBefore w:val="0"/>
        <w:topLinePunct w:val="0"/>
        <w:bidi w:val="0"/>
        <w:spacing w:line="500" w:lineRule="exact"/>
        <w:ind w:left="0" w:leftChars="0" w:right="0" w:rightChars="0" w:firstLine="643" w:firstLineChars="200"/>
        <w:rPr>
          <w:b/>
          <w:color w:val="auto"/>
          <w:sz w:val="32"/>
          <w:szCs w:val="32"/>
        </w:rPr>
      </w:pPr>
    </w:p>
    <w:p w14:paraId="41242DA3">
      <w:pPr>
        <w:pageBreakBefore w:val="0"/>
        <w:topLinePunct w:val="0"/>
        <w:bidi w:val="0"/>
        <w:spacing w:line="500" w:lineRule="exact"/>
        <w:ind w:left="0" w:leftChars="0" w:right="0" w:rightChars="0" w:firstLine="643" w:firstLineChars="200"/>
        <w:rPr>
          <w:b/>
          <w:color w:val="auto"/>
          <w:sz w:val="32"/>
          <w:szCs w:val="32"/>
        </w:rPr>
      </w:pPr>
    </w:p>
    <w:p w14:paraId="4872211D">
      <w:pPr>
        <w:pageBreakBefore w:val="0"/>
        <w:topLinePunct w:val="0"/>
        <w:bidi w:val="0"/>
        <w:spacing w:line="500" w:lineRule="exact"/>
        <w:ind w:left="0" w:leftChars="0" w:right="0" w:rightChars="0" w:firstLine="643" w:firstLineChars="200"/>
        <w:rPr>
          <w:b/>
          <w:color w:val="auto"/>
          <w:sz w:val="32"/>
          <w:szCs w:val="32"/>
        </w:rPr>
      </w:pPr>
    </w:p>
    <w:p w14:paraId="1DBD23C9">
      <w:pPr>
        <w:pageBreakBefore w:val="0"/>
        <w:topLinePunct w:val="0"/>
        <w:bidi w:val="0"/>
        <w:spacing w:line="500" w:lineRule="exact"/>
        <w:ind w:left="0" w:leftChars="0" w:right="0" w:rightChars="0" w:firstLine="643" w:firstLineChars="200"/>
        <w:rPr>
          <w:b/>
          <w:color w:val="auto"/>
          <w:sz w:val="32"/>
          <w:szCs w:val="32"/>
        </w:rPr>
      </w:pPr>
    </w:p>
    <w:p w14:paraId="665CF8D1">
      <w:pPr>
        <w:pageBreakBefore w:val="0"/>
        <w:topLinePunct w:val="0"/>
        <w:bidi w:val="0"/>
        <w:spacing w:line="500" w:lineRule="exact"/>
        <w:ind w:left="0" w:leftChars="0" w:right="0" w:rightChars="0" w:firstLine="643" w:firstLineChars="200"/>
        <w:rPr>
          <w:b/>
          <w:color w:val="auto"/>
          <w:sz w:val="32"/>
          <w:szCs w:val="32"/>
        </w:rPr>
      </w:pPr>
    </w:p>
    <w:p w14:paraId="421369F9">
      <w:pPr>
        <w:pageBreakBefore w:val="0"/>
        <w:topLinePunct w:val="0"/>
        <w:bidi w:val="0"/>
        <w:spacing w:line="500" w:lineRule="exact"/>
        <w:ind w:left="0" w:leftChars="0" w:right="0" w:rightChars="0" w:firstLine="643" w:firstLineChars="200"/>
        <w:rPr>
          <w:b/>
          <w:color w:val="auto"/>
          <w:sz w:val="32"/>
          <w:szCs w:val="32"/>
        </w:rPr>
      </w:pPr>
    </w:p>
    <w:p w14:paraId="0FB842AD">
      <w:pPr>
        <w:pageBreakBefore w:val="0"/>
        <w:topLinePunct w:val="0"/>
        <w:bidi w:val="0"/>
        <w:spacing w:line="500" w:lineRule="exact"/>
        <w:ind w:left="0" w:leftChars="0" w:right="0" w:rightChars="0" w:firstLine="643" w:firstLineChars="200"/>
        <w:rPr>
          <w:b/>
          <w:color w:val="auto"/>
          <w:sz w:val="32"/>
          <w:szCs w:val="32"/>
        </w:rPr>
      </w:pPr>
    </w:p>
    <w:p w14:paraId="03179284">
      <w:pPr>
        <w:pageBreakBefore w:val="0"/>
        <w:topLinePunct w:val="0"/>
        <w:bidi w:val="0"/>
        <w:spacing w:line="500" w:lineRule="exact"/>
        <w:ind w:left="0" w:leftChars="0" w:right="0" w:rightChars="0" w:firstLine="643" w:firstLineChars="200"/>
        <w:rPr>
          <w:b/>
          <w:color w:val="auto"/>
          <w:sz w:val="32"/>
          <w:szCs w:val="32"/>
        </w:rPr>
      </w:pPr>
    </w:p>
    <w:p w14:paraId="7E33033E">
      <w:pPr>
        <w:pageBreakBefore w:val="0"/>
        <w:topLinePunct w:val="0"/>
        <w:bidi w:val="0"/>
        <w:spacing w:line="500" w:lineRule="exact"/>
        <w:ind w:left="0" w:leftChars="0" w:right="0" w:rightChars="0" w:firstLine="643" w:firstLineChars="200"/>
        <w:rPr>
          <w:b/>
          <w:color w:val="auto"/>
          <w:sz w:val="32"/>
          <w:szCs w:val="32"/>
        </w:rPr>
      </w:pPr>
    </w:p>
    <w:p w14:paraId="38699E3C">
      <w:pPr>
        <w:pageBreakBefore w:val="0"/>
        <w:topLinePunct w:val="0"/>
        <w:bidi w:val="0"/>
        <w:spacing w:line="500" w:lineRule="exact"/>
        <w:ind w:left="0" w:leftChars="0" w:right="0" w:rightChars="0" w:firstLine="643" w:firstLineChars="200"/>
        <w:rPr>
          <w:b/>
          <w:color w:val="auto"/>
          <w:sz w:val="32"/>
          <w:szCs w:val="32"/>
        </w:rPr>
      </w:pPr>
    </w:p>
    <w:p w14:paraId="0718F644">
      <w:pPr>
        <w:pageBreakBefore w:val="0"/>
        <w:topLinePunct w:val="0"/>
        <w:bidi w:val="0"/>
        <w:spacing w:line="500" w:lineRule="exact"/>
        <w:ind w:left="0" w:leftChars="0" w:right="0" w:rightChars="0" w:firstLine="643" w:firstLineChars="200"/>
        <w:rPr>
          <w:b/>
          <w:color w:val="auto"/>
          <w:sz w:val="32"/>
          <w:szCs w:val="32"/>
        </w:rPr>
      </w:pPr>
    </w:p>
    <w:p w14:paraId="24820203">
      <w:pPr>
        <w:pageBreakBefore w:val="0"/>
        <w:topLinePunct w:val="0"/>
        <w:bidi w:val="0"/>
        <w:spacing w:line="500" w:lineRule="exact"/>
        <w:ind w:left="0" w:leftChars="0" w:right="0" w:rightChars="0" w:firstLine="643" w:firstLineChars="200"/>
        <w:rPr>
          <w:b/>
          <w:color w:val="auto"/>
          <w:sz w:val="32"/>
          <w:szCs w:val="32"/>
        </w:rPr>
      </w:pPr>
    </w:p>
    <w:p w14:paraId="6F23C8C8">
      <w:pPr>
        <w:pageBreakBefore w:val="0"/>
        <w:topLinePunct w:val="0"/>
        <w:bidi w:val="0"/>
        <w:spacing w:line="500" w:lineRule="exact"/>
        <w:ind w:left="0" w:leftChars="0" w:right="0" w:rightChars="0" w:firstLine="643" w:firstLineChars="200"/>
        <w:rPr>
          <w:b/>
          <w:color w:val="auto"/>
          <w:sz w:val="32"/>
          <w:szCs w:val="32"/>
        </w:rPr>
      </w:pPr>
    </w:p>
    <w:p w14:paraId="4101D0E7">
      <w:pPr>
        <w:pageBreakBefore w:val="0"/>
        <w:topLinePunct w:val="0"/>
        <w:bidi w:val="0"/>
        <w:spacing w:line="500" w:lineRule="exact"/>
        <w:ind w:left="0" w:leftChars="0" w:right="0" w:rightChars="0" w:firstLine="643" w:firstLineChars="200"/>
        <w:rPr>
          <w:b/>
          <w:color w:val="auto"/>
          <w:sz w:val="32"/>
          <w:szCs w:val="32"/>
        </w:rPr>
      </w:pPr>
    </w:p>
    <w:p w14:paraId="3E05B3F6">
      <w:pPr>
        <w:pageBreakBefore w:val="0"/>
        <w:topLinePunct w:val="0"/>
        <w:bidi w:val="0"/>
        <w:spacing w:line="500" w:lineRule="exact"/>
        <w:ind w:left="0" w:leftChars="0" w:right="0" w:rightChars="0" w:firstLine="643" w:firstLineChars="200"/>
        <w:rPr>
          <w:b/>
          <w:color w:val="auto"/>
          <w:sz w:val="32"/>
          <w:szCs w:val="32"/>
        </w:rPr>
      </w:pPr>
    </w:p>
    <w:p w14:paraId="5770949D">
      <w:pPr>
        <w:pageBreakBefore w:val="0"/>
        <w:topLinePunct w:val="0"/>
        <w:bidi w:val="0"/>
        <w:spacing w:line="500" w:lineRule="exact"/>
        <w:ind w:left="0" w:leftChars="0" w:right="0" w:rightChars="0" w:firstLine="643" w:firstLineChars="200"/>
        <w:rPr>
          <w:b/>
          <w:color w:val="auto"/>
          <w:sz w:val="32"/>
          <w:szCs w:val="32"/>
        </w:rPr>
      </w:pPr>
    </w:p>
    <w:p w14:paraId="754284C1">
      <w:pPr>
        <w:pageBreakBefore w:val="0"/>
        <w:topLinePunct w:val="0"/>
        <w:bidi w:val="0"/>
        <w:spacing w:line="500" w:lineRule="exact"/>
        <w:ind w:left="0" w:leftChars="0" w:right="0" w:rightChars="0" w:firstLine="643" w:firstLineChars="200"/>
        <w:rPr>
          <w:b/>
          <w:color w:val="auto"/>
          <w:sz w:val="32"/>
          <w:szCs w:val="32"/>
        </w:rPr>
      </w:pPr>
    </w:p>
    <w:p w14:paraId="6178BE35">
      <w:pPr>
        <w:pageBreakBefore w:val="0"/>
        <w:topLinePunct w:val="0"/>
        <w:bidi w:val="0"/>
        <w:spacing w:line="500" w:lineRule="exact"/>
        <w:ind w:left="0" w:leftChars="0" w:right="0" w:rightChars="0" w:firstLine="643" w:firstLineChars="200"/>
        <w:rPr>
          <w:b/>
          <w:color w:val="auto"/>
          <w:sz w:val="32"/>
          <w:szCs w:val="32"/>
        </w:rPr>
      </w:pPr>
    </w:p>
    <w:p w14:paraId="19914E91">
      <w:pPr>
        <w:pageBreakBefore w:val="0"/>
        <w:topLinePunct w:val="0"/>
        <w:bidi w:val="0"/>
        <w:spacing w:line="500" w:lineRule="exact"/>
        <w:ind w:left="0" w:leftChars="0" w:right="0" w:rightChars="0" w:firstLine="643" w:firstLineChars="200"/>
        <w:rPr>
          <w:b/>
          <w:color w:val="auto"/>
          <w:sz w:val="32"/>
          <w:szCs w:val="32"/>
        </w:rPr>
      </w:pPr>
    </w:p>
    <w:p w14:paraId="0ED01DD5">
      <w:pPr>
        <w:pageBreakBefore w:val="0"/>
        <w:topLinePunct w:val="0"/>
        <w:bidi w:val="0"/>
        <w:spacing w:line="500" w:lineRule="exact"/>
        <w:ind w:left="0" w:leftChars="0" w:right="0" w:rightChars="0" w:firstLine="482" w:firstLineChars="200"/>
        <w:rPr>
          <w:b/>
          <w:color w:val="auto"/>
          <w:sz w:val="24"/>
          <w:szCs w:val="24"/>
        </w:rPr>
      </w:pPr>
      <w:r>
        <w:rPr>
          <w:b/>
          <w:color w:val="auto"/>
          <w:sz w:val="24"/>
          <w:szCs w:val="24"/>
        </w:rPr>
        <w:t>附表 1</w:t>
      </w:r>
    </w:p>
    <w:p w14:paraId="63B20755">
      <w:pPr>
        <w:pageBreakBefore w:val="0"/>
        <w:topLinePunct w:val="0"/>
        <w:bidi w:val="0"/>
        <w:spacing w:line="500" w:lineRule="exact"/>
        <w:ind w:left="0" w:leftChars="0" w:right="0" w:rightChars="0" w:firstLine="643" w:firstLineChars="200"/>
        <w:jc w:val="center"/>
        <w:rPr>
          <w:b/>
          <w:color w:val="auto"/>
          <w:sz w:val="32"/>
          <w:szCs w:val="32"/>
        </w:rPr>
      </w:pPr>
      <w:r>
        <w:rPr>
          <w:rFonts w:hint="eastAsia"/>
          <w:b/>
          <w:color w:val="auto"/>
          <w:sz w:val="32"/>
          <w:szCs w:val="32"/>
          <w:lang w:val="en-US" w:eastAsia="zh-CN"/>
        </w:rPr>
        <w:t>合同包一/二/三/四/五/六</w:t>
      </w:r>
      <w:r>
        <w:rPr>
          <w:b/>
          <w:color w:val="auto"/>
          <w:sz w:val="32"/>
          <w:szCs w:val="32"/>
        </w:rPr>
        <w:t>项目业绩一览表</w:t>
      </w:r>
    </w:p>
    <w:p w14:paraId="47EEB879">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lang w:eastAsia="zh-CN"/>
        </w:rPr>
        <w:t>供应商</w:t>
      </w:r>
      <w:r>
        <w:rPr>
          <w:rFonts w:hint="eastAsia"/>
          <w:color w:val="auto"/>
          <w:sz w:val="24"/>
          <w:szCs w:val="24"/>
        </w:rPr>
        <w:t>名称：</w:t>
      </w:r>
      <w:r>
        <w:rPr>
          <w:rFonts w:hint="eastAsia"/>
          <w:color w:val="auto"/>
          <w:sz w:val="24"/>
          <w:szCs w:val="24"/>
          <w:lang w:val="en-US"/>
        </w:rPr>
        <w:t xml:space="preserve">                                            </w:t>
      </w:r>
      <w:r>
        <w:rPr>
          <w:rFonts w:hint="eastAsia"/>
          <w:color w:val="auto"/>
          <w:sz w:val="24"/>
          <w:szCs w:val="24"/>
        </w:rPr>
        <w:tab/>
      </w:r>
    </w:p>
    <w:tbl>
      <w:tblPr>
        <w:tblStyle w:val="23"/>
        <w:tblW w:w="9720" w:type="dxa"/>
        <w:tblInd w:w="-364"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080"/>
        <w:gridCol w:w="1545"/>
        <w:gridCol w:w="2330"/>
        <w:gridCol w:w="1288"/>
        <w:gridCol w:w="1436"/>
        <w:gridCol w:w="1373"/>
        <w:gridCol w:w="668"/>
      </w:tblGrid>
      <w:tr w14:paraId="20D1967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03" w:hRule="atLeast"/>
        </w:trPr>
        <w:tc>
          <w:tcPr>
            <w:tcW w:w="1080" w:type="dxa"/>
            <w:tcBorders>
              <w:bottom w:val="single" w:color="000000" w:sz="4" w:space="0"/>
              <w:right w:val="single" w:color="000000" w:sz="4" w:space="0"/>
            </w:tcBorders>
          </w:tcPr>
          <w:p w14:paraId="4E55539A">
            <w:pPr>
              <w:pageBreakBefore w:val="0"/>
              <w:topLinePunct w:val="0"/>
              <w:bidi w:val="0"/>
              <w:spacing w:line="500" w:lineRule="exact"/>
              <w:ind w:right="0" w:rightChars="0"/>
              <w:jc w:val="center"/>
              <w:rPr>
                <w:color w:val="auto"/>
                <w:sz w:val="24"/>
                <w:szCs w:val="24"/>
              </w:rPr>
            </w:pPr>
            <w:r>
              <w:rPr>
                <w:rFonts w:hint="eastAsia"/>
                <w:color w:val="auto"/>
                <w:sz w:val="24"/>
                <w:szCs w:val="24"/>
              </w:rPr>
              <w:t>年份</w:t>
            </w:r>
          </w:p>
        </w:tc>
        <w:tc>
          <w:tcPr>
            <w:tcW w:w="1545" w:type="dxa"/>
            <w:tcBorders>
              <w:left w:val="single" w:color="000000" w:sz="4" w:space="0"/>
              <w:bottom w:val="single" w:color="000000" w:sz="4" w:space="0"/>
              <w:right w:val="single" w:color="000000" w:sz="4" w:space="0"/>
            </w:tcBorders>
          </w:tcPr>
          <w:p w14:paraId="6C786E0A">
            <w:pPr>
              <w:pageBreakBefore w:val="0"/>
              <w:topLinePunct w:val="0"/>
              <w:bidi w:val="0"/>
              <w:spacing w:line="500" w:lineRule="exact"/>
              <w:ind w:right="0" w:rightChars="0"/>
              <w:jc w:val="center"/>
              <w:rPr>
                <w:color w:val="auto"/>
                <w:sz w:val="24"/>
                <w:szCs w:val="24"/>
              </w:rPr>
            </w:pPr>
            <w:r>
              <w:rPr>
                <w:rFonts w:hint="eastAsia"/>
                <w:color w:val="auto"/>
                <w:sz w:val="24"/>
                <w:szCs w:val="24"/>
              </w:rPr>
              <w:t>用户名称</w:t>
            </w:r>
          </w:p>
        </w:tc>
        <w:tc>
          <w:tcPr>
            <w:tcW w:w="2330" w:type="dxa"/>
            <w:tcBorders>
              <w:left w:val="single" w:color="000000" w:sz="4" w:space="0"/>
              <w:bottom w:val="single" w:color="000000" w:sz="4" w:space="0"/>
              <w:right w:val="single" w:color="000000" w:sz="4" w:space="0"/>
            </w:tcBorders>
          </w:tcPr>
          <w:p w14:paraId="462E0F9F">
            <w:pPr>
              <w:pageBreakBefore w:val="0"/>
              <w:topLinePunct w:val="0"/>
              <w:bidi w:val="0"/>
              <w:spacing w:line="500" w:lineRule="exact"/>
              <w:ind w:right="0" w:rightChars="0"/>
              <w:jc w:val="center"/>
              <w:rPr>
                <w:color w:val="auto"/>
                <w:sz w:val="24"/>
                <w:szCs w:val="24"/>
              </w:rPr>
            </w:pPr>
            <w:r>
              <w:rPr>
                <w:rFonts w:hint="eastAsia"/>
                <w:color w:val="auto"/>
                <w:sz w:val="24"/>
                <w:szCs w:val="24"/>
              </w:rPr>
              <w:t>项目名称</w:t>
            </w:r>
          </w:p>
        </w:tc>
        <w:tc>
          <w:tcPr>
            <w:tcW w:w="1288" w:type="dxa"/>
            <w:tcBorders>
              <w:left w:val="single" w:color="000000" w:sz="4" w:space="0"/>
              <w:bottom w:val="single" w:color="000000" w:sz="4" w:space="0"/>
              <w:right w:val="single" w:color="000000" w:sz="4" w:space="0"/>
            </w:tcBorders>
          </w:tcPr>
          <w:p w14:paraId="04E08E00">
            <w:pPr>
              <w:pageBreakBefore w:val="0"/>
              <w:topLinePunct w:val="0"/>
              <w:bidi w:val="0"/>
              <w:spacing w:line="500" w:lineRule="exact"/>
              <w:ind w:right="0" w:rightChars="0"/>
              <w:jc w:val="center"/>
              <w:rPr>
                <w:color w:val="auto"/>
                <w:sz w:val="24"/>
                <w:szCs w:val="24"/>
              </w:rPr>
            </w:pPr>
            <w:r>
              <w:rPr>
                <w:rFonts w:hint="eastAsia"/>
                <w:color w:val="auto"/>
                <w:sz w:val="24"/>
                <w:szCs w:val="24"/>
              </w:rPr>
              <w:t>合同金额</w:t>
            </w:r>
          </w:p>
        </w:tc>
        <w:tc>
          <w:tcPr>
            <w:tcW w:w="1436" w:type="dxa"/>
            <w:tcBorders>
              <w:left w:val="single" w:color="000000" w:sz="4" w:space="0"/>
              <w:bottom w:val="single" w:color="000000" w:sz="4" w:space="0"/>
              <w:right w:val="single" w:color="000000" w:sz="4" w:space="0"/>
            </w:tcBorders>
          </w:tcPr>
          <w:p w14:paraId="6BAE39AE">
            <w:pPr>
              <w:pageBreakBefore w:val="0"/>
              <w:topLinePunct w:val="0"/>
              <w:bidi w:val="0"/>
              <w:spacing w:line="500" w:lineRule="exact"/>
              <w:ind w:right="0" w:rightChars="0"/>
              <w:jc w:val="center"/>
              <w:rPr>
                <w:color w:val="auto"/>
                <w:sz w:val="24"/>
                <w:szCs w:val="24"/>
              </w:rPr>
            </w:pPr>
            <w:r>
              <w:rPr>
                <w:rFonts w:hint="eastAsia"/>
                <w:color w:val="auto"/>
                <w:sz w:val="24"/>
                <w:szCs w:val="24"/>
              </w:rPr>
              <w:t>完成时间</w:t>
            </w:r>
          </w:p>
        </w:tc>
        <w:tc>
          <w:tcPr>
            <w:tcW w:w="1373" w:type="dxa"/>
            <w:tcBorders>
              <w:left w:val="single" w:color="000000" w:sz="4" w:space="0"/>
              <w:bottom w:val="single" w:color="000000" w:sz="4" w:space="0"/>
              <w:right w:val="single" w:color="000000" w:sz="4" w:space="0"/>
            </w:tcBorders>
          </w:tcPr>
          <w:p w14:paraId="7204C900">
            <w:pPr>
              <w:pageBreakBefore w:val="0"/>
              <w:topLinePunct w:val="0"/>
              <w:bidi w:val="0"/>
              <w:spacing w:line="500" w:lineRule="exact"/>
              <w:ind w:right="0" w:rightChars="0"/>
              <w:jc w:val="center"/>
              <w:rPr>
                <w:color w:val="auto"/>
                <w:sz w:val="24"/>
                <w:szCs w:val="24"/>
              </w:rPr>
            </w:pPr>
            <w:r>
              <w:rPr>
                <w:rFonts w:hint="eastAsia"/>
                <w:color w:val="auto"/>
                <w:sz w:val="24"/>
                <w:szCs w:val="24"/>
              </w:rPr>
              <w:t>完成质量</w:t>
            </w:r>
          </w:p>
        </w:tc>
        <w:tc>
          <w:tcPr>
            <w:tcW w:w="668" w:type="dxa"/>
            <w:tcBorders>
              <w:left w:val="single" w:color="000000" w:sz="4" w:space="0"/>
              <w:bottom w:val="single" w:color="000000" w:sz="4" w:space="0"/>
            </w:tcBorders>
          </w:tcPr>
          <w:p w14:paraId="3AAD6AD0">
            <w:pPr>
              <w:pageBreakBefore w:val="0"/>
              <w:topLinePunct w:val="0"/>
              <w:bidi w:val="0"/>
              <w:spacing w:line="500" w:lineRule="exact"/>
              <w:ind w:right="0" w:rightChars="0"/>
              <w:jc w:val="center"/>
              <w:rPr>
                <w:color w:val="auto"/>
                <w:sz w:val="24"/>
                <w:szCs w:val="24"/>
              </w:rPr>
            </w:pPr>
            <w:r>
              <w:rPr>
                <w:rFonts w:hint="eastAsia"/>
                <w:color w:val="auto"/>
                <w:sz w:val="24"/>
                <w:szCs w:val="24"/>
              </w:rPr>
              <w:t>备注</w:t>
            </w:r>
          </w:p>
        </w:tc>
      </w:tr>
      <w:tr w14:paraId="66A8D2E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4" w:hRule="atLeast"/>
        </w:trPr>
        <w:tc>
          <w:tcPr>
            <w:tcW w:w="1080" w:type="dxa"/>
            <w:tcBorders>
              <w:top w:val="single" w:color="000000" w:sz="4" w:space="0"/>
              <w:bottom w:val="single" w:color="000000" w:sz="4" w:space="0"/>
              <w:right w:val="single" w:color="000000" w:sz="4" w:space="0"/>
            </w:tcBorders>
          </w:tcPr>
          <w:p w14:paraId="52484338">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5DAE5E28">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22415232">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6586C674">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7D1961B9">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684B685C">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1A43DA0E">
            <w:pPr>
              <w:pageBreakBefore w:val="0"/>
              <w:topLinePunct w:val="0"/>
              <w:bidi w:val="0"/>
              <w:spacing w:line="500" w:lineRule="exact"/>
              <w:ind w:left="0" w:leftChars="0" w:right="0" w:rightChars="0" w:firstLine="480" w:firstLineChars="200"/>
              <w:jc w:val="center"/>
              <w:rPr>
                <w:color w:val="auto"/>
                <w:sz w:val="24"/>
                <w:szCs w:val="24"/>
              </w:rPr>
            </w:pPr>
          </w:p>
        </w:tc>
      </w:tr>
      <w:tr w14:paraId="133533F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4" w:hRule="atLeast"/>
        </w:trPr>
        <w:tc>
          <w:tcPr>
            <w:tcW w:w="1080" w:type="dxa"/>
            <w:tcBorders>
              <w:top w:val="single" w:color="000000" w:sz="4" w:space="0"/>
              <w:bottom w:val="single" w:color="000000" w:sz="4" w:space="0"/>
              <w:right w:val="single" w:color="000000" w:sz="4" w:space="0"/>
            </w:tcBorders>
          </w:tcPr>
          <w:p w14:paraId="74204953">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02E780D1">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697F6A5D">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6C8A3693">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3753F64A">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11611A36">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20239420">
            <w:pPr>
              <w:pageBreakBefore w:val="0"/>
              <w:topLinePunct w:val="0"/>
              <w:bidi w:val="0"/>
              <w:spacing w:line="500" w:lineRule="exact"/>
              <w:ind w:left="0" w:leftChars="0" w:right="0" w:rightChars="0" w:firstLine="480" w:firstLineChars="200"/>
              <w:jc w:val="center"/>
              <w:rPr>
                <w:color w:val="auto"/>
                <w:sz w:val="24"/>
                <w:szCs w:val="24"/>
              </w:rPr>
            </w:pPr>
          </w:p>
        </w:tc>
      </w:tr>
      <w:tr w14:paraId="40F07D5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9" w:hRule="atLeast"/>
        </w:trPr>
        <w:tc>
          <w:tcPr>
            <w:tcW w:w="1080" w:type="dxa"/>
            <w:tcBorders>
              <w:top w:val="single" w:color="000000" w:sz="4" w:space="0"/>
              <w:bottom w:val="single" w:color="000000" w:sz="4" w:space="0"/>
              <w:right w:val="single" w:color="000000" w:sz="4" w:space="0"/>
            </w:tcBorders>
          </w:tcPr>
          <w:p w14:paraId="42289248">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7F04E2F4">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0CB9F319">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633C9F90">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54815D04">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48705A0A">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68744890">
            <w:pPr>
              <w:pageBreakBefore w:val="0"/>
              <w:topLinePunct w:val="0"/>
              <w:bidi w:val="0"/>
              <w:spacing w:line="500" w:lineRule="exact"/>
              <w:ind w:left="0" w:leftChars="0" w:right="0" w:rightChars="0" w:firstLine="480" w:firstLineChars="200"/>
              <w:jc w:val="center"/>
              <w:rPr>
                <w:color w:val="auto"/>
                <w:sz w:val="24"/>
                <w:szCs w:val="24"/>
              </w:rPr>
            </w:pPr>
          </w:p>
        </w:tc>
      </w:tr>
      <w:tr w14:paraId="30C6D41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3" w:hRule="atLeast"/>
        </w:trPr>
        <w:tc>
          <w:tcPr>
            <w:tcW w:w="1080" w:type="dxa"/>
            <w:tcBorders>
              <w:top w:val="single" w:color="000000" w:sz="4" w:space="0"/>
              <w:bottom w:val="single" w:color="000000" w:sz="4" w:space="0"/>
              <w:right w:val="single" w:color="000000" w:sz="4" w:space="0"/>
            </w:tcBorders>
          </w:tcPr>
          <w:p w14:paraId="7BCD5CC3">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679D0B7B">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107B23D2">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60EDCA76">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52AB23A8">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0D014FE8">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42C399D5">
            <w:pPr>
              <w:pageBreakBefore w:val="0"/>
              <w:topLinePunct w:val="0"/>
              <w:bidi w:val="0"/>
              <w:spacing w:line="500" w:lineRule="exact"/>
              <w:ind w:left="0" w:leftChars="0" w:right="0" w:rightChars="0" w:firstLine="480" w:firstLineChars="200"/>
              <w:jc w:val="center"/>
              <w:rPr>
                <w:color w:val="auto"/>
                <w:sz w:val="24"/>
                <w:szCs w:val="24"/>
              </w:rPr>
            </w:pPr>
          </w:p>
        </w:tc>
      </w:tr>
      <w:tr w14:paraId="7DE58B4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3" w:hRule="atLeast"/>
        </w:trPr>
        <w:tc>
          <w:tcPr>
            <w:tcW w:w="1080" w:type="dxa"/>
            <w:tcBorders>
              <w:top w:val="single" w:color="000000" w:sz="4" w:space="0"/>
              <w:bottom w:val="single" w:color="000000" w:sz="4" w:space="0"/>
              <w:right w:val="single" w:color="000000" w:sz="4" w:space="0"/>
            </w:tcBorders>
          </w:tcPr>
          <w:p w14:paraId="33288562">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0FC0C587">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0B8F4FA1">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36666AE0">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5912307E">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44121A3E">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33F24071">
            <w:pPr>
              <w:pageBreakBefore w:val="0"/>
              <w:topLinePunct w:val="0"/>
              <w:bidi w:val="0"/>
              <w:spacing w:line="500" w:lineRule="exact"/>
              <w:ind w:left="0" w:leftChars="0" w:right="0" w:rightChars="0" w:firstLine="480" w:firstLineChars="200"/>
              <w:jc w:val="center"/>
              <w:rPr>
                <w:color w:val="auto"/>
                <w:sz w:val="24"/>
                <w:szCs w:val="24"/>
              </w:rPr>
            </w:pPr>
          </w:p>
        </w:tc>
      </w:tr>
      <w:tr w14:paraId="0C25DD5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3" w:hRule="atLeast"/>
        </w:trPr>
        <w:tc>
          <w:tcPr>
            <w:tcW w:w="1080" w:type="dxa"/>
            <w:tcBorders>
              <w:top w:val="single" w:color="000000" w:sz="4" w:space="0"/>
              <w:bottom w:val="single" w:color="000000" w:sz="4" w:space="0"/>
              <w:right w:val="single" w:color="000000" w:sz="4" w:space="0"/>
            </w:tcBorders>
          </w:tcPr>
          <w:p w14:paraId="4960D0D1">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57B8BA37">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705175E1">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28E1115F">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05F81CC6">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66870367">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169E469B">
            <w:pPr>
              <w:pageBreakBefore w:val="0"/>
              <w:topLinePunct w:val="0"/>
              <w:bidi w:val="0"/>
              <w:spacing w:line="500" w:lineRule="exact"/>
              <w:ind w:left="0" w:leftChars="0" w:right="0" w:rightChars="0" w:firstLine="480" w:firstLineChars="200"/>
              <w:jc w:val="center"/>
              <w:rPr>
                <w:color w:val="auto"/>
                <w:sz w:val="24"/>
                <w:szCs w:val="24"/>
              </w:rPr>
            </w:pPr>
          </w:p>
        </w:tc>
      </w:tr>
      <w:tr w14:paraId="3110AD4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8" w:hRule="atLeast"/>
        </w:trPr>
        <w:tc>
          <w:tcPr>
            <w:tcW w:w="1080" w:type="dxa"/>
            <w:tcBorders>
              <w:top w:val="single" w:color="000000" w:sz="4" w:space="0"/>
              <w:bottom w:val="single" w:color="000000" w:sz="4" w:space="0"/>
              <w:right w:val="single" w:color="000000" w:sz="4" w:space="0"/>
            </w:tcBorders>
          </w:tcPr>
          <w:p w14:paraId="0B520624">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29AB529B">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0C517B9E">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16D2E553">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55961F06">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11B94433">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50B90C67">
            <w:pPr>
              <w:pageBreakBefore w:val="0"/>
              <w:topLinePunct w:val="0"/>
              <w:bidi w:val="0"/>
              <w:spacing w:line="500" w:lineRule="exact"/>
              <w:ind w:left="0" w:leftChars="0" w:right="0" w:rightChars="0" w:firstLine="480" w:firstLineChars="200"/>
              <w:jc w:val="center"/>
              <w:rPr>
                <w:color w:val="auto"/>
                <w:sz w:val="24"/>
                <w:szCs w:val="24"/>
              </w:rPr>
            </w:pPr>
          </w:p>
        </w:tc>
      </w:tr>
      <w:tr w14:paraId="349371A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4" w:hRule="atLeast"/>
        </w:trPr>
        <w:tc>
          <w:tcPr>
            <w:tcW w:w="1080" w:type="dxa"/>
            <w:tcBorders>
              <w:top w:val="single" w:color="000000" w:sz="4" w:space="0"/>
              <w:bottom w:val="single" w:color="000000" w:sz="4" w:space="0"/>
              <w:right w:val="single" w:color="000000" w:sz="4" w:space="0"/>
            </w:tcBorders>
          </w:tcPr>
          <w:p w14:paraId="2B0D8C1B">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774B3B2B">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6A06DAFF">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56BC0825">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391C1255">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3679CAF7">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52D46D2C">
            <w:pPr>
              <w:pageBreakBefore w:val="0"/>
              <w:topLinePunct w:val="0"/>
              <w:bidi w:val="0"/>
              <w:spacing w:line="500" w:lineRule="exact"/>
              <w:ind w:left="0" w:leftChars="0" w:right="0" w:rightChars="0" w:firstLine="480" w:firstLineChars="200"/>
              <w:jc w:val="center"/>
              <w:rPr>
                <w:color w:val="auto"/>
                <w:sz w:val="24"/>
                <w:szCs w:val="24"/>
              </w:rPr>
            </w:pPr>
          </w:p>
        </w:tc>
      </w:tr>
      <w:tr w14:paraId="5C668E8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3" w:hRule="atLeast"/>
        </w:trPr>
        <w:tc>
          <w:tcPr>
            <w:tcW w:w="1080" w:type="dxa"/>
            <w:tcBorders>
              <w:top w:val="single" w:color="000000" w:sz="4" w:space="0"/>
              <w:bottom w:val="single" w:color="000000" w:sz="4" w:space="0"/>
              <w:right w:val="single" w:color="000000" w:sz="4" w:space="0"/>
            </w:tcBorders>
          </w:tcPr>
          <w:p w14:paraId="07CB15CC">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1E544C7B">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4CF0BA61">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0CC80044">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5915A542">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4B09E24E">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6D1902A7">
            <w:pPr>
              <w:pageBreakBefore w:val="0"/>
              <w:topLinePunct w:val="0"/>
              <w:bidi w:val="0"/>
              <w:spacing w:line="500" w:lineRule="exact"/>
              <w:ind w:left="0" w:leftChars="0" w:right="0" w:rightChars="0" w:firstLine="480" w:firstLineChars="200"/>
              <w:jc w:val="center"/>
              <w:rPr>
                <w:color w:val="auto"/>
                <w:sz w:val="24"/>
                <w:szCs w:val="24"/>
              </w:rPr>
            </w:pPr>
          </w:p>
        </w:tc>
      </w:tr>
      <w:tr w14:paraId="452364D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3" w:hRule="atLeast"/>
        </w:trPr>
        <w:tc>
          <w:tcPr>
            <w:tcW w:w="1080" w:type="dxa"/>
            <w:tcBorders>
              <w:top w:val="single" w:color="000000" w:sz="4" w:space="0"/>
              <w:bottom w:val="single" w:color="000000" w:sz="4" w:space="0"/>
              <w:right w:val="single" w:color="000000" w:sz="4" w:space="0"/>
            </w:tcBorders>
          </w:tcPr>
          <w:p w14:paraId="5A2D9DEE">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4F2D1B58">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6098363B">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1F28095D">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6E85FFBA">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6F3EA3C5">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43596289">
            <w:pPr>
              <w:pageBreakBefore w:val="0"/>
              <w:topLinePunct w:val="0"/>
              <w:bidi w:val="0"/>
              <w:spacing w:line="500" w:lineRule="exact"/>
              <w:ind w:left="0" w:leftChars="0" w:right="0" w:rightChars="0" w:firstLine="480" w:firstLineChars="200"/>
              <w:jc w:val="center"/>
              <w:rPr>
                <w:color w:val="auto"/>
                <w:sz w:val="24"/>
                <w:szCs w:val="24"/>
              </w:rPr>
            </w:pPr>
          </w:p>
        </w:tc>
      </w:tr>
      <w:tr w14:paraId="7898CF4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3" w:hRule="atLeast"/>
        </w:trPr>
        <w:tc>
          <w:tcPr>
            <w:tcW w:w="1080" w:type="dxa"/>
            <w:tcBorders>
              <w:top w:val="single" w:color="000000" w:sz="4" w:space="0"/>
              <w:bottom w:val="single" w:color="000000" w:sz="4" w:space="0"/>
              <w:right w:val="single" w:color="000000" w:sz="4" w:space="0"/>
            </w:tcBorders>
          </w:tcPr>
          <w:p w14:paraId="437764B0">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1297B821">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7D81BE04">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138BCF0B">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56DE9D58">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2439541E">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79BFA0DF">
            <w:pPr>
              <w:pageBreakBefore w:val="0"/>
              <w:topLinePunct w:val="0"/>
              <w:bidi w:val="0"/>
              <w:spacing w:line="500" w:lineRule="exact"/>
              <w:ind w:left="0" w:leftChars="0" w:right="0" w:rightChars="0" w:firstLine="480" w:firstLineChars="200"/>
              <w:jc w:val="center"/>
              <w:rPr>
                <w:color w:val="auto"/>
                <w:sz w:val="24"/>
                <w:szCs w:val="24"/>
              </w:rPr>
            </w:pPr>
          </w:p>
        </w:tc>
      </w:tr>
      <w:tr w14:paraId="1E929F2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9" w:hRule="atLeast"/>
        </w:trPr>
        <w:tc>
          <w:tcPr>
            <w:tcW w:w="1080" w:type="dxa"/>
            <w:tcBorders>
              <w:top w:val="single" w:color="000000" w:sz="4" w:space="0"/>
              <w:bottom w:val="single" w:color="000000" w:sz="4" w:space="0"/>
              <w:right w:val="single" w:color="000000" w:sz="4" w:space="0"/>
            </w:tcBorders>
          </w:tcPr>
          <w:p w14:paraId="4B4253AE">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2CD977DB">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6B48189C">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382755AC">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523E9677">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54753FBA">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690D025E">
            <w:pPr>
              <w:pageBreakBefore w:val="0"/>
              <w:topLinePunct w:val="0"/>
              <w:bidi w:val="0"/>
              <w:spacing w:line="500" w:lineRule="exact"/>
              <w:ind w:left="0" w:leftChars="0" w:right="0" w:rightChars="0" w:firstLine="480" w:firstLineChars="200"/>
              <w:jc w:val="center"/>
              <w:rPr>
                <w:color w:val="auto"/>
                <w:sz w:val="24"/>
                <w:szCs w:val="24"/>
              </w:rPr>
            </w:pPr>
          </w:p>
        </w:tc>
      </w:tr>
      <w:tr w14:paraId="33C4DB4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8" w:hRule="atLeast"/>
        </w:trPr>
        <w:tc>
          <w:tcPr>
            <w:tcW w:w="1080" w:type="dxa"/>
            <w:tcBorders>
              <w:top w:val="single" w:color="000000" w:sz="4" w:space="0"/>
              <w:right w:val="single" w:color="000000" w:sz="4" w:space="0"/>
            </w:tcBorders>
          </w:tcPr>
          <w:p w14:paraId="63DD7490">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right w:val="single" w:color="000000" w:sz="4" w:space="0"/>
            </w:tcBorders>
          </w:tcPr>
          <w:p w14:paraId="6BF0017E">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right w:val="single" w:color="000000" w:sz="4" w:space="0"/>
            </w:tcBorders>
          </w:tcPr>
          <w:p w14:paraId="29FF816E">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right w:val="single" w:color="000000" w:sz="4" w:space="0"/>
            </w:tcBorders>
          </w:tcPr>
          <w:p w14:paraId="4FA30121">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right w:val="single" w:color="000000" w:sz="4" w:space="0"/>
            </w:tcBorders>
          </w:tcPr>
          <w:p w14:paraId="50B20E73">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right w:val="single" w:color="000000" w:sz="4" w:space="0"/>
            </w:tcBorders>
          </w:tcPr>
          <w:p w14:paraId="578D2989">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tcBorders>
          </w:tcPr>
          <w:p w14:paraId="380CC8A1">
            <w:pPr>
              <w:pageBreakBefore w:val="0"/>
              <w:topLinePunct w:val="0"/>
              <w:bidi w:val="0"/>
              <w:spacing w:line="500" w:lineRule="exact"/>
              <w:ind w:left="0" w:leftChars="0" w:right="0" w:rightChars="0" w:firstLine="480" w:firstLineChars="200"/>
              <w:jc w:val="center"/>
              <w:rPr>
                <w:color w:val="auto"/>
                <w:sz w:val="24"/>
                <w:szCs w:val="24"/>
              </w:rPr>
            </w:pPr>
          </w:p>
        </w:tc>
      </w:tr>
    </w:tbl>
    <w:p w14:paraId="40D4C753">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说明：1</w:t>
      </w:r>
      <w:r>
        <w:rPr>
          <w:rFonts w:hint="eastAsia"/>
          <w:color w:val="auto"/>
          <w:sz w:val="24"/>
          <w:szCs w:val="24"/>
          <w:lang w:val="en-US" w:eastAsia="zh-CN"/>
        </w:rPr>
        <w:t>.</w:t>
      </w:r>
      <w:r>
        <w:rPr>
          <w:rFonts w:hint="eastAsia"/>
          <w:color w:val="auto"/>
          <w:sz w:val="24"/>
          <w:szCs w:val="24"/>
        </w:rPr>
        <w:t>需提供合同</w:t>
      </w:r>
      <w:r>
        <w:rPr>
          <w:rFonts w:hint="eastAsia"/>
          <w:color w:val="auto"/>
          <w:sz w:val="24"/>
          <w:szCs w:val="24"/>
          <w:lang w:val="en-US" w:eastAsia="zh-CN"/>
        </w:rPr>
        <w:t>和</w:t>
      </w:r>
      <w:r>
        <w:rPr>
          <w:rFonts w:hint="eastAsia"/>
          <w:color w:val="auto"/>
          <w:sz w:val="24"/>
          <w:szCs w:val="24"/>
        </w:rPr>
        <w:t>中标通知书证明材料（</w:t>
      </w:r>
      <w:r>
        <w:rPr>
          <w:rFonts w:hint="eastAsia"/>
          <w:color w:val="auto"/>
          <w:sz w:val="24"/>
          <w:szCs w:val="24"/>
          <w:lang w:val="en-US"/>
        </w:rPr>
        <w:t>复印件加盖电子签章</w:t>
      </w:r>
      <w:r>
        <w:rPr>
          <w:rFonts w:hint="eastAsia"/>
          <w:color w:val="auto"/>
          <w:sz w:val="24"/>
          <w:szCs w:val="24"/>
        </w:rPr>
        <w:t>）。</w:t>
      </w:r>
    </w:p>
    <w:p w14:paraId="587502F7">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2</w:t>
      </w:r>
      <w:r>
        <w:rPr>
          <w:rFonts w:hint="eastAsia"/>
          <w:color w:val="auto"/>
          <w:sz w:val="24"/>
          <w:szCs w:val="24"/>
          <w:lang w:val="en-US" w:eastAsia="zh-CN"/>
        </w:rPr>
        <w:t>.</w:t>
      </w:r>
      <w:r>
        <w:rPr>
          <w:rFonts w:hint="eastAsia"/>
          <w:color w:val="auto"/>
          <w:sz w:val="24"/>
          <w:szCs w:val="24"/>
          <w:lang w:eastAsia="zh-CN"/>
        </w:rPr>
        <w:t>供应商</w:t>
      </w:r>
      <w:r>
        <w:rPr>
          <w:rFonts w:hint="eastAsia"/>
          <w:color w:val="auto"/>
          <w:sz w:val="24"/>
          <w:szCs w:val="24"/>
        </w:rPr>
        <w:t>应如实列出以上情况，如有隐瞒，一经查实将导致其</w:t>
      </w:r>
      <w:r>
        <w:rPr>
          <w:rFonts w:hint="eastAsia"/>
          <w:color w:val="auto"/>
          <w:sz w:val="24"/>
          <w:szCs w:val="24"/>
          <w:lang w:eastAsia="zh-CN"/>
        </w:rPr>
        <w:t>投标文件</w:t>
      </w:r>
      <w:r>
        <w:rPr>
          <w:rFonts w:hint="eastAsia"/>
          <w:color w:val="auto"/>
          <w:sz w:val="24"/>
          <w:szCs w:val="24"/>
        </w:rPr>
        <w:t>被拒绝。</w:t>
      </w:r>
    </w:p>
    <w:p w14:paraId="4E604522">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3</w:t>
      </w:r>
      <w:r>
        <w:rPr>
          <w:rFonts w:hint="eastAsia"/>
          <w:color w:val="auto"/>
          <w:sz w:val="24"/>
          <w:szCs w:val="24"/>
          <w:lang w:val="en-US" w:eastAsia="zh-CN"/>
        </w:rPr>
        <w:t>.</w:t>
      </w:r>
      <w:r>
        <w:rPr>
          <w:rFonts w:hint="eastAsia"/>
          <w:color w:val="auto"/>
          <w:sz w:val="24"/>
          <w:szCs w:val="24"/>
        </w:rPr>
        <w:t>未按上述要求提供、填写的，评标时不予以考虑。</w:t>
      </w:r>
    </w:p>
    <w:p w14:paraId="298DCB38">
      <w:pPr>
        <w:pageBreakBefore w:val="0"/>
        <w:topLinePunct w:val="0"/>
        <w:bidi w:val="0"/>
        <w:spacing w:line="500" w:lineRule="exact"/>
        <w:ind w:left="0" w:leftChars="0" w:right="0" w:rightChars="0" w:firstLine="480" w:firstLineChars="200"/>
        <w:rPr>
          <w:rFonts w:hint="eastAsia"/>
          <w:color w:val="auto"/>
          <w:sz w:val="24"/>
          <w:szCs w:val="24"/>
          <w:lang w:eastAsia="zh-CN"/>
        </w:rPr>
      </w:pPr>
    </w:p>
    <w:p w14:paraId="0EC260BD">
      <w:pPr>
        <w:pageBreakBefore w:val="0"/>
        <w:topLinePunct w:val="0"/>
        <w:bidi w:val="0"/>
        <w:spacing w:line="500" w:lineRule="exact"/>
        <w:ind w:left="0" w:leftChars="0" w:right="0" w:rightChars="0" w:firstLine="480" w:firstLineChars="200"/>
        <w:jc w:val="both"/>
        <w:rPr>
          <w:rFonts w:hint="eastAsia"/>
          <w:color w:val="auto"/>
          <w:sz w:val="24"/>
          <w:szCs w:val="24"/>
          <w:lang w:val="en-US"/>
        </w:rPr>
      </w:pPr>
      <w:r>
        <w:rPr>
          <w:rFonts w:hint="eastAsia"/>
          <w:color w:val="auto"/>
          <w:sz w:val="24"/>
          <w:szCs w:val="24"/>
          <w:lang w:eastAsia="zh-CN"/>
        </w:rPr>
        <w:t>供应商（</w:t>
      </w:r>
      <w:r>
        <w:rPr>
          <w:rFonts w:hint="eastAsia"/>
          <w:color w:val="auto"/>
          <w:sz w:val="24"/>
          <w:szCs w:val="24"/>
          <w:lang w:val="en-US" w:eastAsia="zh-CN"/>
        </w:rPr>
        <w:t>公章</w:t>
      </w:r>
      <w:r>
        <w:rPr>
          <w:rFonts w:hint="eastAsia"/>
          <w:color w:val="auto"/>
          <w:sz w:val="24"/>
          <w:szCs w:val="24"/>
          <w:lang w:eastAsia="zh-CN"/>
        </w:rPr>
        <w:t>）：</w:t>
      </w:r>
    </w:p>
    <w:p w14:paraId="012A53D4">
      <w:pPr>
        <w:pageBreakBefore w:val="0"/>
        <w:topLinePunct w:val="0"/>
        <w:bidi w:val="0"/>
        <w:spacing w:line="500" w:lineRule="exact"/>
        <w:ind w:left="0" w:leftChars="0" w:right="0" w:rightChars="0" w:firstLine="480" w:firstLineChars="200"/>
        <w:jc w:val="both"/>
        <w:rPr>
          <w:rFonts w:hint="eastAsia"/>
          <w:color w:val="auto"/>
          <w:sz w:val="24"/>
          <w:szCs w:val="24"/>
          <w:lang w:val="zh-CN" w:eastAsia="zh-CN"/>
        </w:rPr>
      </w:pPr>
      <w:r>
        <w:rPr>
          <w:rFonts w:hint="eastAsia"/>
          <w:color w:val="auto"/>
          <w:sz w:val="24"/>
          <w:szCs w:val="24"/>
          <w:lang w:val="en-US" w:eastAsia="zh-CN"/>
        </w:rPr>
        <w:t>法定代表人或授权委托人（签字或盖章）：</w:t>
      </w:r>
    </w:p>
    <w:p w14:paraId="53AE2FBA">
      <w:pPr>
        <w:pStyle w:val="12"/>
        <w:pageBreakBefore w:val="0"/>
        <w:tabs>
          <w:tab w:val="left" w:pos="3998"/>
          <w:tab w:val="left" w:pos="6318"/>
        </w:tabs>
        <w:topLinePunct w:val="0"/>
        <w:bidi w:val="0"/>
        <w:spacing w:line="500" w:lineRule="exact"/>
        <w:ind w:left="0" w:leftChars="0" w:right="0" w:rightChars="0" w:firstLine="480" w:firstLineChars="200"/>
        <w:rPr>
          <w:rFonts w:hint="eastAsia"/>
          <w:color w:val="auto"/>
          <w:sz w:val="24"/>
          <w:szCs w:val="24"/>
        </w:rPr>
      </w:pPr>
      <w:r>
        <w:rPr>
          <w:rFonts w:hint="eastAsia"/>
          <w:color w:val="auto"/>
          <w:sz w:val="24"/>
          <w:szCs w:val="24"/>
          <w:lang w:val="en-US" w:eastAsia="zh-CN"/>
        </w:rPr>
        <w:t>日期：</w:t>
      </w:r>
      <w:r>
        <w:rPr>
          <w:rFonts w:hint="eastAsia"/>
          <w:color w:val="auto"/>
          <w:sz w:val="24"/>
          <w:szCs w:val="24"/>
        </w:rPr>
        <w:t xml:space="preserve">年 </w:t>
      </w:r>
      <w:r>
        <w:rPr>
          <w:rFonts w:hint="eastAsia"/>
          <w:color w:val="auto"/>
          <w:sz w:val="24"/>
          <w:szCs w:val="24"/>
          <w:lang w:val="en-US" w:eastAsia="zh-CN"/>
        </w:rPr>
        <w:t xml:space="preserve">  </w:t>
      </w:r>
      <w:r>
        <w:rPr>
          <w:rFonts w:hint="eastAsia"/>
          <w:color w:val="auto"/>
          <w:sz w:val="24"/>
          <w:szCs w:val="24"/>
        </w:rPr>
        <w:t xml:space="preserve">月 </w:t>
      </w:r>
      <w:r>
        <w:rPr>
          <w:rFonts w:hint="eastAsia"/>
          <w:color w:val="auto"/>
          <w:sz w:val="24"/>
          <w:szCs w:val="24"/>
          <w:lang w:val="en-US" w:eastAsia="zh-CN"/>
        </w:rPr>
        <w:t xml:space="preserve">  </w:t>
      </w:r>
      <w:r>
        <w:rPr>
          <w:rFonts w:hint="eastAsia"/>
          <w:color w:val="auto"/>
          <w:sz w:val="24"/>
          <w:szCs w:val="24"/>
        </w:rPr>
        <w:t>日</w:t>
      </w:r>
    </w:p>
    <w:p w14:paraId="291093E9">
      <w:pPr>
        <w:pageBreakBefore w:val="0"/>
        <w:topLinePunct w:val="0"/>
        <w:bidi w:val="0"/>
        <w:spacing w:line="500" w:lineRule="exact"/>
        <w:ind w:left="0" w:leftChars="0" w:right="0" w:rightChars="0" w:firstLine="440" w:firstLineChars="200"/>
        <w:rPr>
          <w:color w:val="auto"/>
        </w:rPr>
      </w:pPr>
    </w:p>
    <w:p w14:paraId="7D81C24C">
      <w:pPr>
        <w:pStyle w:val="8"/>
        <w:pageBreakBefore w:val="0"/>
        <w:topLinePunct w:val="0"/>
        <w:bidi w:val="0"/>
        <w:spacing w:line="500" w:lineRule="exact"/>
        <w:ind w:left="0" w:leftChars="0" w:right="0" w:rightChars="0" w:firstLine="0" w:firstLineChars="0"/>
        <w:rPr>
          <w:color w:val="auto"/>
        </w:rPr>
      </w:pPr>
    </w:p>
    <w:p w14:paraId="4E2A06BA">
      <w:pPr>
        <w:pStyle w:val="8"/>
        <w:pageBreakBefore w:val="0"/>
        <w:topLinePunct w:val="0"/>
        <w:bidi w:val="0"/>
        <w:spacing w:line="500" w:lineRule="exact"/>
        <w:ind w:left="0" w:leftChars="0" w:right="0" w:rightChars="0" w:firstLine="0" w:firstLineChars="0"/>
        <w:rPr>
          <w:color w:val="auto"/>
        </w:rPr>
      </w:pPr>
    </w:p>
    <w:p w14:paraId="2CC5914A">
      <w:pPr>
        <w:pageBreakBefore w:val="0"/>
        <w:topLinePunct w:val="0"/>
        <w:bidi w:val="0"/>
        <w:spacing w:line="500" w:lineRule="exact"/>
        <w:ind w:left="0" w:leftChars="0" w:right="0" w:rightChars="0" w:firstLine="482" w:firstLineChars="200"/>
        <w:rPr>
          <w:b/>
          <w:color w:val="auto"/>
          <w:sz w:val="24"/>
          <w:szCs w:val="24"/>
        </w:rPr>
      </w:pPr>
      <w:r>
        <w:rPr>
          <w:b/>
          <w:color w:val="auto"/>
          <w:sz w:val="24"/>
          <w:szCs w:val="24"/>
        </w:rPr>
        <w:t>附表 2</w:t>
      </w:r>
    </w:p>
    <w:p w14:paraId="7D480A5D">
      <w:pPr>
        <w:pageBreakBefore w:val="0"/>
        <w:topLinePunct w:val="0"/>
        <w:bidi w:val="0"/>
        <w:spacing w:line="500" w:lineRule="exact"/>
        <w:ind w:left="0" w:leftChars="0" w:right="0" w:rightChars="0" w:firstLine="482" w:firstLineChars="200"/>
        <w:jc w:val="center"/>
        <w:rPr>
          <w:color w:val="auto"/>
          <w:sz w:val="24"/>
          <w:szCs w:val="24"/>
          <w:lang w:val="en-US"/>
        </w:rPr>
      </w:pPr>
      <w:r>
        <w:rPr>
          <w:rFonts w:hint="eastAsia"/>
          <w:b/>
          <w:bCs/>
          <w:color w:val="auto"/>
          <w:sz w:val="24"/>
          <w:szCs w:val="24"/>
          <w:lang w:val="en-US"/>
        </w:rPr>
        <w:t>食品安全承诺书</w:t>
      </w:r>
    </w:p>
    <w:p w14:paraId="7CAEA861">
      <w:pPr>
        <w:pageBreakBefore w:val="0"/>
        <w:topLinePunct w:val="0"/>
        <w:bidi w:val="0"/>
        <w:spacing w:line="500" w:lineRule="exact"/>
        <w:ind w:left="0" w:leftChars="0" w:right="0" w:rightChars="0" w:firstLine="480" w:firstLineChars="200"/>
        <w:rPr>
          <w:rFonts w:hint="eastAsia"/>
          <w:color w:val="auto"/>
          <w:sz w:val="24"/>
          <w:szCs w:val="24"/>
          <w:lang w:val="en-US"/>
        </w:rPr>
      </w:pPr>
    </w:p>
    <w:p w14:paraId="0098FF82">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汉滨区教育体</w:t>
      </w:r>
      <w:r>
        <w:rPr>
          <w:rFonts w:hint="eastAsia"/>
          <w:color w:val="auto"/>
          <w:sz w:val="24"/>
          <w:szCs w:val="24"/>
          <w:lang w:val="en-US" w:eastAsia="zh-CN"/>
        </w:rPr>
        <w:t>育</w:t>
      </w:r>
      <w:r>
        <w:rPr>
          <w:rFonts w:hint="eastAsia"/>
          <w:color w:val="auto"/>
          <w:sz w:val="24"/>
          <w:szCs w:val="24"/>
          <w:lang w:val="en-US"/>
        </w:rPr>
        <w:t>局：</w:t>
      </w:r>
    </w:p>
    <w:p w14:paraId="1634FD2D">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根据《中华人民共和国食品安全法》（以下简称食品安全法）规定，保证食品安全，本企业郑重承诺：</w:t>
      </w:r>
    </w:p>
    <w:p w14:paraId="1D203A24">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（一）认真履行食品经营者必须承担的食品安全“第一责任人”职责，对本企业配送的食品安全负责。</w:t>
      </w:r>
    </w:p>
    <w:p w14:paraId="40C38C13">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依据《</w:t>
      </w:r>
      <w:r>
        <w:rPr>
          <w:rFonts w:hint="eastAsia"/>
          <w:color w:val="auto"/>
          <w:sz w:val="24"/>
          <w:szCs w:val="24"/>
          <w:lang w:val="en-US" w:eastAsia="zh-CN"/>
        </w:rPr>
        <w:t>中华人民共和国食品安全法</w:t>
      </w:r>
      <w:r>
        <w:rPr>
          <w:rFonts w:hint="eastAsia"/>
          <w:color w:val="auto"/>
          <w:sz w:val="24"/>
          <w:szCs w:val="24"/>
          <w:lang w:val="en-US"/>
        </w:rPr>
        <w:t>》的规定，有食品经营许可证制度。</w:t>
      </w:r>
    </w:p>
    <w:p w14:paraId="4E995538">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依据《</w:t>
      </w:r>
      <w:r>
        <w:rPr>
          <w:rFonts w:hint="eastAsia"/>
          <w:color w:val="auto"/>
          <w:sz w:val="24"/>
          <w:szCs w:val="24"/>
          <w:lang w:val="en-US" w:eastAsia="zh-CN"/>
        </w:rPr>
        <w:t>中华人民共和国食品安全法</w:t>
      </w:r>
      <w:r>
        <w:rPr>
          <w:rFonts w:hint="eastAsia"/>
          <w:color w:val="auto"/>
          <w:sz w:val="24"/>
          <w:szCs w:val="24"/>
          <w:lang w:val="en-US"/>
        </w:rPr>
        <w:t>》的规定建立食品安全</w:t>
      </w:r>
      <w:r>
        <w:rPr>
          <w:rFonts w:hint="eastAsia"/>
          <w:color w:val="auto"/>
          <w:sz w:val="24"/>
          <w:szCs w:val="24"/>
          <w:lang w:val="en-US" w:eastAsia="zh-CN"/>
        </w:rPr>
        <w:t>管理</w:t>
      </w:r>
      <w:r>
        <w:rPr>
          <w:rFonts w:hint="eastAsia"/>
          <w:color w:val="auto"/>
          <w:sz w:val="24"/>
          <w:szCs w:val="24"/>
          <w:lang w:val="en-US"/>
        </w:rPr>
        <w:t>组织，设立专职食品安全员。</w:t>
      </w:r>
    </w:p>
    <w:p w14:paraId="48E4BD10">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依据《</w:t>
      </w:r>
      <w:r>
        <w:rPr>
          <w:rFonts w:hint="eastAsia"/>
          <w:color w:val="auto"/>
          <w:sz w:val="24"/>
          <w:szCs w:val="24"/>
          <w:lang w:val="en-US" w:eastAsia="zh-CN"/>
        </w:rPr>
        <w:t>中华人民共和国食品安全法</w:t>
      </w:r>
      <w:r>
        <w:rPr>
          <w:rFonts w:hint="eastAsia"/>
          <w:color w:val="auto"/>
          <w:sz w:val="24"/>
          <w:szCs w:val="24"/>
          <w:lang w:val="en-US"/>
        </w:rPr>
        <w:t>》的规定制定经营环节卫生管理制度和食品安全制度，从业人员熟知并严格执行。</w:t>
      </w:r>
    </w:p>
    <w:p w14:paraId="285EE3CA">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依据《</w:t>
      </w:r>
      <w:r>
        <w:rPr>
          <w:rFonts w:hint="eastAsia"/>
          <w:color w:val="auto"/>
          <w:sz w:val="24"/>
          <w:szCs w:val="24"/>
          <w:lang w:val="en-US" w:eastAsia="zh-CN"/>
        </w:rPr>
        <w:t>中华人民共和国食品安全法</w:t>
      </w:r>
      <w:r>
        <w:rPr>
          <w:rFonts w:hint="eastAsia"/>
          <w:color w:val="auto"/>
          <w:sz w:val="24"/>
          <w:szCs w:val="24"/>
          <w:lang w:val="en-US"/>
        </w:rPr>
        <w:t>》的规定组织职工参加食品安全培训，并建立培训档案， 负责人和负责食品安全管理人员必须在接受食品安全法律、法规和食品安全知识培训并考试合格后，方可从事食品安全管理工作。</w:t>
      </w:r>
    </w:p>
    <w:p w14:paraId="34C010DC">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依据《</w:t>
      </w:r>
      <w:r>
        <w:rPr>
          <w:rFonts w:hint="eastAsia"/>
          <w:color w:val="auto"/>
          <w:sz w:val="24"/>
          <w:szCs w:val="24"/>
          <w:lang w:val="en-US" w:eastAsia="zh-CN"/>
        </w:rPr>
        <w:t>中华人民共和国食品安全法</w:t>
      </w:r>
      <w:r>
        <w:rPr>
          <w:rFonts w:hint="eastAsia"/>
          <w:color w:val="auto"/>
          <w:sz w:val="24"/>
          <w:szCs w:val="24"/>
          <w:lang w:val="en-US"/>
        </w:rPr>
        <w:t>》的规定建立并执行从业人员的健康检查制度和健康档案制度，严禁患有《</w:t>
      </w:r>
      <w:r>
        <w:rPr>
          <w:rFonts w:hint="eastAsia"/>
          <w:color w:val="auto"/>
          <w:sz w:val="24"/>
          <w:szCs w:val="24"/>
          <w:lang w:val="en-US" w:eastAsia="zh-CN"/>
        </w:rPr>
        <w:t>中华人民共和国食品安全法</w:t>
      </w:r>
      <w:r>
        <w:rPr>
          <w:rFonts w:hint="eastAsia"/>
          <w:color w:val="auto"/>
          <w:sz w:val="24"/>
          <w:szCs w:val="24"/>
          <w:lang w:val="en-US"/>
        </w:rPr>
        <w:t>》规定不得从事接触直接入口食品工作的疾病从业人员从事接触直接入口的工作。</w:t>
      </w:r>
    </w:p>
    <w:p w14:paraId="1D477213">
      <w:pPr>
        <w:pageBreakBefore w:val="0"/>
        <w:topLinePunct w:val="0"/>
        <w:bidi w:val="0"/>
        <w:spacing w:line="360" w:lineRule="auto"/>
        <w:ind w:left="0" w:leftChars="0" w:right="0" w:rightChars="0" w:firstLine="480" w:firstLineChars="200"/>
        <w:rPr>
          <w:rFonts w:hint="eastAsia"/>
          <w:color w:val="auto"/>
          <w:sz w:val="24"/>
          <w:szCs w:val="24"/>
          <w:lang w:val="en-US" w:eastAsia="zh-CN"/>
        </w:rPr>
      </w:pPr>
      <w:r>
        <w:rPr>
          <w:rFonts w:hint="eastAsia"/>
          <w:color w:val="auto"/>
          <w:sz w:val="24"/>
          <w:szCs w:val="24"/>
          <w:lang w:val="en-US"/>
        </w:rPr>
        <w:t>依据《</w:t>
      </w:r>
      <w:r>
        <w:rPr>
          <w:rFonts w:hint="eastAsia"/>
          <w:color w:val="auto"/>
          <w:sz w:val="24"/>
          <w:szCs w:val="24"/>
          <w:lang w:val="en-US" w:eastAsia="zh-CN"/>
        </w:rPr>
        <w:t>中华人民共和国食品安全法</w:t>
      </w:r>
      <w:r>
        <w:rPr>
          <w:rFonts w:hint="eastAsia"/>
          <w:color w:val="auto"/>
          <w:sz w:val="24"/>
          <w:szCs w:val="24"/>
          <w:lang w:val="en-US"/>
        </w:rPr>
        <w:t>》的规定坚决不</w:t>
      </w:r>
      <w:r>
        <w:rPr>
          <w:rFonts w:hint="eastAsia"/>
          <w:color w:val="auto"/>
          <w:sz w:val="24"/>
          <w:szCs w:val="24"/>
          <w:lang w:val="en-US" w:eastAsia="zh-CN"/>
        </w:rPr>
        <w:t>食用</w:t>
      </w:r>
      <w:r>
        <w:rPr>
          <w:rFonts w:hint="eastAsia"/>
          <w:color w:val="auto"/>
          <w:sz w:val="24"/>
          <w:szCs w:val="24"/>
          <w:lang w:val="en-US"/>
        </w:rPr>
        <w:t>不合格的食品</w:t>
      </w:r>
      <w:r>
        <w:rPr>
          <w:rFonts w:hint="eastAsia"/>
          <w:color w:val="auto"/>
          <w:sz w:val="24"/>
          <w:szCs w:val="24"/>
          <w:lang w:val="en-US" w:eastAsia="zh-CN"/>
        </w:rPr>
        <w:t>。</w:t>
      </w:r>
    </w:p>
    <w:p w14:paraId="07C71687">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依据《</w:t>
      </w:r>
      <w:r>
        <w:rPr>
          <w:rFonts w:hint="eastAsia"/>
          <w:color w:val="auto"/>
          <w:sz w:val="24"/>
          <w:szCs w:val="24"/>
          <w:lang w:val="en-US" w:eastAsia="zh-CN"/>
        </w:rPr>
        <w:t>中华人民共和国食品安全法</w:t>
      </w:r>
      <w:r>
        <w:rPr>
          <w:rFonts w:hint="eastAsia"/>
          <w:color w:val="auto"/>
          <w:sz w:val="24"/>
          <w:szCs w:val="24"/>
          <w:lang w:val="en-US"/>
        </w:rPr>
        <w:t>》的规定定期维护食品储存，陈列等设施，设备定期清洗， 校验，保温设施。</w:t>
      </w:r>
    </w:p>
    <w:p w14:paraId="7B89460B">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公示监督投诉电话</w:t>
      </w:r>
    </w:p>
    <w:p w14:paraId="030A0AAA">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（二）依法建立健全食品进货检查验收和索证索票制度，认真查验供货商的供货资格，产品合格证明，产品标识和食品质量是否符合要求，严把进货关。</w:t>
      </w:r>
    </w:p>
    <w:p w14:paraId="2CE18FFD">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（三）依法建立健全食品进货台账制度，如实记录、保存食品进货的各种信息， 保证本企业配送食品的可追溯性，以防范和控制食品安全风险。</w:t>
      </w:r>
    </w:p>
    <w:p w14:paraId="28364340">
      <w:pPr>
        <w:pageBreakBefore w:val="0"/>
        <w:topLinePunct w:val="0"/>
        <w:bidi w:val="0"/>
        <w:spacing w:line="360" w:lineRule="auto"/>
        <w:ind w:left="0" w:leftChars="0" w:right="0" w:rightChars="0" w:firstLine="480" w:firstLineChars="200"/>
        <w:rPr>
          <w:rFonts w:hint="eastAsia"/>
          <w:color w:val="auto"/>
          <w:sz w:val="24"/>
          <w:szCs w:val="24"/>
          <w:lang w:val="en-US"/>
        </w:rPr>
      </w:pPr>
      <w:r>
        <w:rPr>
          <w:rFonts w:hint="eastAsia"/>
          <w:color w:val="auto"/>
          <w:sz w:val="24"/>
          <w:szCs w:val="24"/>
          <w:lang w:val="en-US"/>
        </w:rPr>
        <w:t>（四）建立健全并落实食品安全的日常管理措施，及时发现配送食品的安全隐患，不销售不符合法律要求的食品，过期食品、变质食品和存在安全隐患的食品。发现问题食品立即停止配送并立即向相关部门报告并拿出处理方案。</w:t>
      </w:r>
    </w:p>
    <w:p w14:paraId="753E5BD9">
      <w:pPr>
        <w:pageBreakBefore w:val="0"/>
        <w:topLinePunct w:val="0"/>
        <w:bidi w:val="0"/>
        <w:spacing w:line="360" w:lineRule="auto"/>
        <w:ind w:left="0" w:leftChars="0" w:right="0" w:rightChars="0" w:firstLine="480" w:firstLineChars="200"/>
        <w:rPr>
          <w:rFonts w:hint="eastAsia"/>
          <w:color w:val="auto"/>
          <w:sz w:val="24"/>
          <w:szCs w:val="24"/>
          <w:lang w:val="en-US"/>
        </w:rPr>
      </w:pPr>
    </w:p>
    <w:p w14:paraId="260DB1D1">
      <w:pPr>
        <w:pageBreakBefore w:val="0"/>
        <w:numPr>
          <w:ilvl w:val="0"/>
          <w:numId w:val="24"/>
        </w:numPr>
        <w:topLinePunct w:val="0"/>
        <w:bidi w:val="0"/>
        <w:spacing w:line="360" w:lineRule="auto"/>
        <w:ind w:left="0" w:leftChars="0" w:right="0" w:rightChars="0" w:firstLine="480" w:firstLineChars="200"/>
        <w:rPr>
          <w:rFonts w:hint="eastAsia"/>
          <w:color w:val="auto"/>
          <w:sz w:val="24"/>
          <w:szCs w:val="24"/>
          <w:lang w:val="en-US"/>
        </w:rPr>
      </w:pPr>
      <w:r>
        <w:rPr>
          <w:rFonts w:hint="eastAsia"/>
          <w:color w:val="auto"/>
          <w:sz w:val="24"/>
          <w:szCs w:val="24"/>
          <w:lang w:val="en-US"/>
        </w:rPr>
        <w:t>自觉接受相关管理部门监督检查，自愿按照《</w:t>
      </w:r>
      <w:r>
        <w:rPr>
          <w:rFonts w:hint="eastAsia"/>
          <w:color w:val="auto"/>
          <w:sz w:val="24"/>
          <w:szCs w:val="24"/>
          <w:lang w:val="en-US" w:eastAsia="zh-CN"/>
        </w:rPr>
        <w:t>中华人民共和国食品安全法</w:t>
      </w:r>
      <w:r>
        <w:rPr>
          <w:rFonts w:hint="eastAsia"/>
          <w:color w:val="auto"/>
          <w:sz w:val="24"/>
          <w:szCs w:val="24"/>
          <w:lang w:val="en-US"/>
        </w:rPr>
        <w:t>》等法律法规规定接受处理。</w:t>
      </w:r>
    </w:p>
    <w:p w14:paraId="6E1B0100">
      <w:pPr>
        <w:pageBreakBefore w:val="0"/>
        <w:widowControl w:val="0"/>
        <w:numPr>
          <w:ilvl w:val="0"/>
          <w:numId w:val="0"/>
        </w:numPr>
        <w:topLinePunct w:val="0"/>
        <w:autoSpaceDE w:val="0"/>
        <w:autoSpaceDN w:val="0"/>
        <w:bidi w:val="0"/>
        <w:spacing w:line="360" w:lineRule="auto"/>
        <w:ind w:right="0" w:rightChars="0"/>
        <w:rPr>
          <w:rFonts w:hint="eastAsia"/>
          <w:color w:val="auto"/>
          <w:sz w:val="24"/>
          <w:szCs w:val="24"/>
          <w:lang w:val="en-US"/>
        </w:rPr>
      </w:pPr>
    </w:p>
    <w:p w14:paraId="591C1475">
      <w:pPr>
        <w:pageBreakBefore w:val="0"/>
        <w:widowControl w:val="0"/>
        <w:numPr>
          <w:ilvl w:val="0"/>
          <w:numId w:val="0"/>
        </w:numPr>
        <w:topLinePunct w:val="0"/>
        <w:autoSpaceDE w:val="0"/>
        <w:autoSpaceDN w:val="0"/>
        <w:bidi w:val="0"/>
        <w:spacing w:line="360" w:lineRule="auto"/>
        <w:ind w:right="0" w:rightChars="0"/>
        <w:rPr>
          <w:rFonts w:hint="eastAsia"/>
          <w:color w:val="auto"/>
          <w:sz w:val="24"/>
          <w:szCs w:val="24"/>
          <w:lang w:val="en-US"/>
        </w:rPr>
      </w:pPr>
    </w:p>
    <w:p w14:paraId="4BB50EFA">
      <w:pPr>
        <w:pageBreakBefore w:val="0"/>
        <w:topLinePunct w:val="0"/>
        <w:bidi w:val="0"/>
        <w:spacing w:line="480" w:lineRule="auto"/>
        <w:ind w:left="0" w:leftChars="0" w:right="0" w:rightChars="0" w:firstLine="480" w:firstLineChars="200"/>
        <w:rPr>
          <w:color w:val="auto"/>
          <w:sz w:val="24"/>
          <w:szCs w:val="24"/>
          <w:lang w:val="en-US"/>
        </w:rPr>
      </w:pPr>
      <w:r>
        <w:rPr>
          <w:rFonts w:hint="eastAsia"/>
          <w:color w:val="auto"/>
          <w:sz w:val="24"/>
          <w:szCs w:val="24"/>
          <w:lang w:val="en-US"/>
        </w:rPr>
        <w:t>承诺单位法定代表人（签字）：</w:t>
      </w:r>
      <w:r>
        <w:rPr>
          <w:rFonts w:hint="eastAsia"/>
          <w:color w:val="auto"/>
          <w:sz w:val="24"/>
          <w:szCs w:val="24"/>
          <w:u w:val="single"/>
          <w:lang w:val="en-US"/>
        </w:rPr>
        <w:t xml:space="preserve">         </w:t>
      </w:r>
      <w:r>
        <w:rPr>
          <w:rFonts w:hint="eastAsia"/>
          <w:color w:val="auto"/>
          <w:sz w:val="24"/>
          <w:szCs w:val="24"/>
          <w:lang w:val="en-US"/>
        </w:rPr>
        <w:tab/>
      </w:r>
      <w:r>
        <w:rPr>
          <w:rFonts w:hint="eastAsia"/>
          <w:color w:val="auto"/>
          <w:sz w:val="24"/>
          <w:szCs w:val="24"/>
          <w:lang w:val="en-US"/>
        </w:rPr>
        <w:tab/>
      </w:r>
      <w:r>
        <w:rPr>
          <w:rFonts w:hint="eastAsia"/>
          <w:color w:val="auto"/>
          <w:sz w:val="24"/>
          <w:szCs w:val="24"/>
          <w:lang w:val="en-US"/>
        </w:rPr>
        <w:t xml:space="preserve"> </w:t>
      </w:r>
    </w:p>
    <w:p w14:paraId="6FCC106D">
      <w:pPr>
        <w:pageBreakBefore w:val="0"/>
        <w:topLinePunct w:val="0"/>
        <w:bidi w:val="0"/>
        <w:spacing w:line="480" w:lineRule="auto"/>
        <w:ind w:left="0" w:leftChars="0" w:right="0" w:rightChars="0" w:firstLine="480" w:firstLineChars="200"/>
        <w:rPr>
          <w:color w:val="auto"/>
          <w:sz w:val="24"/>
          <w:szCs w:val="24"/>
          <w:u w:val="single"/>
          <w:lang w:val="en-US"/>
        </w:rPr>
      </w:pPr>
      <w:r>
        <w:rPr>
          <w:rFonts w:hint="eastAsia"/>
          <w:color w:val="auto"/>
          <w:sz w:val="24"/>
          <w:szCs w:val="24"/>
          <w:lang w:val="en-US"/>
        </w:rPr>
        <w:t>承诺单位（盖章）</w:t>
      </w:r>
      <w:r>
        <w:rPr>
          <w:rFonts w:hint="eastAsia"/>
          <w:color w:val="auto"/>
          <w:sz w:val="24"/>
          <w:szCs w:val="24"/>
          <w:u w:val="single"/>
          <w:lang w:val="en-US"/>
        </w:rPr>
        <w:t xml:space="preserve"> </w:t>
      </w:r>
      <w:r>
        <w:rPr>
          <w:rFonts w:hint="eastAsia"/>
          <w:color w:val="auto"/>
          <w:sz w:val="24"/>
          <w:szCs w:val="24"/>
          <w:u w:val="single"/>
          <w:lang w:val="en-US"/>
        </w:rPr>
        <w:tab/>
      </w:r>
      <w:r>
        <w:rPr>
          <w:rFonts w:hint="eastAsia"/>
          <w:color w:val="auto"/>
          <w:sz w:val="24"/>
          <w:szCs w:val="24"/>
          <w:u w:val="single"/>
          <w:lang w:val="en-US"/>
        </w:rPr>
        <w:tab/>
      </w:r>
      <w:r>
        <w:rPr>
          <w:rFonts w:hint="eastAsia"/>
          <w:color w:val="auto"/>
          <w:sz w:val="24"/>
          <w:szCs w:val="24"/>
          <w:u w:val="single"/>
          <w:lang w:val="en-US"/>
        </w:rPr>
        <w:t xml:space="preserve"> </w:t>
      </w:r>
    </w:p>
    <w:p w14:paraId="51584A06">
      <w:pPr>
        <w:pageBreakBefore w:val="0"/>
        <w:topLinePunct w:val="0"/>
        <w:bidi w:val="0"/>
        <w:spacing w:line="480" w:lineRule="auto"/>
        <w:ind w:left="0" w:leftChars="0" w:right="0" w:rightChars="0" w:firstLine="480" w:firstLineChars="200"/>
        <w:rPr>
          <w:rFonts w:ascii="Times New Roman" w:eastAsia="Times New Roman"/>
          <w:color w:val="auto"/>
          <w:sz w:val="24"/>
          <w:szCs w:val="24"/>
        </w:rPr>
        <w:sectPr>
          <w:headerReference r:id="rId18" w:type="default"/>
          <w:footerReference r:id="rId19" w:type="default"/>
          <w:type w:val="continuous"/>
          <w:pgSz w:w="11910" w:h="16840"/>
          <w:pgMar w:top="1020" w:right="1304" w:bottom="1020" w:left="1304" w:header="720" w:footer="720" w:gutter="0"/>
          <w:pgNumType w:fmt="decimal"/>
          <w:cols w:space="720" w:num="1"/>
        </w:sectPr>
      </w:pPr>
      <w:r>
        <w:rPr>
          <w:rFonts w:hint="eastAsia"/>
          <w:color w:val="auto"/>
          <w:sz w:val="24"/>
          <w:szCs w:val="24"/>
          <w:lang w:val="en-US"/>
        </w:rPr>
        <w:t>承诺时间：</w:t>
      </w:r>
      <w:r>
        <w:rPr>
          <w:rFonts w:hint="eastAsia"/>
          <w:color w:val="auto"/>
          <w:sz w:val="24"/>
          <w:szCs w:val="24"/>
          <w:u w:val="single"/>
          <w:lang w:val="en-US"/>
        </w:rPr>
        <w:t xml:space="preserve">        </w:t>
      </w:r>
      <w:r>
        <w:rPr>
          <w:rFonts w:hint="eastAsia"/>
          <w:color w:val="auto"/>
          <w:sz w:val="24"/>
          <w:szCs w:val="24"/>
          <w:u w:val="single"/>
          <w:lang w:val="en-US"/>
        </w:rPr>
        <w:tab/>
      </w:r>
    </w:p>
    <w:p w14:paraId="402F3382">
      <w:pPr>
        <w:pStyle w:val="4"/>
        <w:pageBreakBefore w:val="0"/>
        <w:numPr>
          <w:ilvl w:val="0"/>
          <w:numId w:val="25"/>
        </w:numPr>
        <w:tabs>
          <w:tab w:val="left" w:pos="1605"/>
        </w:tabs>
        <w:topLinePunct w:val="0"/>
        <w:bidi w:val="0"/>
        <w:spacing w:before="0" w:line="500" w:lineRule="exact"/>
        <w:ind w:left="0" w:leftChars="0" w:right="0" w:rightChars="0" w:firstLine="643" w:firstLineChars="200"/>
        <w:rPr>
          <w:color w:val="auto"/>
        </w:rPr>
      </w:pPr>
      <w:r>
        <w:rPr>
          <w:color w:val="auto"/>
        </w:rPr>
        <w:t>投标</w:t>
      </w:r>
      <w:r>
        <w:rPr>
          <w:rFonts w:hint="eastAsia"/>
          <w:color w:val="auto"/>
          <w:lang w:eastAsia="zh-CN"/>
        </w:rPr>
        <w:t>人</w:t>
      </w:r>
      <w:r>
        <w:rPr>
          <w:color w:val="auto"/>
        </w:rPr>
        <w:t>资质证明文件</w:t>
      </w:r>
    </w:p>
    <w:p w14:paraId="47B779BB">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40" w:lineRule="exact"/>
        <w:ind w:left="0" w:right="0" w:firstLine="560" w:firstLineChars="200"/>
        <w:jc w:val="both"/>
        <w:textAlignment w:val="auto"/>
        <w:rPr>
          <w:rFonts w:hint="eastAsia" w:ascii="宋体" w:hAnsi="宋体" w:eastAsia="宋体" w:cs="宋体"/>
          <w:color w:val="auto"/>
          <w:kern w:val="2"/>
          <w:sz w:val="28"/>
          <w:szCs w:val="28"/>
          <w:lang w:val="en-US" w:eastAsia="zh-CN" w:bidi="ar-SA"/>
        </w:rPr>
      </w:pPr>
      <w:r>
        <w:rPr>
          <w:rFonts w:hint="eastAsia" w:cs="宋体"/>
          <w:color w:val="auto"/>
          <w:kern w:val="2"/>
          <w:sz w:val="28"/>
          <w:szCs w:val="28"/>
          <w:lang w:val="en-US" w:eastAsia="zh-CN" w:bidi="ar-SA"/>
        </w:rPr>
        <w:t>1.招标</w:t>
      </w:r>
      <w:r>
        <w:rPr>
          <w:rFonts w:hint="eastAsia" w:ascii="宋体" w:hAnsi="宋体" w:eastAsia="宋体" w:cs="宋体"/>
          <w:color w:val="auto"/>
          <w:kern w:val="2"/>
          <w:sz w:val="28"/>
          <w:szCs w:val="28"/>
          <w:lang w:val="en-US" w:eastAsia="zh-CN" w:bidi="ar-SA"/>
        </w:rPr>
        <w:t>文件中</w:t>
      </w:r>
      <w:r>
        <w:rPr>
          <w:rFonts w:hint="eastAsia" w:ascii="宋体" w:hAnsi="宋体" w:eastAsia="宋体" w:cs="宋体"/>
          <w:b/>
          <w:bCs/>
          <w:color w:val="auto"/>
          <w:kern w:val="2"/>
          <w:sz w:val="28"/>
          <w:szCs w:val="28"/>
          <w:lang w:val="en-US" w:eastAsia="zh-CN" w:bidi="ar-SA"/>
        </w:rPr>
        <w:t>合同包一/二/三/四/五</w:t>
      </w:r>
      <w:r>
        <w:rPr>
          <w:rFonts w:hint="eastAsia" w:cs="宋体"/>
          <w:b/>
          <w:bCs/>
          <w:color w:val="auto"/>
          <w:kern w:val="2"/>
          <w:sz w:val="28"/>
          <w:szCs w:val="28"/>
          <w:lang w:val="en-US" w:eastAsia="zh-CN" w:bidi="ar-SA"/>
        </w:rPr>
        <w:t>/六</w:t>
      </w:r>
      <w:r>
        <w:rPr>
          <w:rFonts w:hint="eastAsia" w:ascii="宋体" w:hAnsi="宋体" w:eastAsia="宋体" w:cs="宋体"/>
          <w:color w:val="auto"/>
          <w:kern w:val="2"/>
          <w:sz w:val="28"/>
          <w:szCs w:val="28"/>
          <w:lang w:val="en-US" w:eastAsia="zh-CN" w:bidi="ar-SA"/>
        </w:rPr>
        <w:t>规定的资格证明文件；</w:t>
      </w:r>
    </w:p>
    <w:p w14:paraId="735C8ECD">
      <w:pPr>
        <w:spacing w:line="48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kern w:val="2"/>
          <w:sz w:val="28"/>
          <w:szCs w:val="28"/>
          <w:lang w:val="en-US" w:eastAsia="zh-CN" w:bidi="ar-SA"/>
        </w:rPr>
        <w:t>2.投标单位认为有必要提供的其他证明资料。</w:t>
      </w:r>
    </w:p>
    <w:p w14:paraId="69E938A4">
      <w:pPr>
        <w:pageBreakBefore w:val="0"/>
        <w:topLinePunct w:val="0"/>
        <w:bidi w:val="0"/>
        <w:spacing w:line="500" w:lineRule="exact"/>
        <w:ind w:left="0" w:leftChars="0" w:right="0" w:rightChars="0" w:firstLine="602" w:firstLineChars="200"/>
        <w:jc w:val="center"/>
        <w:rPr>
          <w:rFonts w:hint="eastAsia" w:ascii="Times New Roman" w:hAnsi="Times New Roman" w:cs="Times New Roman"/>
          <w:b/>
          <w:color w:val="auto"/>
          <w:sz w:val="30"/>
          <w:szCs w:val="30"/>
          <w:lang w:val="en-US"/>
        </w:rPr>
      </w:pPr>
    </w:p>
    <w:p w14:paraId="03AAD784">
      <w:pPr>
        <w:pageBreakBefore w:val="0"/>
        <w:topLinePunct w:val="0"/>
        <w:bidi w:val="0"/>
        <w:spacing w:line="500" w:lineRule="exact"/>
        <w:ind w:left="0" w:leftChars="0" w:right="0" w:rightChars="0" w:firstLine="602" w:firstLineChars="200"/>
        <w:jc w:val="center"/>
        <w:rPr>
          <w:rFonts w:hint="eastAsia" w:ascii="Times New Roman" w:hAnsi="Times New Roman" w:cs="Times New Roman"/>
          <w:b/>
          <w:color w:val="auto"/>
          <w:sz w:val="30"/>
          <w:szCs w:val="30"/>
          <w:lang w:val="en-US"/>
        </w:rPr>
      </w:pPr>
    </w:p>
    <w:p w14:paraId="6240C2F4">
      <w:pPr>
        <w:pageBreakBefore w:val="0"/>
        <w:topLinePunct w:val="0"/>
        <w:bidi w:val="0"/>
        <w:spacing w:line="500" w:lineRule="exact"/>
        <w:ind w:left="0" w:leftChars="0" w:right="0" w:rightChars="0" w:firstLine="602" w:firstLineChars="200"/>
        <w:jc w:val="center"/>
        <w:rPr>
          <w:rFonts w:hint="eastAsia" w:ascii="Times New Roman" w:hAnsi="Times New Roman" w:cs="Times New Roman"/>
          <w:b/>
          <w:color w:val="auto"/>
          <w:sz w:val="30"/>
          <w:szCs w:val="30"/>
          <w:lang w:val="en-US"/>
        </w:rPr>
      </w:pPr>
    </w:p>
    <w:p w14:paraId="4D9413A2">
      <w:pPr>
        <w:pageBreakBefore w:val="0"/>
        <w:topLinePunct w:val="0"/>
        <w:bidi w:val="0"/>
        <w:spacing w:line="500" w:lineRule="exact"/>
        <w:ind w:left="0" w:leftChars="0" w:right="0" w:rightChars="0" w:firstLine="602" w:firstLineChars="200"/>
        <w:jc w:val="center"/>
        <w:rPr>
          <w:rFonts w:hint="eastAsia" w:ascii="Times New Roman" w:hAnsi="Times New Roman" w:cs="Times New Roman"/>
          <w:b/>
          <w:color w:val="auto"/>
          <w:sz w:val="30"/>
          <w:szCs w:val="30"/>
          <w:lang w:val="en-US"/>
        </w:rPr>
      </w:pPr>
    </w:p>
    <w:p w14:paraId="6FCC354A">
      <w:pPr>
        <w:pageBreakBefore w:val="0"/>
        <w:topLinePunct w:val="0"/>
        <w:bidi w:val="0"/>
        <w:spacing w:line="500" w:lineRule="exact"/>
        <w:ind w:left="0" w:leftChars="0" w:right="0" w:rightChars="0" w:firstLine="602" w:firstLineChars="200"/>
        <w:jc w:val="center"/>
        <w:rPr>
          <w:rFonts w:hint="eastAsia" w:ascii="Times New Roman" w:hAnsi="Times New Roman" w:cs="Times New Roman"/>
          <w:b/>
          <w:color w:val="auto"/>
          <w:sz w:val="30"/>
          <w:szCs w:val="30"/>
          <w:lang w:val="en-US"/>
        </w:rPr>
      </w:pPr>
    </w:p>
    <w:p w14:paraId="6567675D">
      <w:pPr>
        <w:pageBreakBefore w:val="0"/>
        <w:topLinePunct w:val="0"/>
        <w:bidi w:val="0"/>
        <w:spacing w:line="500" w:lineRule="exact"/>
        <w:ind w:left="0" w:leftChars="0" w:right="0" w:rightChars="0" w:firstLine="602" w:firstLineChars="200"/>
        <w:jc w:val="center"/>
        <w:rPr>
          <w:rFonts w:hint="eastAsia" w:ascii="Times New Roman" w:hAnsi="Times New Roman" w:cs="Times New Roman"/>
          <w:b/>
          <w:color w:val="auto"/>
          <w:sz w:val="30"/>
          <w:szCs w:val="30"/>
          <w:lang w:val="en-US"/>
        </w:rPr>
      </w:pPr>
    </w:p>
    <w:p w14:paraId="26CA560A">
      <w:pPr>
        <w:pageBreakBefore w:val="0"/>
        <w:topLinePunct w:val="0"/>
        <w:bidi w:val="0"/>
        <w:spacing w:line="500" w:lineRule="exact"/>
        <w:ind w:left="0" w:leftChars="0" w:right="0" w:rightChars="0" w:firstLine="602" w:firstLineChars="200"/>
        <w:jc w:val="center"/>
        <w:rPr>
          <w:rFonts w:hint="eastAsia" w:ascii="Times New Roman" w:hAnsi="Times New Roman" w:cs="Times New Roman"/>
          <w:b/>
          <w:color w:val="auto"/>
          <w:sz w:val="30"/>
          <w:szCs w:val="30"/>
          <w:lang w:val="en-US"/>
        </w:rPr>
      </w:pPr>
    </w:p>
    <w:p w14:paraId="48C758BE">
      <w:pPr>
        <w:pageBreakBefore w:val="0"/>
        <w:topLinePunct w:val="0"/>
        <w:bidi w:val="0"/>
        <w:spacing w:line="500" w:lineRule="exact"/>
        <w:ind w:left="0" w:leftChars="0" w:right="0" w:rightChars="0" w:firstLine="602" w:firstLineChars="200"/>
        <w:jc w:val="center"/>
        <w:rPr>
          <w:rFonts w:hint="eastAsia" w:ascii="Times New Roman" w:hAnsi="Times New Roman" w:cs="Times New Roman"/>
          <w:b/>
          <w:color w:val="auto"/>
          <w:sz w:val="30"/>
          <w:szCs w:val="30"/>
          <w:lang w:val="en-US"/>
        </w:rPr>
      </w:pPr>
    </w:p>
    <w:p w14:paraId="3B4F86AA">
      <w:pPr>
        <w:pageBreakBefore w:val="0"/>
        <w:topLinePunct w:val="0"/>
        <w:bidi w:val="0"/>
        <w:spacing w:line="500" w:lineRule="exact"/>
        <w:ind w:left="0" w:leftChars="0" w:right="0" w:rightChars="0" w:firstLine="602" w:firstLineChars="200"/>
        <w:jc w:val="center"/>
        <w:rPr>
          <w:rFonts w:hint="eastAsia" w:ascii="Times New Roman" w:hAnsi="Times New Roman" w:cs="Times New Roman"/>
          <w:b/>
          <w:color w:val="auto"/>
          <w:sz w:val="30"/>
          <w:szCs w:val="30"/>
          <w:lang w:val="en-US"/>
        </w:rPr>
      </w:pPr>
    </w:p>
    <w:p w14:paraId="4B717B33">
      <w:pPr>
        <w:rPr>
          <w:rFonts w:hint="eastAsia" w:ascii="Times New Roman" w:hAnsi="Times New Roman" w:cs="Times New Roman"/>
          <w:b/>
          <w:color w:val="auto"/>
          <w:sz w:val="30"/>
          <w:szCs w:val="30"/>
          <w:lang w:val="en-US"/>
        </w:rPr>
      </w:pPr>
      <w:r>
        <w:rPr>
          <w:rFonts w:hint="eastAsia" w:ascii="Times New Roman" w:hAnsi="Times New Roman" w:cs="Times New Roman"/>
          <w:b/>
          <w:color w:val="auto"/>
          <w:sz w:val="30"/>
          <w:szCs w:val="30"/>
          <w:lang w:val="en-US"/>
        </w:rPr>
        <w:br w:type="page"/>
      </w:r>
    </w:p>
    <w:p w14:paraId="27EDA5D0">
      <w:pPr>
        <w:pageBreakBefore w:val="0"/>
        <w:topLinePunct w:val="0"/>
        <w:bidi w:val="0"/>
        <w:spacing w:line="500" w:lineRule="exact"/>
        <w:ind w:left="0" w:leftChars="0" w:right="0" w:rightChars="0" w:firstLine="602" w:firstLineChars="200"/>
        <w:jc w:val="center"/>
        <w:rPr>
          <w:rFonts w:ascii="Times New Roman" w:hAnsi="Times New Roman" w:cs="Times New Roman"/>
          <w:b/>
          <w:color w:val="auto"/>
          <w:sz w:val="30"/>
          <w:szCs w:val="30"/>
        </w:rPr>
      </w:pPr>
      <w:r>
        <w:rPr>
          <w:rFonts w:hint="eastAsia" w:ascii="Times New Roman" w:hAnsi="Times New Roman" w:cs="Times New Roman"/>
          <w:b/>
          <w:color w:val="auto"/>
          <w:sz w:val="30"/>
          <w:szCs w:val="30"/>
          <w:lang w:val="en-US"/>
        </w:rPr>
        <w:t>4</w:t>
      </w:r>
      <w:r>
        <w:rPr>
          <w:rFonts w:hint="eastAsia" w:ascii="Times New Roman" w:hAnsi="Times New Roman" w:cs="Times New Roman"/>
          <w:b/>
          <w:color w:val="auto"/>
          <w:sz w:val="30"/>
          <w:szCs w:val="30"/>
        </w:rPr>
        <w:t>.1法定代表人证明书</w:t>
      </w:r>
    </w:p>
    <w:p w14:paraId="63C26C99">
      <w:pPr>
        <w:pageBreakBefore w:val="0"/>
        <w:tabs>
          <w:tab w:val="left" w:pos="210"/>
        </w:tabs>
        <w:topLinePunct w:val="0"/>
        <w:bidi w:val="0"/>
        <w:spacing w:line="500" w:lineRule="exact"/>
        <w:ind w:left="0" w:leftChars="0" w:right="0" w:rightChars="0" w:firstLine="643" w:firstLineChars="200"/>
        <w:jc w:val="center"/>
        <w:rPr>
          <w:b/>
          <w:color w:val="auto"/>
          <w:sz w:val="32"/>
          <w:szCs w:val="32"/>
        </w:rPr>
      </w:pPr>
    </w:p>
    <w:tbl>
      <w:tblPr>
        <w:tblStyle w:val="23"/>
        <w:tblW w:w="94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8"/>
        <w:gridCol w:w="2064"/>
        <w:gridCol w:w="2058"/>
        <w:gridCol w:w="177"/>
        <w:gridCol w:w="2059"/>
        <w:gridCol w:w="1947"/>
      </w:tblGrid>
      <w:tr w14:paraId="404C3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483" w:type="dxa"/>
            <w:gridSpan w:val="6"/>
            <w:vAlign w:val="center"/>
          </w:tcPr>
          <w:p w14:paraId="237E6877">
            <w:pPr>
              <w:pageBreakBefore w:val="0"/>
              <w:topLinePunct w:val="0"/>
              <w:bidi w:val="0"/>
              <w:spacing w:line="500" w:lineRule="exact"/>
              <w:ind w:left="0" w:leftChars="0" w:right="0" w:rightChars="0" w:firstLine="480" w:firstLineChars="200"/>
              <w:rPr>
                <w:color w:val="auto"/>
                <w:sz w:val="24"/>
              </w:rPr>
            </w:pPr>
            <w:r>
              <w:rPr>
                <w:rFonts w:hint="eastAsia"/>
                <w:color w:val="auto"/>
                <w:sz w:val="24"/>
              </w:rPr>
              <w:t>致：</w:t>
            </w:r>
          </w:p>
        </w:tc>
      </w:tr>
      <w:tr w14:paraId="7B9A3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178" w:type="dxa"/>
            <w:vMerge w:val="restart"/>
            <w:vAlign w:val="center"/>
          </w:tcPr>
          <w:p w14:paraId="02870715">
            <w:pPr>
              <w:pageBreakBefore w:val="0"/>
              <w:tabs>
                <w:tab w:val="left" w:pos="210"/>
              </w:tabs>
              <w:topLinePunct w:val="0"/>
              <w:bidi w:val="0"/>
              <w:spacing w:line="500" w:lineRule="exact"/>
              <w:ind w:right="0" w:rightChars="0"/>
              <w:jc w:val="center"/>
              <w:rPr>
                <w:color w:val="auto"/>
                <w:sz w:val="24"/>
              </w:rPr>
            </w:pPr>
            <w:r>
              <w:rPr>
                <w:rFonts w:hint="eastAsia"/>
                <w:color w:val="auto"/>
                <w:sz w:val="24"/>
              </w:rPr>
              <w:t>企</w:t>
            </w:r>
          </w:p>
          <w:p w14:paraId="4A69BBB2">
            <w:pPr>
              <w:pageBreakBefore w:val="0"/>
              <w:tabs>
                <w:tab w:val="left" w:pos="210"/>
              </w:tabs>
              <w:topLinePunct w:val="0"/>
              <w:bidi w:val="0"/>
              <w:spacing w:line="500" w:lineRule="exact"/>
              <w:ind w:left="0" w:leftChars="0" w:right="0" w:rightChars="0" w:firstLine="480" w:firstLineChars="200"/>
              <w:jc w:val="center"/>
              <w:rPr>
                <w:color w:val="auto"/>
                <w:sz w:val="24"/>
              </w:rPr>
            </w:pPr>
          </w:p>
          <w:p w14:paraId="4ECFD2CC">
            <w:pPr>
              <w:pageBreakBefore w:val="0"/>
              <w:tabs>
                <w:tab w:val="left" w:pos="210"/>
              </w:tabs>
              <w:topLinePunct w:val="0"/>
              <w:bidi w:val="0"/>
              <w:spacing w:line="500" w:lineRule="exact"/>
              <w:ind w:right="0" w:rightChars="0"/>
              <w:jc w:val="center"/>
              <w:rPr>
                <w:color w:val="auto"/>
                <w:sz w:val="24"/>
              </w:rPr>
            </w:pPr>
            <w:r>
              <w:rPr>
                <w:rFonts w:hint="eastAsia"/>
                <w:color w:val="auto"/>
                <w:sz w:val="24"/>
              </w:rPr>
              <w:t>业</w:t>
            </w:r>
          </w:p>
          <w:p w14:paraId="18DEC606">
            <w:pPr>
              <w:pageBreakBefore w:val="0"/>
              <w:tabs>
                <w:tab w:val="left" w:pos="210"/>
              </w:tabs>
              <w:topLinePunct w:val="0"/>
              <w:bidi w:val="0"/>
              <w:spacing w:line="500" w:lineRule="exact"/>
              <w:ind w:left="0" w:leftChars="0" w:right="0" w:rightChars="0" w:firstLine="480" w:firstLineChars="200"/>
              <w:jc w:val="center"/>
              <w:rPr>
                <w:color w:val="auto"/>
                <w:sz w:val="24"/>
              </w:rPr>
            </w:pPr>
          </w:p>
          <w:p w14:paraId="2C90035C">
            <w:pPr>
              <w:pageBreakBefore w:val="0"/>
              <w:tabs>
                <w:tab w:val="left" w:pos="210"/>
              </w:tabs>
              <w:topLinePunct w:val="0"/>
              <w:bidi w:val="0"/>
              <w:spacing w:line="500" w:lineRule="exact"/>
              <w:ind w:right="0" w:rightChars="0"/>
              <w:jc w:val="center"/>
              <w:rPr>
                <w:color w:val="auto"/>
                <w:sz w:val="24"/>
              </w:rPr>
            </w:pPr>
            <w:r>
              <w:rPr>
                <w:rFonts w:hint="eastAsia"/>
                <w:color w:val="auto"/>
                <w:sz w:val="24"/>
              </w:rPr>
              <w:t>法</w:t>
            </w:r>
          </w:p>
          <w:p w14:paraId="126BC298">
            <w:pPr>
              <w:pageBreakBefore w:val="0"/>
              <w:tabs>
                <w:tab w:val="left" w:pos="210"/>
              </w:tabs>
              <w:topLinePunct w:val="0"/>
              <w:bidi w:val="0"/>
              <w:spacing w:line="500" w:lineRule="exact"/>
              <w:ind w:left="0" w:leftChars="0" w:right="0" w:rightChars="0" w:firstLine="480" w:firstLineChars="200"/>
              <w:jc w:val="center"/>
              <w:rPr>
                <w:color w:val="auto"/>
                <w:sz w:val="24"/>
              </w:rPr>
            </w:pPr>
          </w:p>
          <w:p w14:paraId="63601FFE">
            <w:pPr>
              <w:pageBreakBefore w:val="0"/>
              <w:tabs>
                <w:tab w:val="left" w:pos="210"/>
              </w:tabs>
              <w:topLinePunct w:val="0"/>
              <w:bidi w:val="0"/>
              <w:spacing w:line="500" w:lineRule="exact"/>
              <w:ind w:right="0" w:rightChars="0"/>
              <w:jc w:val="center"/>
              <w:rPr>
                <w:color w:val="auto"/>
                <w:sz w:val="24"/>
              </w:rPr>
            </w:pPr>
            <w:r>
              <w:rPr>
                <w:rFonts w:hint="eastAsia"/>
                <w:color w:val="auto"/>
                <w:sz w:val="24"/>
              </w:rPr>
              <w:t>人</w:t>
            </w:r>
          </w:p>
        </w:tc>
        <w:tc>
          <w:tcPr>
            <w:tcW w:w="2064" w:type="dxa"/>
            <w:vAlign w:val="center"/>
          </w:tcPr>
          <w:p w14:paraId="5521A085">
            <w:pPr>
              <w:pageBreakBefore w:val="0"/>
              <w:tabs>
                <w:tab w:val="left" w:pos="210"/>
              </w:tabs>
              <w:topLinePunct w:val="0"/>
              <w:bidi w:val="0"/>
              <w:spacing w:line="500" w:lineRule="exact"/>
              <w:ind w:left="0" w:leftChars="0" w:right="0" w:rightChars="0" w:firstLine="480" w:firstLineChars="200"/>
              <w:jc w:val="both"/>
              <w:rPr>
                <w:color w:val="auto"/>
                <w:sz w:val="24"/>
              </w:rPr>
            </w:pPr>
            <w:r>
              <w:rPr>
                <w:rFonts w:hint="eastAsia"/>
                <w:color w:val="auto"/>
                <w:sz w:val="24"/>
              </w:rPr>
              <w:t>企业名称</w:t>
            </w:r>
          </w:p>
        </w:tc>
        <w:tc>
          <w:tcPr>
            <w:tcW w:w="6241" w:type="dxa"/>
            <w:gridSpan w:val="4"/>
            <w:vAlign w:val="center"/>
          </w:tcPr>
          <w:p w14:paraId="713B1DF7">
            <w:pPr>
              <w:pageBreakBefore w:val="0"/>
              <w:tabs>
                <w:tab w:val="left" w:pos="210"/>
              </w:tabs>
              <w:topLinePunct w:val="0"/>
              <w:bidi w:val="0"/>
              <w:spacing w:line="500" w:lineRule="exact"/>
              <w:ind w:left="0" w:leftChars="0" w:right="0" w:rightChars="0" w:firstLine="480" w:firstLineChars="200"/>
              <w:jc w:val="center"/>
              <w:rPr>
                <w:color w:val="auto"/>
                <w:sz w:val="24"/>
              </w:rPr>
            </w:pPr>
          </w:p>
        </w:tc>
      </w:tr>
      <w:tr w14:paraId="372CE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178" w:type="dxa"/>
            <w:vMerge w:val="continue"/>
            <w:vAlign w:val="center"/>
          </w:tcPr>
          <w:p w14:paraId="6FEA4466">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2064" w:type="dxa"/>
            <w:vAlign w:val="center"/>
          </w:tcPr>
          <w:p w14:paraId="60CFDAB5">
            <w:pPr>
              <w:pageBreakBefore w:val="0"/>
              <w:tabs>
                <w:tab w:val="left" w:pos="210"/>
              </w:tabs>
              <w:topLinePunct w:val="0"/>
              <w:bidi w:val="0"/>
              <w:spacing w:line="500" w:lineRule="exact"/>
              <w:ind w:left="0" w:leftChars="0" w:right="0" w:rightChars="0" w:firstLine="480" w:firstLineChars="200"/>
              <w:jc w:val="both"/>
              <w:rPr>
                <w:color w:val="auto"/>
                <w:sz w:val="24"/>
              </w:rPr>
            </w:pPr>
            <w:r>
              <w:rPr>
                <w:rFonts w:hint="eastAsia"/>
                <w:color w:val="auto"/>
                <w:sz w:val="24"/>
              </w:rPr>
              <w:t>法定地址</w:t>
            </w:r>
          </w:p>
        </w:tc>
        <w:tc>
          <w:tcPr>
            <w:tcW w:w="6241" w:type="dxa"/>
            <w:gridSpan w:val="4"/>
            <w:vAlign w:val="center"/>
          </w:tcPr>
          <w:p w14:paraId="4F1B3ACB">
            <w:pPr>
              <w:pageBreakBefore w:val="0"/>
              <w:tabs>
                <w:tab w:val="left" w:pos="210"/>
              </w:tabs>
              <w:topLinePunct w:val="0"/>
              <w:bidi w:val="0"/>
              <w:spacing w:line="500" w:lineRule="exact"/>
              <w:ind w:left="0" w:leftChars="0" w:right="0" w:rightChars="0" w:firstLine="480" w:firstLineChars="200"/>
              <w:jc w:val="center"/>
              <w:rPr>
                <w:color w:val="auto"/>
                <w:sz w:val="24"/>
              </w:rPr>
            </w:pPr>
          </w:p>
        </w:tc>
      </w:tr>
      <w:tr w14:paraId="7E679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178" w:type="dxa"/>
            <w:vMerge w:val="continue"/>
            <w:vAlign w:val="center"/>
          </w:tcPr>
          <w:p w14:paraId="314A8FDA">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2064" w:type="dxa"/>
            <w:vAlign w:val="center"/>
          </w:tcPr>
          <w:p w14:paraId="0D60AF23">
            <w:pPr>
              <w:pageBreakBefore w:val="0"/>
              <w:tabs>
                <w:tab w:val="left" w:pos="210"/>
              </w:tabs>
              <w:topLinePunct w:val="0"/>
              <w:bidi w:val="0"/>
              <w:spacing w:line="500" w:lineRule="exact"/>
              <w:ind w:left="0" w:leftChars="0" w:right="0" w:rightChars="0" w:firstLine="480" w:firstLineChars="200"/>
              <w:jc w:val="both"/>
              <w:rPr>
                <w:color w:val="auto"/>
                <w:sz w:val="24"/>
              </w:rPr>
            </w:pPr>
            <w:r>
              <w:rPr>
                <w:rFonts w:hint="eastAsia"/>
                <w:color w:val="auto"/>
                <w:sz w:val="24"/>
              </w:rPr>
              <w:t>邮政编码</w:t>
            </w:r>
          </w:p>
        </w:tc>
        <w:tc>
          <w:tcPr>
            <w:tcW w:w="6241" w:type="dxa"/>
            <w:gridSpan w:val="4"/>
            <w:vAlign w:val="center"/>
          </w:tcPr>
          <w:p w14:paraId="7E234175">
            <w:pPr>
              <w:pageBreakBefore w:val="0"/>
              <w:tabs>
                <w:tab w:val="left" w:pos="210"/>
              </w:tabs>
              <w:topLinePunct w:val="0"/>
              <w:bidi w:val="0"/>
              <w:spacing w:line="500" w:lineRule="exact"/>
              <w:ind w:left="0" w:leftChars="0" w:right="0" w:rightChars="0" w:firstLine="480" w:firstLineChars="200"/>
              <w:jc w:val="center"/>
              <w:rPr>
                <w:color w:val="auto"/>
                <w:sz w:val="24"/>
              </w:rPr>
            </w:pPr>
          </w:p>
        </w:tc>
      </w:tr>
      <w:tr w14:paraId="4E270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178" w:type="dxa"/>
            <w:vMerge w:val="continue"/>
            <w:vAlign w:val="center"/>
          </w:tcPr>
          <w:p w14:paraId="1A1B8109">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2064" w:type="dxa"/>
            <w:vAlign w:val="center"/>
          </w:tcPr>
          <w:p w14:paraId="09EFAB81">
            <w:pPr>
              <w:pageBreakBefore w:val="0"/>
              <w:tabs>
                <w:tab w:val="left" w:pos="210"/>
              </w:tabs>
              <w:topLinePunct w:val="0"/>
              <w:bidi w:val="0"/>
              <w:spacing w:line="500" w:lineRule="exact"/>
              <w:ind w:right="0" w:rightChars="0" w:firstLine="240" w:firstLineChars="100"/>
              <w:jc w:val="both"/>
              <w:rPr>
                <w:color w:val="auto"/>
                <w:sz w:val="24"/>
              </w:rPr>
            </w:pPr>
            <w:r>
              <w:rPr>
                <w:rFonts w:hint="eastAsia"/>
                <w:color w:val="auto"/>
                <w:sz w:val="24"/>
              </w:rPr>
              <w:t>工商登记机关</w:t>
            </w:r>
          </w:p>
        </w:tc>
        <w:tc>
          <w:tcPr>
            <w:tcW w:w="6241" w:type="dxa"/>
            <w:gridSpan w:val="4"/>
            <w:vAlign w:val="center"/>
          </w:tcPr>
          <w:p w14:paraId="76BA35BA">
            <w:pPr>
              <w:pageBreakBefore w:val="0"/>
              <w:tabs>
                <w:tab w:val="left" w:pos="210"/>
              </w:tabs>
              <w:topLinePunct w:val="0"/>
              <w:bidi w:val="0"/>
              <w:spacing w:line="500" w:lineRule="exact"/>
              <w:ind w:left="0" w:leftChars="0" w:right="0" w:rightChars="0" w:firstLine="480" w:firstLineChars="200"/>
              <w:jc w:val="center"/>
              <w:rPr>
                <w:color w:val="auto"/>
                <w:sz w:val="24"/>
              </w:rPr>
            </w:pPr>
          </w:p>
        </w:tc>
      </w:tr>
      <w:tr w14:paraId="0A94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178" w:type="dxa"/>
            <w:vMerge w:val="continue"/>
            <w:vAlign w:val="center"/>
          </w:tcPr>
          <w:p w14:paraId="04460C72">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2064" w:type="dxa"/>
            <w:vAlign w:val="center"/>
          </w:tcPr>
          <w:p w14:paraId="09632D3A">
            <w:pPr>
              <w:pageBreakBefore w:val="0"/>
              <w:tabs>
                <w:tab w:val="left" w:pos="210"/>
              </w:tabs>
              <w:topLinePunct w:val="0"/>
              <w:bidi w:val="0"/>
              <w:spacing w:line="500" w:lineRule="exact"/>
              <w:ind w:right="0" w:rightChars="0" w:firstLine="240" w:firstLineChars="100"/>
              <w:jc w:val="both"/>
              <w:rPr>
                <w:color w:val="auto"/>
                <w:sz w:val="24"/>
              </w:rPr>
            </w:pPr>
            <w:r>
              <w:rPr>
                <w:rFonts w:hint="eastAsia"/>
                <w:color w:val="auto"/>
                <w:sz w:val="24"/>
              </w:rPr>
              <w:t>税务登记机关</w:t>
            </w:r>
          </w:p>
        </w:tc>
        <w:tc>
          <w:tcPr>
            <w:tcW w:w="6241" w:type="dxa"/>
            <w:gridSpan w:val="4"/>
            <w:vAlign w:val="center"/>
          </w:tcPr>
          <w:p w14:paraId="083AD0E1">
            <w:pPr>
              <w:pageBreakBefore w:val="0"/>
              <w:tabs>
                <w:tab w:val="left" w:pos="210"/>
              </w:tabs>
              <w:topLinePunct w:val="0"/>
              <w:bidi w:val="0"/>
              <w:spacing w:line="500" w:lineRule="exact"/>
              <w:ind w:left="0" w:leftChars="0" w:right="0" w:rightChars="0" w:firstLine="480" w:firstLineChars="200"/>
              <w:rPr>
                <w:color w:val="auto"/>
                <w:sz w:val="24"/>
              </w:rPr>
            </w:pPr>
          </w:p>
        </w:tc>
      </w:tr>
      <w:tr w14:paraId="234CB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178" w:type="dxa"/>
            <w:vMerge w:val="continue"/>
            <w:vAlign w:val="center"/>
          </w:tcPr>
          <w:p w14:paraId="637C6FB3">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2064" w:type="dxa"/>
            <w:vAlign w:val="center"/>
          </w:tcPr>
          <w:p w14:paraId="02D2E47D">
            <w:pPr>
              <w:pageBreakBefore w:val="0"/>
              <w:tabs>
                <w:tab w:val="left" w:pos="210"/>
              </w:tabs>
              <w:topLinePunct w:val="0"/>
              <w:bidi w:val="0"/>
              <w:spacing w:line="500" w:lineRule="exact"/>
              <w:ind w:right="0" w:rightChars="0" w:firstLine="240" w:firstLineChars="100"/>
              <w:jc w:val="both"/>
              <w:rPr>
                <w:color w:val="auto"/>
                <w:sz w:val="24"/>
              </w:rPr>
            </w:pPr>
            <w:r>
              <w:rPr>
                <w:rFonts w:hint="eastAsia"/>
                <w:color w:val="auto"/>
                <w:sz w:val="24"/>
              </w:rPr>
              <w:t>机构代码证号</w:t>
            </w:r>
          </w:p>
        </w:tc>
        <w:tc>
          <w:tcPr>
            <w:tcW w:w="6241" w:type="dxa"/>
            <w:gridSpan w:val="4"/>
            <w:vAlign w:val="center"/>
          </w:tcPr>
          <w:p w14:paraId="0C8160C2">
            <w:pPr>
              <w:pageBreakBefore w:val="0"/>
              <w:tabs>
                <w:tab w:val="left" w:pos="210"/>
              </w:tabs>
              <w:topLinePunct w:val="0"/>
              <w:bidi w:val="0"/>
              <w:spacing w:line="500" w:lineRule="exact"/>
              <w:ind w:left="0" w:leftChars="0" w:right="0" w:rightChars="0" w:firstLine="480" w:firstLineChars="200"/>
              <w:jc w:val="center"/>
              <w:rPr>
                <w:color w:val="auto"/>
                <w:sz w:val="24"/>
              </w:rPr>
            </w:pPr>
          </w:p>
        </w:tc>
      </w:tr>
      <w:tr w14:paraId="38E06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178" w:type="dxa"/>
            <w:vMerge w:val="restart"/>
            <w:vAlign w:val="center"/>
          </w:tcPr>
          <w:p w14:paraId="3BD4EF3A">
            <w:pPr>
              <w:pageBreakBefore w:val="0"/>
              <w:tabs>
                <w:tab w:val="left" w:pos="210"/>
              </w:tabs>
              <w:topLinePunct w:val="0"/>
              <w:bidi w:val="0"/>
              <w:spacing w:line="500" w:lineRule="exact"/>
              <w:ind w:right="0" w:rightChars="0"/>
              <w:jc w:val="center"/>
              <w:rPr>
                <w:color w:val="auto"/>
                <w:sz w:val="24"/>
              </w:rPr>
            </w:pPr>
            <w:r>
              <w:rPr>
                <w:rFonts w:hint="eastAsia"/>
                <w:color w:val="auto"/>
                <w:sz w:val="24"/>
              </w:rPr>
              <w:t>法定代表人</w:t>
            </w:r>
          </w:p>
        </w:tc>
        <w:tc>
          <w:tcPr>
            <w:tcW w:w="2064" w:type="dxa"/>
            <w:vAlign w:val="center"/>
          </w:tcPr>
          <w:p w14:paraId="320182CD">
            <w:pPr>
              <w:pageBreakBefore w:val="0"/>
              <w:tabs>
                <w:tab w:val="left" w:pos="210"/>
              </w:tabs>
              <w:topLinePunct w:val="0"/>
              <w:bidi w:val="0"/>
              <w:spacing w:line="500" w:lineRule="exact"/>
              <w:ind w:left="0" w:leftChars="0" w:right="0" w:rightChars="0" w:firstLine="480" w:firstLineChars="200"/>
              <w:jc w:val="both"/>
              <w:rPr>
                <w:color w:val="auto"/>
                <w:sz w:val="24"/>
              </w:rPr>
            </w:pPr>
            <w:r>
              <w:rPr>
                <w:rFonts w:hint="eastAsia"/>
                <w:color w:val="auto"/>
                <w:sz w:val="24"/>
              </w:rPr>
              <w:t>姓名</w:t>
            </w:r>
          </w:p>
        </w:tc>
        <w:tc>
          <w:tcPr>
            <w:tcW w:w="2235" w:type="dxa"/>
            <w:gridSpan w:val="2"/>
            <w:vAlign w:val="center"/>
          </w:tcPr>
          <w:p w14:paraId="7555B3CF">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2059" w:type="dxa"/>
            <w:vAlign w:val="center"/>
          </w:tcPr>
          <w:p w14:paraId="4E0AC51B">
            <w:pPr>
              <w:pageBreakBefore w:val="0"/>
              <w:tabs>
                <w:tab w:val="left" w:pos="210"/>
              </w:tabs>
              <w:topLinePunct w:val="0"/>
              <w:bidi w:val="0"/>
              <w:spacing w:line="500" w:lineRule="exact"/>
              <w:ind w:left="0" w:leftChars="0" w:right="0" w:rightChars="0" w:firstLine="720" w:firstLineChars="300"/>
              <w:jc w:val="both"/>
              <w:rPr>
                <w:color w:val="auto"/>
                <w:sz w:val="24"/>
              </w:rPr>
            </w:pPr>
            <w:r>
              <w:rPr>
                <w:rFonts w:hint="eastAsia"/>
                <w:color w:val="auto"/>
                <w:sz w:val="24"/>
              </w:rPr>
              <w:t>性别</w:t>
            </w:r>
          </w:p>
        </w:tc>
        <w:tc>
          <w:tcPr>
            <w:tcW w:w="1947" w:type="dxa"/>
            <w:vAlign w:val="center"/>
          </w:tcPr>
          <w:p w14:paraId="6D75F906">
            <w:pPr>
              <w:pageBreakBefore w:val="0"/>
              <w:tabs>
                <w:tab w:val="left" w:pos="210"/>
              </w:tabs>
              <w:topLinePunct w:val="0"/>
              <w:bidi w:val="0"/>
              <w:spacing w:line="500" w:lineRule="exact"/>
              <w:ind w:left="0" w:leftChars="0" w:right="0" w:rightChars="0" w:firstLine="480" w:firstLineChars="200"/>
              <w:jc w:val="center"/>
              <w:rPr>
                <w:color w:val="auto"/>
                <w:sz w:val="24"/>
              </w:rPr>
            </w:pPr>
          </w:p>
        </w:tc>
      </w:tr>
      <w:tr w14:paraId="11EFB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178" w:type="dxa"/>
            <w:vMerge w:val="continue"/>
            <w:vAlign w:val="center"/>
          </w:tcPr>
          <w:p w14:paraId="3667B43C">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2064" w:type="dxa"/>
            <w:vAlign w:val="center"/>
          </w:tcPr>
          <w:p w14:paraId="26A00D4A">
            <w:pPr>
              <w:pageBreakBefore w:val="0"/>
              <w:tabs>
                <w:tab w:val="left" w:pos="210"/>
              </w:tabs>
              <w:topLinePunct w:val="0"/>
              <w:bidi w:val="0"/>
              <w:spacing w:line="500" w:lineRule="exact"/>
              <w:ind w:left="0" w:leftChars="0" w:right="0" w:rightChars="0" w:firstLine="480" w:firstLineChars="200"/>
              <w:jc w:val="both"/>
              <w:rPr>
                <w:color w:val="auto"/>
                <w:sz w:val="24"/>
              </w:rPr>
            </w:pPr>
            <w:r>
              <w:rPr>
                <w:rFonts w:hint="eastAsia"/>
                <w:color w:val="auto"/>
                <w:sz w:val="24"/>
              </w:rPr>
              <w:t>职务</w:t>
            </w:r>
          </w:p>
        </w:tc>
        <w:tc>
          <w:tcPr>
            <w:tcW w:w="2235" w:type="dxa"/>
            <w:gridSpan w:val="2"/>
            <w:vAlign w:val="center"/>
          </w:tcPr>
          <w:p w14:paraId="043B6BF5">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2059" w:type="dxa"/>
            <w:vAlign w:val="center"/>
          </w:tcPr>
          <w:p w14:paraId="66725FD0">
            <w:pPr>
              <w:pageBreakBefore w:val="0"/>
              <w:tabs>
                <w:tab w:val="left" w:pos="210"/>
              </w:tabs>
              <w:topLinePunct w:val="0"/>
              <w:bidi w:val="0"/>
              <w:spacing w:line="500" w:lineRule="exact"/>
              <w:ind w:right="0" w:rightChars="0" w:firstLine="480" w:firstLineChars="200"/>
              <w:jc w:val="both"/>
              <w:rPr>
                <w:color w:val="auto"/>
                <w:sz w:val="24"/>
              </w:rPr>
            </w:pPr>
            <w:r>
              <w:rPr>
                <w:rFonts w:hint="eastAsia"/>
                <w:color w:val="auto"/>
                <w:sz w:val="24"/>
              </w:rPr>
              <w:t>联系电话</w:t>
            </w:r>
          </w:p>
        </w:tc>
        <w:tc>
          <w:tcPr>
            <w:tcW w:w="1947" w:type="dxa"/>
            <w:vAlign w:val="center"/>
          </w:tcPr>
          <w:p w14:paraId="3BBA0686">
            <w:pPr>
              <w:pageBreakBefore w:val="0"/>
              <w:tabs>
                <w:tab w:val="left" w:pos="210"/>
              </w:tabs>
              <w:topLinePunct w:val="0"/>
              <w:bidi w:val="0"/>
              <w:spacing w:line="500" w:lineRule="exact"/>
              <w:ind w:left="0" w:leftChars="0" w:right="0" w:rightChars="0" w:firstLine="480" w:firstLineChars="200"/>
              <w:jc w:val="center"/>
              <w:rPr>
                <w:color w:val="auto"/>
                <w:sz w:val="24"/>
              </w:rPr>
            </w:pPr>
          </w:p>
        </w:tc>
      </w:tr>
      <w:tr w14:paraId="78B8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178" w:type="dxa"/>
            <w:vMerge w:val="continue"/>
            <w:vAlign w:val="center"/>
          </w:tcPr>
          <w:p w14:paraId="45F6BC2D">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2064" w:type="dxa"/>
            <w:vAlign w:val="center"/>
          </w:tcPr>
          <w:p w14:paraId="60B39544">
            <w:pPr>
              <w:pageBreakBefore w:val="0"/>
              <w:tabs>
                <w:tab w:val="left" w:pos="210"/>
              </w:tabs>
              <w:topLinePunct w:val="0"/>
              <w:bidi w:val="0"/>
              <w:spacing w:line="500" w:lineRule="exact"/>
              <w:ind w:left="0" w:leftChars="0" w:right="0" w:rightChars="0" w:firstLine="480" w:firstLineChars="200"/>
              <w:jc w:val="both"/>
              <w:rPr>
                <w:color w:val="auto"/>
                <w:sz w:val="24"/>
              </w:rPr>
            </w:pPr>
            <w:r>
              <w:rPr>
                <w:rFonts w:hint="eastAsia"/>
                <w:color w:val="auto"/>
                <w:sz w:val="24"/>
              </w:rPr>
              <w:t>传真</w:t>
            </w:r>
          </w:p>
        </w:tc>
        <w:tc>
          <w:tcPr>
            <w:tcW w:w="6241" w:type="dxa"/>
            <w:gridSpan w:val="4"/>
            <w:vAlign w:val="center"/>
          </w:tcPr>
          <w:p w14:paraId="6825AD3D">
            <w:pPr>
              <w:pageBreakBefore w:val="0"/>
              <w:tabs>
                <w:tab w:val="left" w:pos="210"/>
              </w:tabs>
              <w:topLinePunct w:val="0"/>
              <w:bidi w:val="0"/>
              <w:spacing w:line="500" w:lineRule="exact"/>
              <w:ind w:left="0" w:leftChars="0" w:right="0" w:rightChars="0" w:firstLine="480" w:firstLineChars="200"/>
              <w:jc w:val="center"/>
              <w:rPr>
                <w:color w:val="auto"/>
                <w:sz w:val="24"/>
              </w:rPr>
            </w:pPr>
          </w:p>
        </w:tc>
      </w:tr>
      <w:tr w14:paraId="3284A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1" w:hRule="atLeast"/>
          <w:jc w:val="center"/>
        </w:trPr>
        <w:tc>
          <w:tcPr>
            <w:tcW w:w="1178" w:type="dxa"/>
            <w:vMerge w:val="restart"/>
            <w:vAlign w:val="center"/>
          </w:tcPr>
          <w:p w14:paraId="014BDB10">
            <w:pPr>
              <w:pageBreakBefore w:val="0"/>
              <w:tabs>
                <w:tab w:val="left" w:pos="210"/>
              </w:tabs>
              <w:topLinePunct w:val="0"/>
              <w:bidi w:val="0"/>
              <w:spacing w:line="500" w:lineRule="exact"/>
              <w:ind w:right="0" w:rightChars="0"/>
              <w:jc w:val="both"/>
              <w:rPr>
                <w:color w:val="auto"/>
                <w:sz w:val="24"/>
              </w:rPr>
            </w:pPr>
            <w:r>
              <w:rPr>
                <w:rFonts w:hint="eastAsia"/>
                <w:color w:val="auto"/>
                <w:sz w:val="24"/>
              </w:rPr>
              <w:t>法定代表人身份证复印件</w:t>
            </w:r>
          </w:p>
        </w:tc>
        <w:tc>
          <w:tcPr>
            <w:tcW w:w="4122" w:type="dxa"/>
            <w:gridSpan w:val="2"/>
            <w:vMerge w:val="restart"/>
            <w:vAlign w:val="center"/>
          </w:tcPr>
          <w:p w14:paraId="518A1B8D">
            <w:pPr>
              <w:pageBreakBefore w:val="0"/>
              <w:tabs>
                <w:tab w:val="left" w:pos="210"/>
              </w:tabs>
              <w:topLinePunct w:val="0"/>
              <w:bidi w:val="0"/>
              <w:spacing w:line="500" w:lineRule="exact"/>
              <w:ind w:left="0" w:leftChars="0" w:right="0" w:rightChars="0" w:firstLine="480" w:firstLineChars="200"/>
              <w:jc w:val="center"/>
              <w:rPr>
                <w:color w:val="auto"/>
                <w:sz w:val="24"/>
              </w:rPr>
            </w:pPr>
            <w:r>
              <w:rPr>
                <w:rFonts w:hint="eastAsia"/>
                <w:color w:val="auto"/>
                <w:sz w:val="24"/>
              </w:rPr>
              <w:t>（粘贴处）</w:t>
            </w:r>
          </w:p>
        </w:tc>
        <w:tc>
          <w:tcPr>
            <w:tcW w:w="4183" w:type="dxa"/>
            <w:gridSpan w:val="3"/>
            <w:vAlign w:val="center"/>
          </w:tcPr>
          <w:p w14:paraId="67B6BB4B">
            <w:pPr>
              <w:pageBreakBefore w:val="0"/>
              <w:tabs>
                <w:tab w:val="left" w:pos="210"/>
              </w:tabs>
              <w:topLinePunct w:val="0"/>
              <w:bidi w:val="0"/>
              <w:spacing w:line="500" w:lineRule="exact"/>
              <w:ind w:left="0" w:leftChars="0" w:right="0" w:rightChars="0" w:firstLine="480" w:firstLineChars="200"/>
              <w:jc w:val="center"/>
              <w:rPr>
                <w:color w:val="auto"/>
                <w:sz w:val="24"/>
              </w:rPr>
            </w:pPr>
            <w:r>
              <w:rPr>
                <w:rFonts w:hint="eastAsia"/>
                <w:color w:val="auto"/>
                <w:sz w:val="24"/>
              </w:rPr>
              <w:t>法定代表人（签章）</w:t>
            </w:r>
          </w:p>
        </w:tc>
      </w:tr>
      <w:tr w14:paraId="2D9E6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3" w:hRule="atLeast"/>
          <w:jc w:val="center"/>
        </w:trPr>
        <w:tc>
          <w:tcPr>
            <w:tcW w:w="1178" w:type="dxa"/>
            <w:vMerge w:val="continue"/>
            <w:vAlign w:val="center"/>
          </w:tcPr>
          <w:p w14:paraId="0233B406">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4122" w:type="dxa"/>
            <w:gridSpan w:val="2"/>
            <w:vMerge w:val="continue"/>
            <w:vAlign w:val="center"/>
          </w:tcPr>
          <w:p w14:paraId="1691ED6D">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4183" w:type="dxa"/>
            <w:gridSpan w:val="3"/>
            <w:vAlign w:val="bottom"/>
          </w:tcPr>
          <w:p w14:paraId="249F7697">
            <w:pPr>
              <w:pageBreakBefore w:val="0"/>
              <w:tabs>
                <w:tab w:val="left" w:pos="210"/>
              </w:tabs>
              <w:topLinePunct w:val="0"/>
              <w:bidi w:val="0"/>
              <w:spacing w:line="500" w:lineRule="exact"/>
              <w:ind w:left="0" w:leftChars="0" w:right="0" w:rightChars="0" w:firstLine="480" w:firstLineChars="200"/>
              <w:jc w:val="center"/>
              <w:rPr>
                <w:color w:val="auto"/>
                <w:sz w:val="24"/>
              </w:rPr>
            </w:pPr>
            <w:r>
              <w:rPr>
                <w:rFonts w:hint="eastAsia"/>
                <w:color w:val="auto"/>
                <w:sz w:val="24"/>
              </w:rPr>
              <w:t>（公章）</w:t>
            </w:r>
          </w:p>
          <w:p w14:paraId="07E9F389">
            <w:pPr>
              <w:pageBreakBefore w:val="0"/>
              <w:tabs>
                <w:tab w:val="left" w:pos="210"/>
              </w:tabs>
              <w:topLinePunct w:val="0"/>
              <w:bidi w:val="0"/>
              <w:spacing w:line="500" w:lineRule="exact"/>
              <w:ind w:left="0" w:leftChars="0" w:right="0" w:rightChars="0" w:firstLine="480" w:firstLineChars="200"/>
              <w:jc w:val="center"/>
              <w:rPr>
                <w:color w:val="auto"/>
                <w:sz w:val="24"/>
              </w:rPr>
            </w:pPr>
          </w:p>
          <w:p w14:paraId="31A07264">
            <w:pPr>
              <w:pageBreakBefore w:val="0"/>
              <w:tabs>
                <w:tab w:val="left" w:pos="210"/>
              </w:tabs>
              <w:topLinePunct w:val="0"/>
              <w:bidi w:val="0"/>
              <w:spacing w:line="500" w:lineRule="exact"/>
              <w:ind w:left="0" w:leftChars="0" w:right="0" w:rightChars="0" w:firstLine="480" w:firstLineChars="200"/>
              <w:jc w:val="center"/>
              <w:rPr>
                <w:color w:val="auto"/>
                <w:sz w:val="24"/>
              </w:rPr>
            </w:pPr>
          </w:p>
          <w:p w14:paraId="4048EC6A">
            <w:pPr>
              <w:pageBreakBefore w:val="0"/>
              <w:tabs>
                <w:tab w:val="left" w:pos="210"/>
              </w:tabs>
              <w:topLinePunct w:val="0"/>
              <w:bidi w:val="0"/>
              <w:spacing w:line="500" w:lineRule="exact"/>
              <w:ind w:left="0" w:leftChars="0" w:right="0" w:rightChars="0" w:firstLine="480" w:firstLineChars="200"/>
              <w:jc w:val="center"/>
              <w:rPr>
                <w:color w:val="auto"/>
                <w:sz w:val="24"/>
              </w:rPr>
            </w:pPr>
          </w:p>
          <w:p w14:paraId="7AE49709">
            <w:pPr>
              <w:pageBreakBefore w:val="0"/>
              <w:tabs>
                <w:tab w:val="left" w:pos="210"/>
              </w:tabs>
              <w:topLinePunct w:val="0"/>
              <w:bidi w:val="0"/>
              <w:spacing w:line="500" w:lineRule="exact"/>
              <w:ind w:left="0" w:leftChars="0" w:right="0" w:rightChars="0" w:firstLine="480" w:firstLineChars="200"/>
              <w:jc w:val="right"/>
              <w:rPr>
                <w:color w:val="auto"/>
                <w:sz w:val="24"/>
              </w:rPr>
            </w:pPr>
            <w:r>
              <w:rPr>
                <w:rFonts w:hint="eastAsia"/>
                <w:color w:val="auto"/>
                <w:sz w:val="24"/>
              </w:rPr>
              <w:t xml:space="preserve">年  月  日 </w:t>
            </w:r>
          </w:p>
        </w:tc>
      </w:tr>
    </w:tbl>
    <w:p w14:paraId="0079C0DB">
      <w:pPr>
        <w:pageBreakBefore w:val="0"/>
        <w:topLinePunct w:val="0"/>
        <w:bidi w:val="0"/>
        <w:adjustRightInd w:val="0"/>
        <w:snapToGrid w:val="0"/>
        <w:spacing w:line="500" w:lineRule="exact"/>
        <w:ind w:left="0" w:leftChars="0" w:right="0" w:rightChars="0" w:firstLine="480" w:firstLineChars="200"/>
        <w:rPr>
          <w:color w:val="auto"/>
          <w:sz w:val="24"/>
        </w:rPr>
      </w:pPr>
    </w:p>
    <w:p w14:paraId="66E9974C">
      <w:pPr>
        <w:pageBreakBefore w:val="0"/>
        <w:topLinePunct w:val="0"/>
        <w:bidi w:val="0"/>
        <w:adjustRightInd w:val="0"/>
        <w:snapToGrid w:val="0"/>
        <w:spacing w:line="500" w:lineRule="exact"/>
        <w:ind w:left="0" w:leftChars="0" w:right="0" w:rightChars="0" w:firstLine="480" w:firstLineChars="200"/>
        <w:rPr>
          <w:b/>
          <w:color w:val="auto"/>
          <w:sz w:val="24"/>
        </w:rPr>
      </w:pPr>
      <w:r>
        <w:rPr>
          <w:rFonts w:hint="eastAsia"/>
          <w:color w:val="auto"/>
          <w:sz w:val="24"/>
        </w:rPr>
        <w:t>（注：参会人员非公司法定代表人的，适用法定代表人授权委托书；参会人员为公司法定代表人的，适用法定代表人证明书。）</w:t>
      </w:r>
      <w:r>
        <w:rPr>
          <w:rFonts w:hint="eastAsia"/>
          <w:b/>
          <w:color w:val="auto"/>
          <w:sz w:val="24"/>
        </w:rPr>
        <w:t xml:space="preserve">                </w:t>
      </w:r>
    </w:p>
    <w:p w14:paraId="0D7F480C">
      <w:pPr>
        <w:pStyle w:val="8"/>
        <w:pageBreakBefore w:val="0"/>
        <w:topLinePunct w:val="0"/>
        <w:bidi w:val="0"/>
        <w:spacing w:line="500" w:lineRule="exact"/>
        <w:ind w:left="0" w:leftChars="0" w:right="0" w:rightChars="0" w:firstLine="400" w:firstLineChars="200"/>
        <w:jc w:val="center"/>
        <w:rPr>
          <w:color w:val="auto"/>
        </w:rPr>
      </w:pPr>
      <w:r>
        <w:rPr>
          <w:color w:val="auto"/>
        </w:rPr>
        <w:br w:type="page"/>
      </w:r>
    </w:p>
    <w:p w14:paraId="3576874F">
      <w:pPr>
        <w:pStyle w:val="8"/>
        <w:pageBreakBefore w:val="0"/>
        <w:topLinePunct w:val="0"/>
        <w:bidi w:val="0"/>
        <w:spacing w:line="500" w:lineRule="exact"/>
        <w:ind w:left="0" w:leftChars="0" w:right="0" w:rightChars="0" w:firstLine="602" w:firstLineChars="200"/>
        <w:jc w:val="center"/>
        <w:rPr>
          <w:b/>
          <w:color w:val="auto"/>
          <w:sz w:val="24"/>
        </w:rPr>
      </w:pPr>
      <w:r>
        <w:rPr>
          <w:rFonts w:hint="eastAsia" w:ascii="Times New Roman" w:hAnsi="Times New Roman" w:cs="Times New Roman"/>
          <w:b/>
          <w:color w:val="auto"/>
          <w:kern w:val="2"/>
          <w:sz w:val="30"/>
          <w:szCs w:val="30"/>
          <w:lang w:val="en-US" w:bidi="ar-SA"/>
        </w:rPr>
        <w:t>4.2 法</w:t>
      </w:r>
      <w:r>
        <w:rPr>
          <w:rFonts w:hint="eastAsia" w:ascii="Times New Roman" w:hAnsi="Times New Roman" w:cs="Times New Roman"/>
          <w:b/>
          <w:color w:val="auto"/>
          <w:kern w:val="2"/>
          <w:sz w:val="30"/>
          <w:szCs w:val="30"/>
          <w:lang w:val="en-US" w:eastAsia="zh-CN" w:bidi="ar-SA"/>
        </w:rPr>
        <w:t>定代表</w:t>
      </w:r>
      <w:r>
        <w:rPr>
          <w:rFonts w:hint="eastAsia" w:ascii="Times New Roman" w:hAnsi="Times New Roman" w:cs="Times New Roman"/>
          <w:b/>
          <w:color w:val="auto"/>
          <w:kern w:val="2"/>
          <w:sz w:val="30"/>
          <w:szCs w:val="30"/>
          <w:lang w:val="en-US" w:bidi="ar-SA"/>
        </w:rPr>
        <w:t>人授权书（格式）</w:t>
      </w:r>
    </w:p>
    <w:p w14:paraId="22C62FC4">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本人</w:t>
      </w:r>
      <w:r>
        <w:rPr>
          <w:rFonts w:hint="eastAsia"/>
          <w:color w:val="auto"/>
          <w:sz w:val="24"/>
          <w:szCs w:val="24"/>
          <w:u w:val="single"/>
        </w:rPr>
        <w:t xml:space="preserve">          </w:t>
      </w:r>
      <w:r>
        <w:rPr>
          <w:rFonts w:hint="eastAsia"/>
          <w:color w:val="auto"/>
          <w:sz w:val="24"/>
          <w:szCs w:val="24"/>
        </w:rPr>
        <w:t>（姓名）系</w:t>
      </w:r>
      <w:r>
        <w:rPr>
          <w:rFonts w:hint="eastAsia"/>
          <w:color w:val="auto"/>
          <w:sz w:val="24"/>
          <w:szCs w:val="24"/>
          <w:u w:val="single"/>
        </w:rPr>
        <w:t xml:space="preserve">              </w:t>
      </w:r>
      <w:r>
        <w:rPr>
          <w:rFonts w:hint="eastAsia"/>
          <w:color w:val="auto"/>
          <w:sz w:val="24"/>
          <w:szCs w:val="24"/>
        </w:rPr>
        <w:t>（</w:t>
      </w:r>
      <w:r>
        <w:rPr>
          <w:rFonts w:hint="eastAsia"/>
          <w:color w:val="auto"/>
          <w:sz w:val="24"/>
          <w:szCs w:val="24"/>
          <w:lang w:eastAsia="zh-CN"/>
        </w:rPr>
        <w:t>供应商</w:t>
      </w:r>
      <w:r>
        <w:rPr>
          <w:rFonts w:hint="eastAsia"/>
          <w:color w:val="auto"/>
          <w:sz w:val="24"/>
          <w:szCs w:val="24"/>
        </w:rPr>
        <w:t>名称）的法定代表人（单位负责人），现委托</w:t>
      </w:r>
      <w:r>
        <w:rPr>
          <w:rFonts w:hint="eastAsia"/>
          <w:color w:val="auto"/>
          <w:sz w:val="24"/>
          <w:szCs w:val="24"/>
          <w:u w:val="single"/>
        </w:rPr>
        <w:t xml:space="preserve">           </w:t>
      </w:r>
      <w:r>
        <w:rPr>
          <w:rFonts w:hint="eastAsia"/>
          <w:color w:val="auto"/>
          <w:sz w:val="24"/>
          <w:szCs w:val="24"/>
        </w:rPr>
        <w:t>（被委托人姓名）为我方代理人。代理人根据授权，以我方的名义签署、澄清确认、递交、撤回、修改</w:t>
      </w:r>
      <w:r>
        <w:rPr>
          <w:rFonts w:hint="eastAsia"/>
          <w:color w:val="auto"/>
          <w:sz w:val="24"/>
          <w:szCs w:val="24"/>
          <w:u w:val="single"/>
        </w:rPr>
        <w:t xml:space="preserve">         </w:t>
      </w:r>
      <w:r>
        <w:rPr>
          <w:rFonts w:hint="eastAsia"/>
          <w:color w:val="auto"/>
          <w:sz w:val="24"/>
          <w:szCs w:val="24"/>
        </w:rPr>
        <w:t>（采购项目）投标文件、签订合同和全权处理一切与之有关的事宜，其法律后果由我方承担。</w:t>
      </w:r>
    </w:p>
    <w:p w14:paraId="3CD58A1B">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委托期限：    年    月   日至     年   月   日。</w:t>
      </w:r>
    </w:p>
    <w:p w14:paraId="44713BE7">
      <w:pPr>
        <w:pageBreakBefore w:val="0"/>
        <w:topLinePunct w:val="0"/>
        <w:bidi w:val="0"/>
        <w:spacing w:line="500" w:lineRule="exact"/>
        <w:ind w:left="0" w:leftChars="0" w:right="0" w:rightChars="0" w:firstLine="480" w:firstLineChars="200"/>
        <w:rPr>
          <w:b/>
          <w:bCs/>
          <w:color w:val="auto"/>
          <w:sz w:val="24"/>
          <w:szCs w:val="24"/>
        </w:rPr>
      </w:pPr>
      <w:r>
        <w:rPr>
          <w:rFonts w:hint="eastAsia"/>
          <w:color w:val="auto"/>
          <w:sz w:val="24"/>
          <w:szCs w:val="24"/>
        </w:rPr>
        <w:t>代理人无转委托权。</w:t>
      </w:r>
    </w:p>
    <w:p w14:paraId="37C20440">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附：法定代表人（单位负责人）身份证正反面复印件、委托代理人身份证正反面复印件及委托代理人在本单位社保证明材料。</w:t>
      </w:r>
    </w:p>
    <w:tbl>
      <w:tblPr>
        <w:tblStyle w:val="23"/>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4431E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5" w:hRule="exact"/>
          <w:jc w:val="center"/>
        </w:trPr>
        <w:tc>
          <w:tcPr>
            <w:tcW w:w="4349" w:type="dxa"/>
            <w:noWrap w:val="0"/>
            <w:vAlign w:val="top"/>
          </w:tcPr>
          <w:p w14:paraId="44C6B62A">
            <w:pPr>
              <w:pageBreakBefore w:val="0"/>
              <w:topLinePunct w:val="0"/>
              <w:bidi w:val="0"/>
              <w:spacing w:line="500" w:lineRule="exact"/>
              <w:ind w:left="0" w:leftChars="0" w:right="0" w:rightChars="0" w:firstLine="480" w:firstLineChars="200"/>
              <w:rPr>
                <w:rFonts w:hint="eastAsia" w:ascii="宋体" w:hAnsi="宋体" w:cs="宋体"/>
                <w:color w:val="auto"/>
                <w:sz w:val="24"/>
              </w:rPr>
            </w:pPr>
          </w:p>
          <w:p w14:paraId="29D5BC71">
            <w:pPr>
              <w:pageBreakBefore w:val="0"/>
              <w:topLinePunct w:val="0"/>
              <w:bidi w:val="0"/>
              <w:spacing w:line="500" w:lineRule="exact"/>
              <w:ind w:left="0" w:leftChars="0" w:right="0" w:rightChars="0" w:firstLine="480" w:firstLineChars="200"/>
              <w:rPr>
                <w:rFonts w:hint="eastAsia" w:ascii="宋体" w:hAnsi="宋体" w:cs="宋体"/>
                <w:color w:val="auto"/>
                <w:sz w:val="24"/>
              </w:rPr>
            </w:pPr>
            <w:r>
              <w:rPr>
                <w:rFonts w:hint="eastAsia" w:ascii="宋体" w:hAnsi="宋体" w:cs="宋体"/>
                <w:color w:val="auto"/>
                <w:sz w:val="24"/>
              </w:rPr>
              <w:t>法</w:t>
            </w:r>
            <w:r>
              <w:rPr>
                <w:rFonts w:hint="eastAsia" w:ascii="宋体" w:hAnsi="宋体" w:cs="宋体"/>
                <w:color w:val="auto"/>
                <w:sz w:val="24"/>
                <w:lang w:val="en-US" w:eastAsia="zh-CN"/>
              </w:rPr>
              <w:t>定代表人</w:t>
            </w:r>
            <w:r>
              <w:rPr>
                <w:rFonts w:hint="eastAsia" w:ascii="宋体" w:hAnsi="宋体" w:cs="宋体"/>
                <w:color w:val="auto"/>
                <w:sz w:val="24"/>
              </w:rPr>
              <w:t xml:space="preserve">（私章）：                      </w:t>
            </w:r>
          </w:p>
          <w:p w14:paraId="56F9AE08">
            <w:pPr>
              <w:pageBreakBefore w:val="0"/>
              <w:topLinePunct w:val="0"/>
              <w:bidi w:val="0"/>
              <w:spacing w:line="500" w:lineRule="exact"/>
              <w:ind w:left="0" w:leftChars="0" w:right="0" w:rightChars="0" w:firstLine="480" w:firstLineChars="200"/>
              <w:rPr>
                <w:rFonts w:hint="eastAsia" w:ascii="宋体" w:hAnsi="宋体" w:cs="宋体"/>
                <w:color w:val="auto"/>
                <w:sz w:val="24"/>
              </w:rPr>
            </w:pPr>
          </w:p>
          <w:p w14:paraId="2123D132">
            <w:pPr>
              <w:pageBreakBefore w:val="0"/>
              <w:topLinePunct w:val="0"/>
              <w:bidi w:val="0"/>
              <w:spacing w:line="500" w:lineRule="exact"/>
              <w:ind w:left="0" w:leftChars="0" w:right="0" w:rightChars="0" w:firstLine="480" w:firstLineChars="200"/>
              <w:rPr>
                <w:rFonts w:hint="eastAsia" w:ascii="宋体" w:hAnsi="宋体" w:cs="宋体"/>
                <w:color w:val="auto"/>
                <w:sz w:val="24"/>
              </w:rPr>
            </w:pPr>
            <w:r>
              <w:rPr>
                <w:rFonts w:hint="eastAsia" w:ascii="宋体" w:hAnsi="宋体" w:cs="宋体"/>
                <w:color w:val="auto"/>
                <w:sz w:val="24"/>
              </w:rPr>
              <w:t>（公章）：</w:t>
            </w:r>
          </w:p>
          <w:p w14:paraId="4F6D4EAD">
            <w:pPr>
              <w:pageBreakBefore w:val="0"/>
              <w:topLinePunct w:val="0"/>
              <w:bidi w:val="0"/>
              <w:spacing w:line="500" w:lineRule="exact"/>
              <w:ind w:left="0" w:leftChars="0" w:right="0" w:rightChars="0" w:firstLine="480" w:firstLineChars="200"/>
              <w:rPr>
                <w:rFonts w:hint="eastAsia" w:ascii="宋体" w:hAnsi="宋体" w:cs="宋体"/>
                <w:color w:val="auto"/>
                <w:sz w:val="24"/>
              </w:rPr>
            </w:pPr>
            <w:r>
              <w:rPr>
                <w:rFonts w:hint="eastAsia" w:ascii="宋体" w:hAnsi="宋体" w:cs="宋体"/>
                <w:color w:val="auto"/>
                <w:sz w:val="24"/>
              </w:rPr>
              <w:t>年   月   日</w:t>
            </w:r>
          </w:p>
        </w:tc>
        <w:tc>
          <w:tcPr>
            <w:tcW w:w="4371" w:type="dxa"/>
            <w:noWrap w:val="0"/>
            <w:vAlign w:val="center"/>
          </w:tcPr>
          <w:p w14:paraId="0325191C">
            <w:pPr>
              <w:pageBreakBefore w:val="0"/>
              <w:topLinePunct w:val="0"/>
              <w:bidi w:val="0"/>
              <w:spacing w:line="500" w:lineRule="exact"/>
              <w:ind w:right="0" w:rightChars="0"/>
              <w:jc w:val="both"/>
              <w:rPr>
                <w:rFonts w:hint="eastAsia" w:ascii="宋体" w:hAnsi="宋体" w:cs="宋体"/>
                <w:color w:val="auto"/>
                <w:sz w:val="24"/>
                <w:u w:val="single"/>
              </w:rPr>
            </w:pPr>
            <w:r>
              <w:rPr>
                <w:rFonts w:hint="eastAsia" w:ascii="宋体" w:hAnsi="宋体" w:cs="宋体"/>
                <w:color w:val="auto"/>
                <w:sz w:val="24"/>
              </w:rPr>
              <w:t>（法</w:t>
            </w:r>
            <w:r>
              <w:rPr>
                <w:rFonts w:hint="eastAsia" w:ascii="宋体" w:hAnsi="宋体" w:cs="宋体"/>
                <w:color w:val="auto"/>
                <w:sz w:val="24"/>
                <w:lang w:val="en-US" w:eastAsia="zh-CN"/>
              </w:rPr>
              <w:t>定代表</w:t>
            </w:r>
            <w:r>
              <w:rPr>
                <w:rFonts w:hint="eastAsia" w:ascii="宋体" w:hAnsi="宋体" w:cs="宋体"/>
                <w:color w:val="auto"/>
                <w:sz w:val="24"/>
              </w:rPr>
              <w:t>人身份证正反面复印件，有国徽一面为正，身份信息一面为反）</w:t>
            </w:r>
          </w:p>
        </w:tc>
      </w:tr>
    </w:tbl>
    <w:tbl>
      <w:tblPr>
        <w:tblStyle w:val="23"/>
        <w:tblpPr w:leftFromText="180" w:rightFromText="180" w:vertAnchor="text" w:horzAnchor="page" w:tblpX="1712" w:tblpY="428"/>
        <w:tblOverlap w:val="never"/>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6032F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5" w:hRule="exact"/>
        </w:trPr>
        <w:tc>
          <w:tcPr>
            <w:tcW w:w="4349" w:type="dxa"/>
            <w:noWrap w:val="0"/>
            <w:vAlign w:val="top"/>
          </w:tcPr>
          <w:p w14:paraId="6BF195E7">
            <w:pPr>
              <w:pageBreakBefore w:val="0"/>
              <w:topLinePunct w:val="0"/>
              <w:bidi w:val="0"/>
              <w:spacing w:line="500" w:lineRule="exact"/>
              <w:ind w:left="0" w:leftChars="0" w:right="0" w:rightChars="0" w:firstLine="480" w:firstLineChars="200"/>
              <w:rPr>
                <w:rFonts w:hint="eastAsia" w:ascii="宋体" w:hAnsi="宋体" w:cs="宋体"/>
                <w:color w:val="auto"/>
                <w:sz w:val="24"/>
              </w:rPr>
            </w:pPr>
          </w:p>
          <w:p w14:paraId="6A110C85">
            <w:pPr>
              <w:pageBreakBefore w:val="0"/>
              <w:topLinePunct w:val="0"/>
              <w:bidi w:val="0"/>
              <w:spacing w:line="500" w:lineRule="exact"/>
              <w:ind w:left="0" w:leftChars="0" w:right="0" w:rightChars="0" w:firstLine="480" w:firstLineChars="200"/>
              <w:rPr>
                <w:rFonts w:hint="eastAsia" w:ascii="宋体" w:hAnsi="宋体" w:cs="宋体"/>
                <w:color w:val="auto"/>
                <w:sz w:val="24"/>
                <w:u w:val="single"/>
              </w:rPr>
            </w:pPr>
            <w:r>
              <w:rPr>
                <w:rFonts w:hint="eastAsia" w:ascii="宋体" w:hAnsi="宋体" w:cs="宋体"/>
                <w:color w:val="auto"/>
                <w:sz w:val="24"/>
              </w:rPr>
              <w:t xml:space="preserve">代理人（被授权人）签字：               </w:t>
            </w:r>
            <w:r>
              <w:rPr>
                <w:rFonts w:hint="eastAsia" w:ascii="宋体" w:hAnsi="宋体" w:cs="宋体"/>
                <w:color w:val="auto"/>
                <w:sz w:val="24"/>
                <w:u w:val="single"/>
              </w:rPr>
              <w:t xml:space="preserve">        </w:t>
            </w:r>
          </w:p>
          <w:p w14:paraId="42423400">
            <w:pPr>
              <w:pageBreakBefore w:val="0"/>
              <w:topLinePunct w:val="0"/>
              <w:bidi w:val="0"/>
              <w:spacing w:line="500" w:lineRule="exact"/>
              <w:ind w:left="0" w:leftChars="0" w:right="0" w:rightChars="0" w:firstLine="480" w:firstLineChars="200"/>
              <w:rPr>
                <w:rFonts w:hint="eastAsia" w:ascii="宋体" w:hAnsi="宋体" w:cs="宋体"/>
                <w:color w:val="auto"/>
                <w:sz w:val="24"/>
                <w:u w:val="single"/>
              </w:rPr>
            </w:pPr>
          </w:p>
          <w:p w14:paraId="30E4E2DC">
            <w:pPr>
              <w:pageBreakBefore w:val="0"/>
              <w:topLinePunct w:val="0"/>
              <w:bidi w:val="0"/>
              <w:spacing w:line="500" w:lineRule="exact"/>
              <w:ind w:left="0" w:leftChars="0" w:right="0" w:rightChars="0" w:firstLine="480" w:firstLineChars="200"/>
              <w:rPr>
                <w:rFonts w:hint="eastAsia" w:ascii="宋体" w:hAnsi="宋体" w:cs="宋体"/>
                <w:color w:val="auto"/>
                <w:sz w:val="24"/>
                <w:u w:val="single"/>
              </w:rPr>
            </w:pPr>
            <w:r>
              <w:rPr>
                <w:rFonts w:hint="eastAsia" w:ascii="宋体" w:hAnsi="宋体" w:cs="宋体"/>
                <w:color w:val="auto"/>
                <w:sz w:val="24"/>
              </w:rPr>
              <w:t xml:space="preserve">职务：                           </w:t>
            </w:r>
          </w:p>
          <w:p w14:paraId="70D2F1DC">
            <w:pPr>
              <w:pageBreakBefore w:val="0"/>
              <w:topLinePunct w:val="0"/>
              <w:bidi w:val="0"/>
              <w:spacing w:line="500" w:lineRule="exact"/>
              <w:ind w:left="0" w:leftChars="0" w:right="0" w:rightChars="0" w:firstLine="480" w:firstLineChars="200"/>
              <w:rPr>
                <w:rFonts w:hint="eastAsia" w:ascii="宋体" w:hAnsi="宋体" w:cs="宋体"/>
                <w:color w:val="auto"/>
                <w:sz w:val="24"/>
                <w:u w:val="single"/>
              </w:rPr>
            </w:pPr>
          </w:p>
          <w:p w14:paraId="3EB50622">
            <w:pPr>
              <w:pageBreakBefore w:val="0"/>
              <w:topLinePunct w:val="0"/>
              <w:bidi w:val="0"/>
              <w:spacing w:line="500" w:lineRule="exact"/>
              <w:ind w:left="0" w:leftChars="0" w:right="0" w:rightChars="0" w:firstLine="480" w:firstLineChars="200"/>
              <w:rPr>
                <w:rFonts w:hint="eastAsia" w:ascii="宋体" w:hAnsi="宋体" w:cs="宋体"/>
                <w:color w:val="auto"/>
                <w:sz w:val="24"/>
              </w:rPr>
            </w:pPr>
            <w:r>
              <w:rPr>
                <w:rFonts w:hint="eastAsia" w:ascii="宋体" w:hAnsi="宋体" w:cs="宋体"/>
                <w:color w:val="auto"/>
                <w:sz w:val="24"/>
              </w:rPr>
              <w:t>年   月   日</w:t>
            </w:r>
          </w:p>
        </w:tc>
        <w:tc>
          <w:tcPr>
            <w:tcW w:w="4371" w:type="dxa"/>
            <w:noWrap w:val="0"/>
            <w:vAlign w:val="center"/>
          </w:tcPr>
          <w:p w14:paraId="058253E9">
            <w:pPr>
              <w:pageBreakBefore w:val="0"/>
              <w:topLinePunct w:val="0"/>
              <w:bidi w:val="0"/>
              <w:spacing w:line="500" w:lineRule="exact"/>
              <w:ind w:right="0" w:rightChars="0"/>
              <w:jc w:val="both"/>
              <w:rPr>
                <w:rFonts w:hint="eastAsia" w:ascii="宋体" w:hAnsi="宋体" w:cs="宋体"/>
                <w:color w:val="auto"/>
                <w:sz w:val="24"/>
                <w:u w:val="single"/>
              </w:rPr>
            </w:pPr>
            <w:r>
              <w:rPr>
                <w:rFonts w:hint="eastAsia" w:ascii="宋体" w:hAnsi="宋体" w:cs="宋体"/>
                <w:color w:val="auto"/>
                <w:sz w:val="24"/>
              </w:rPr>
              <w:t>（被授权代理人身份证正反面复印件，有国徽一面为正，身份信息一面为反）</w:t>
            </w:r>
          </w:p>
        </w:tc>
      </w:tr>
    </w:tbl>
    <w:p w14:paraId="06F6D77D">
      <w:pPr>
        <w:pageBreakBefore w:val="0"/>
        <w:topLinePunct w:val="0"/>
        <w:bidi w:val="0"/>
        <w:spacing w:line="500" w:lineRule="exact"/>
        <w:ind w:left="0" w:leftChars="0" w:right="0" w:rightChars="0" w:firstLine="480" w:firstLineChars="200"/>
        <w:rPr>
          <w:color w:val="auto"/>
          <w:szCs w:val="21"/>
        </w:rPr>
      </w:pPr>
      <w:r>
        <w:rPr>
          <w:rFonts w:hint="eastAsia"/>
          <w:color w:val="auto"/>
          <w:sz w:val="24"/>
          <w:szCs w:val="24"/>
          <w:lang w:eastAsia="zh-CN"/>
        </w:rPr>
        <w:t>供应商</w:t>
      </w:r>
      <w:r>
        <w:rPr>
          <w:rFonts w:hint="eastAsia"/>
          <w:color w:val="auto"/>
          <w:sz w:val="24"/>
          <w:szCs w:val="24"/>
        </w:rPr>
        <w:t>名称：</w:t>
      </w:r>
      <w:r>
        <w:rPr>
          <w:rFonts w:hint="eastAsia"/>
          <w:color w:val="auto"/>
          <w:szCs w:val="21"/>
          <w:u w:val="single"/>
        </w:rPr>
        <w:t xml:space="preserve">                      </w:t>
      </w:r>
      <w:r>
        <w:rPr>
          <w:rFonts w:hint="eastAsia"/>
          <w:color w:val="auto"/>
          <w:sz w:val="24"/>
          <w:szCs w:val="24"/>
        </w:rPr>
        <w:t xml:space="preserve">（盖单位章） </w:t>
      </w:r>
    </w:p>
    <w:p w14:paraId="6E6B0D9C">
      <w:pPr>
        <w:pageBreakBefore w:val="0"/>
        <w:topLinePunct w:val="0"/>
        <w:bidi w:val="0"/>
        <w:spacing w:line="500" w:lineRule="exact"/>
        <w:ind w:left="0" w:leftChars="0" w:right="0" w:rightChars="0" w:firstLine="480" w:firstLineChars="200"/>
        <w:rPr>
          <w:color w:val="auto"/>
          <w:szCs w:val="21"/>
        </w:rPr>
      </w:pPr>
      <w:r>
        <w:rPr>
          <w:rFonts w:hint="eastAsia"/>
          <w:color w:val="auto"/>
          <w:sz w:val="24"/>
          <w:szCs w:val="24"/>
        </w:rPr>
        <w:t>法定代表人（单位负责人）</w:t>
      </w:r>
      <w:r>
        <w:rPr>
          <w:rFonts w:hint="eastAsia"/>
          <w:color w:val="auto"/>
          <w:sz w:val="24"/>
          <w:szCs w:val="24"/>
          <w:lang w:eastAsia="zh-CN"/>
        </w:rPr>
        <w:t>：</w:t>
      </w:r>
      <w:r>
        <w:rPr>
          <w:rFonts w:hint="eastAsia"/>
          <w:color w:val="auto"/>
          <w:szCs w:val="21"/>
        </w:rPr>
        <w:t xml:space="preserve"> </w:t>
      </w:r>
      <w:r>
        <w:rPr>
          <w:rFonts w:hint="eastAsia"/>
          <w:color w:val="auto"/>
          <w:szCs w:val="21"/>
          <w:u w:val="single"/>
        </w:rPr>
        <w:t xml:space="preserve">           </w:t>
      </w:r>
      <w:r>
        <w:rPr>
          <w:rFonts w:hint="eastAsia"/>
          <w:color w:val="auto"/>
          <w:szCs w:val="21"/>
        </w:rPr>
        <w:t xml:space="preserve"> </w:t>
      </w:r>
      <w:r>
        <w:rPr>
          <w:rFonts w:hint="eastAsia"/>
          <w:color w:val="auto"/>
          <w:sz w:val="24"/>
          <w:szCs w:val="24"/>
        </w:rPr>
        <w:t>（签字</w:t>
      </w:r>
      <w:r>
        <w:rPr>
          <w:rFonts w:hint="eastAsia"/>
          <w:color w:val="auto"/>
          <w:sz w:val="24"/>
          <w:szCs w:val="24"/>
          <w:lang w:val="en-US" w:eastAsia="zh-CN"/>
        </w:rPr>
        <w:t>或盖章</w:t>
      </w:r>
      <w:r>
        <w:rPr>
          <w:rFonts w:hint="eastAsia"/>
          <w:color w:val="auto"/>
          <w:sz w:val="24"/>
          <w:szCs w:val="24"/>
        </w:rPr>
        <w:t>）</w:t>
      </w:r>
    </w:p>
    <w:p w14:paraId="275D98ED">
      <w:pPr>
        <w:pageBreakBefore w:val="0"/>
        <w:topLinePunct w:val="0"/>
        <w:bidi w:val="0"/>
        <w:spacing w:line="500" w:lineRule="exact"/>
        <w:ind w:left="0" w:leftChars="0" w:right="0" w:rightChars="0" w:firstLine="480" w:firstLineChars="200"/>
        <w:rPr>
          <w:color w:val="auto"/>
          <w:szCs w:val="21"/>
        </w:rPr>
      </w:pPr>
      <w:r>
        <w:rPr>
          <w:rFonts w:hint="eastAsia"/>
          <w:color w:val="auto"/>
          <w:sz w:val="24"/>
          <w:szCs w:val="24"/>
        </w:rPr>
        <w:t>身 份 证 号：</w:t>
      </w:r>
      <w:r>
        <w:rPr>
          <w:rFonts w:hint="eastAsia"/>
          <w:color w:val="auto"/>
          <w:szCs w:val="21"/>
          <w:u w:val="single"/>
        </w:rPr>
        <w:t xml:space="preserve">                               </w:t>
      </w:r>
    </w:p>
    <w:p w14:paraId="43017241">
      <w:pPr>
        <w:pageBreakBefore w:val="0"/>
        <w:topLinePunct w:val="0"/>
        <w:bidi w:val="0"/>
        <w:spacing w:line="500" w:lineRule="exact"/>
        <w:ind w:left="0" w:leftChars="0" w:right="0" w:rightChars="0" w:firstLine="480" w:firstLineChars="200"/>
        <w:rPr>
          <w:color w:val="auto"/>
          <w:szCs w:val="21"/>
        </w:rPr>
      </w:pPr>
      <w:r>
        <w:rPr>
          <w:rFonts w:hint="eastAsia"/>
          <w:color w:val="auto"/>
          <w:sz w:val="24"/>
          <w:szCs w:val="24"/>
        </w:rPr>
        <w:t xml:space="preserve">委托代理人： </w:t>
      </w:r>
      <w:r>
        <w:rPr>
          <w:rFonts w:hint="eastAsia"/>
          <w:color w:val="auto"/>
          <w:szCs w:val="21"/>
          <w:u w:val="single"/>
        </w:rPr>
        <w:t xml:space="preserve">                         </w:t>
      </w:r>
      <w:r>
        <w:rPr>
          <w:rFonts w:hint="eastAsia"/>
          <w:color w:val="auto"/>
          <w:szCs w:val="21"/>
        </w:rPr>
        <w:t xml:space="preserve"> </w:t>
      </w:r>
      <w:r>
        <w:rPr>
          <w:rFonts w:hint="eastAsia"/>
          <w:color w:val="auto"/>
          <w:sz w:val="24"/>
          <w:szCs w:val="24"/>
        </w:rPr>
        <w:t xml:space="preserve">（签字） </w:t>
      </w:r>
      <w:r>
        <w:rPr>
          <w:rFonts w:hint="eastAsia"/>
          <w:color w:val="auto"/>
          <w:szCs w:val="21"/>
        </w:rPr>
        <w:t xml:space="preserve">    </w:t>
      </w:r>
    </w:p>
    <w:p w14:paraId="2D19516A">
      <w:pPr>
        <w:pageBreakBefore w:val="0"/>
        <w:topLinePunct w:val="0"/>
        <w:bidi w:val="0"/>
        <w:spacing w:line="500" w:lineRule="exact"/>
        <w:ind w:left="0" w:leftChars="0" w:right="0" w:rightChars="0" w:firstLine="480" w:firstLineChars="200"/>
        <w:rPr>
          <w:color w:val="auto"/>
          <w:szCs w:val="21"/>
          <w:u w:val="single"/>
        </w:rPr>
      </w:pPr>
      <w:r>
        <w:rPr>
          <w:rFonts w:hint="eastAsia"/>
          <w:color w:val="auto"/>
          <w:sz w:val="24"/>
          <w:szCs w:val="24"/>
        </w:rPr>
        <w:t>身 份 证 号：</w:t>
      </w:r>
      <w:r>
        <w:rPr>
          <w:rFonts w:hint="eastAsia"/>
          <w:color w:val="auto"/>
          <w:szCs w:val="21"/>
          <w:u w:val="single"/>
        </w:rPr>
        <w:t xml:space="preserve">                               </w:t>
      </w:r>
    </w:p>
    <w:p w14:paraId="645C68B7">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授权委托日期：</w:t>
      </w:r>
      <w:r>
        <w:rPr>
          <w:rFonts w:hint="eastAsia"/>
          <w:color w:val="auto"/>
          <w:sz w:val="24"/>
          <w:szCs w:val="24"/>
          <w:lang w:val="en-US" w:eastAsia="zh-CN"/>
        </w:rPr>
        <w:t xml:space="preserve">    </w:t>
      </w:r>
      <w:r>
        <w:rPr>
          <w:rFonts w:hint="eastAsia"/>
          <w:color w:val="auto"/>
          <w:sz w:val="24"/>
          <w:szCs w:val="24"/>
        </w:rPr>
        <w:t>年   月   日</w:t>
      </w:r>
    </w:p>
    <w:p w14:paraId="406F0400">
      <w:pPr>
        <w:pageBreakBefore w:val="0"/>
        <w:topLinePunct w:val="0"/>
        <w:bidi w:val="0"/>
        <w:spacing w:line="500" w:lineRule="exact"/>
        <w:ind w:right="0" w:rightChars="0"/>
        <w:rPr>
          <w:rFonts w:hint="eastAsia" w:ascii="Arial" w:hAnsi="Arial" w:eastAsia="宋体" w:cs="Arial"/>
          <w:b/>
          <w:bCs/>
          <w:color w:val="auto"/>
          <w:sz w:val="28"/>
          <w:szCs w:val="28"/>
          <w:lang w:val="en-US" w:eastAsia="zh-CN" w:bidi="ar"/>
        </w:rPr>
      </w:pPr>
      <w:r>
        <w:rPr>
          <w:rFonts w:hint="eastAsia"/>
          <w:color w:val="auto"/>
          <w:sz w:val="24"/>
          <w:szCs w:val="24"/>
        </w:rPr>
        <w:t>说明：本授权委托书有效期自开标之日起不得少于90天，仅限委托代理人参加投标时提供</w:t>
      </w:r>
      <w:r>
        <w:rPr>
          <w:rFonts w:hint="eastAsia"/>
          <w:color w:val="auto"/>
          <w:sz w:val="24"/>
          <w:szCs w:val="24"/>
          <w:lang w:val="en-US" w:eastAsia="zh-CN"/>
        </w:rPr>
        <w:t>。</w:t>
      </w:r>
    </w:p>
    <w:p w14:paraId="10CCF249">
      <w:pPr>
        <w:rPr>
          <w:rFonts w:hint="eastAsia"/>
          <w:color w:val="auto"/>
          <w:lang w:val="en-US" w:eastAsia="zh-CN"/>
        </w:rPr>
      </w:pPr>
      <w:r>
        <w:rPr>
          <w:rFonts w:hint="eastAsia"/>
          <w:color w:val="auto"/>
          <w:lang w:val="en-US" w:eastAsia="zh-CN"/>
        </w:rPr>
        <w:br w:type="page"/>
      </w:r>
    </w:p>
    <w:p w14:paraId="6893D05E">
      <w:pPr>
        <w:pStyle w:val="5"/>
        <w:pageBreakBefore w:val="0"/>
        <w:topLinePunct w:val="0"/>
        <w:bidi w:val="0"/>
        <w:spacing w:line="500" w:lineRule="exact"/>
        <w:ind w:left="0" w:leftChars="0" w:right="0" w:rightChars="0" w:firstLine="562" w:firstLineChars="200"/>
        <w:rPr>
          <w:color w:val="auto"/>
        </w:rPr>
      </w:pPr>
      <w:r>
        <w:rPr>
          <w:rFonts w:hint="eastAsia"/>
          <w:color w:val="auto"/>
          <w:lang w:val="en-US" w:eastAsia="zh-CN"/>
        </w:rPr>
        <w:t>4.3</w:t>
      </w:r>
      <w:r>
        <w:rPr>
          <w:color w:val="auto"/>
        </w:rPr>
        <w:t>具备履行合同所必需的设备和专业技术能力的证明</w:t>
      </w:r>
    </w:p>
    <w:p w14:paraId="1E793124">
      <w:pPr>
        <w:pageBreakBefore w:val="0"/>
        <w:topLinePunct w:val="0"/>
        <w:bidi w:val="0"/>
        <w:spacing w:line="500" w:lineRule="exact"/>
        <w:ind w:left="0" w:leftChars="0" w:right="0" w:rightChars="0" w:firstLine="440" w:firstLineChars="200"/>
        <w:outlineLvl w:val="9"/>
        <w:rPr>
          <w:color w:val="auto"/>
        </w:rPr>
      </w:pPr>
    </w:p>
    <w:p w14:paraId="0F61AA58">
      <w:pPr>
        <w:pStyle w:val="5"/>
        <w:pageBreakBefore w:val="0"/>
        <w:topLinePunct w:val="0"/>
        <w:bidi w:val="0"/>
        <w:spacing w:line="500" w:lineRule="exact"/>
        <w:ind w:left="0" w:leftChars="0" w:right="0" w:rightChars="0" w:firstLine="562" w:firstLineChars="200"/>
        <w:rPr>
          <w:color w:val="auto"/>
        </w:rPr>
      </w:pPr>
      <w:r>
        <w:rPr>
          <w:color w:val="auto"/>
        </w:rPr>
        <w:t>（一）完成本项目必须的设备清单</w:t>
      </w:r>
    </w:p>
    <w:p w14:paraId="64D1D037">
      <w:pPr>
        <w:pageBreakBefore w:val="0"/>
        <w:topLinePunct w:val="0"/>
        <w:bidi w:val="0"/>
        <w:spacing w:line="500" w:lineRule="exact"/>
        <w:ind w:left="0" w:leftChars="0" w:right="0" w:rightChars="0" w:firstLine="480" w:firstLineChars="200"/>
        <w:rPr>
          <w:rFonts w:hint="default" w:eastAsia="宋体"/>
          <w:color w:val="auto"/>
          <w:sz w:val="24"/>
          <w:szCs w:val="24"/>
          <w:lang w:val="en-US" w:eastAsia="zh-CN"/>
        </w:rPr>
      </w:pPr>
      <w:r>
        <w:rPr>
          <w:rFonts w:hint="eastAsia"/>
          <w:color w:val="auto"/>
          <w:sz w:val="24"/>
          <w:szCs w:val="24"/>
          <w:lang w:eastAsia="zh-CN"/>
        </w:rPr>
        <w:t>供应商</w:t>
      </w:r>
      <w:r>
        <w:rPr>
          <w:rFonts w:hint="eastAsia"/>
          <w:color w:val="auto"/>
          <w:sz w:val="24"/>
          <w:szCs w:val="24"/>
        </w:rPr>
        <w:t>名称：</w:t>
      </w:r>
      <w:r>
        <w:rPr>
          <w:rFonts w:hint="eastAsia"/>
          <w:color w:val="auto"/>
          <w:sz w:val="24"/>
          <w:szCs w:val="24"/>
          <w:lang w:val="en-US"/>
        </w:rPr>
        <w:t xml:space="preserve">                                     </w:t>
      </w:r>
      <w:r>
        <w:rPr>
          <w:rFonts w:hint="eastAsia"/>
          <w:color w:val="auto"/>
          <w:sz w:val="24"/>
          <w:szCs w:val="24"/>
          <w:lang w:val="en-US" w:eastAsia="zh-CN"/>
        </w:rPr>
        <w:t>合同包：一/二/三/四/五/六</w:t>
      </w:r>
    </w:p>
    <w:tbl>
      <w:tblPr>
        <w:tblStyle w:val="23"/>
        <w:tblW w:w="9351" w:type="dxa"/>
        <w:tblInd w:w="-2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76"/>
        <w:gridCol w:w="2596"/>
        <w:gridCol w:w="1459"/>
        <w:gridCol w:w="972"/>
        <w:gridCol w:w="2193"/>
        <w:gridCol w:w="1355"/>
      </w:tblGrid>
      <w:tr w14:paraId="1116EB1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2" w:hRule="atLeast"/>
        </w:trPr>
        <w:tc>
          <w:tcPr>
            <w:tcW w:w="776" w:type="dxa"/>
            <w:tcBorders>
              <w:bottom w:val="single" w:color="000000" w:sz="4" w:space="0"/>
              <w:right w:val="single" w:color="000000" w:sz="4" w:space="0"/>
            </w:tcBorders>
          </w:tcPr>
          <w:p w14:paraId="64E5E97F">
            <w:pPr>
              <w:pageBreakBefore w:val="0"/>
              <w:topLinePunct w:val="0"/>
              <w:bidi w:val="0"/>
              <w:spacing w:line="500" w:lineRule="exact"/>
              <w:ind w:right="0" w:rightChars="0"/>
              <w:jc w:val="center"/>
              <w:rPr>
                <w:color w:val="auto"/>
                <w:sz w:val="24"/>
                <w:szCs w:val="24"/>
              </w:rPr>
            </w:pPr>
            <w:r>
              <w:rPr>
                <w:rFonts w:hint="eastAsia"/>
                <w:color w:val="auto"/>
                <w:sz w:val="24"/>
                <w:szCs w:val="24"/>
              </w:rPr>
              <w:t>序号</w:t>
            </w:r>
          </w:p>
        </w:tc>
        <w:tc>
          <w:tcPr>
            <w:tcW w:w="2596" w:type="dxa"/>
            <w:tcBorders>
              <w:left w:val="single" w:color="000000" w:sz="4" w:space="0"/>
              <w:bottom w:val="single" w:color="000000" w:sz="4" w:space="0"/>
              <w:right w:val="single" w:color="000000" w:sz="4" w:space="0"/>
            </w:tcBorders>
          </w:tcPr>
          <w:p w14:paraId="226347EF">
            <w:pPr>
              <w:pageBreakBefore w:val="0"/>
              <w:topLinePunct w:val="0"/>
              <w:bidi w:val="0"/>
              <w:spacing w:line="500" w:lineRule="exact"/>
              <w:ind w:right="0" w:rightChars="0"/>
              <w:jc w:val="center"/>
              <w:rPr>
                <w:color w:val="auto"/>
                <w:sz w:val="24"/>
                <w:szCs w:val="24"/>
              </w:rPr>
            </w:pPr>
            <w:r>
              <w:rPr>
                <w:rFonts w:hint="eastAsia"/>
                <w:color w:val="auto"/>
                <w:sz w:val="24"/>
                <w:szCs w:val="24"/>
              </w:rPr>
              <w:t>设备名称</w:t>
            </w:r>
          </w:p>
        </w:tc>
        <w:tc>
          <w:tcPr>
            <w:tcW w:w="1459" w:type="dxa"/>
            <w:tcBorders>
              <w:left w:val="single" w:color="000000" w:sz="4" w:space="0"/>
              <w:bottom w:val="single" w:color="000000" w:sz="4" w:space="0"/>
              <w:right w:val="single" w:color="000000" w:sz="4" w:space="0"/>
            </w:tcBorders>
          </w:tcPr>
          <w:p w14:paraId="2B94946C">
            <w:pPr>
              <w:pageBreakBefore w:val="0"/>
              <w:topLinePunct w:val="0"/>
              <w:bidi w:val="0"/>
              <w:spacing w:line="500" w:lineRule="exact"/>
              <w:ind w:right="0" w:rightChars="0"/>
              <w:jc w:val="center"/>
              <w:rPr>
                <w:color w:val="auto"/>
                <w:sz w:val="24"/>
                <w:szCs w:val="24"/>
              </w:rPr>
            </w:pPr>
            <w:r>
              <w:rPr>
                <w:rFonts w:hint="eastAsia"/>
                <w:color w:val="auto"/>
                <w:sz w:val="24"/>
                <w:szCs w:val="24"/>
              </w:rPr>
              <w:t>计量单位</w:t>
            </w:r>
          </w:p>
        </w:tc>
        <w:tc>
          <w:tcPr>
            <w:tcW w:w="972" w:type="dxa"/>
            <w:tcBorders>
              <w:left w:val="single" w:color="000000" w:sz="4" w:space="0"/>
              <w:bottom w:val="single" w:color="000000" w:sz="4" w:space="0"/>
              <w:right w:val="single" w:color="000000" w:sz="4" w:space="0"/>
            </w:tcBorders>
          </w:tcPr>
          <w:p w14:paraId="73263FA1">
            <w:pPr>
              <w:pageBreakBefore w:val="0"/>
              <w:topLinePunct w:val="0"/>
              <w:bidi w:val="0"/>
              <w:spacing w:line="500" w:lineRule="exact"/>
              <w:ind w:right="0" w:rightChars="0"/>
              <w:jc w:val="center"/>
              <w:rPr>
                <w:color w:val="auto"/>
                <w:sz w:val="24"/>
                <w:szCs w:val="24"/>
              </w:rPr>
            </w:pPr>
            <w:r>
              <w:rPr>
                <w:rFonts w:hint="eastAsia"/>
                <w:color w:val="auto"/>
                <w:sz w:val="24"/>
                <w:szCs w:val="24"/>
              </w:rPr>
              <w:t>数量</w:t>
            </w:r>
          </w:p>
        </w:tc>
        <w:tc>
          <w:tcPr>
            <w:tcW w:w="2193" w:type="dxa"/>
            <w:tcBorders>
              <w:left w:val="single" w:color="000000" w:sz="4" w:space="0"/>
              <w:bottom w:val="single" w:color="000000" w:sz="4" w:space="0"/>
              <w:right w:val="single" w:color="000000" w:sz="4" w:space="0"/>
            </w:tcBorders>
          </w:tcPr>
          <w:p w14:paraId="5B8DEC56">
            <w:pPr>
              <w:pageBreakBefore w:val="0"/>
              <w:topLinePunct w:val="0"/>
              <w:bidi w:val="0"/>
              <w:spacing w:line="500" w:lineRule="exact"/>
              <w:ind w:right="0" w:rightChars="0"/>
              <w:jc w:val="center"/>
              <w:rPr>
                <w:color w:val="auto"/>
                <w:sz w:val="24"/>
                <w:szCs w:val="24"/>
              </w:rPr>
            </w:pPr>
            <w:r>
              <w:rPr>
                <w:rFonts w:hint="eastAsia"/>
                <w:color w:val="auto"/>
                <w:sz w:val="24"/>
                <w:szCs w:val="24"/>
              </w:rPr>
              <w:t>生产企业</w:t>
            </w:r>
          </w:p>
        </w:tc>
        <w:tc>
          <w:tcPr>
            <w:tcW w:w="1355" w:type="dxa"/>
            <w:tcBorders>
              <w:left w:val="single" w:color="000000" w:sz="4" w:space="0"/>
              <w:bottom w:val="single" w:color="000000" w:sz="4" w:space="0"/>
            </w:tcBorders>
          </w:tcPr>
          <w:p w14:paraId="603288AD">
            <w:pPr>
              <w:pageBreakBefore w:val="0"/>
              <w:topLinePunct w:val="0"/>
              <w:bidi w:val="0"/>
              <w:spacing w:line="500" w:lineRule="exact"/>
              <w:ind w:right="0" w:rightChars="0"/>
              <w:jc w:val="center"/>
              <w:rPr>
                <w:color w:val="auto"/>
                <w:sz w:val="24"/>
                <w:szCs w:val="24"/>
              </w:rPr>
            </w:pPr>
            <w:r>
              <w:rPr>
                <w:rFonts w:hint="eastAsia"/>
                <w:color w:val="auto"/>
                <w:sz w:val="24"/>
                <w:szCs w:val="24"/>
              </w:rPr>
              <w:t>使用年限</w:t>
            </w:r>
          </w:p>
        </w:tc>
      </w:tr>
      <w:tr w14:paraId="357E37F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776" w:type="dxa"/>
            <w:tcBorders>
              <w:top w:val="single" w:color="000000" w:sz="4" w:space="0"/>
              <w:bottom w:val="single" w:color="000000" w:sz="4" w:space="0"/>
              <w:right w:val="single" w:color="000000" w:sz="4" w:space="0"/>
            </w:tcBorders>
          </w:tcPr>
          <w:p w14:paraId="6F4E78E1">
            <w:pPr>
              <w:pageBreakBefore w:val="0"/>
              <w:topLinePunct w:val="0"/>
              <w:bidi w:val="0"/>
              <w:spacing w:line="500" w:lineRule="exact"/>
              <w:ind w:left="0" w:leftChars="0" w:right="0" w:rightChars="0" w:firstLine="480" w:firstLineChars="200"/>
              <w:jc w:val="center"/>
              <w:rPr>
                <w:color w:val="auto"/>
                <w:sz w:val="24"/>
                <w:szCs w:val="24"/>
              </w:rPr>
            </w:pPr>
          </w:p>
        </w:tc>
        <w:tc>
          <w:tcPr>
            <w:tcW w:w="2596" w:type="dxa"/>
            <w:tcBorders>
              <w:top w:val="single" w:color="000000" w:sz="4" w:space="0"/>
              <w:left w:val="single" w:color="000000" w:sz="4" w:space="0"/>
              <w:bottom w:val="single" w:color="000000" w:sz="4" w:space="0"/>
              <w:right w:val="single" w:color="000000" w:sz="4" w:space="0"/>
            </w:tcBorders>
          </w:tcPr>
          <w:p w14:paraId="614E17AB">
            <w:pPr>
              <w:pageBreakBefore w:val="0"/>
              <w:topLinePunct w:val="0"/>
              <w:bidi w:val="0"/>
              <w:spacing w:line="500" w:lineRule="exact"/>
              <w:ind w:left="0" w:leftChars="0" w:right="0" w:rightChars="0" w:firstLine="480" w:firstLineChars="200"/>
              <w:jc w:val="center"/>
              <w:rPr>
                <w:color w:val="auto"/>
                <w:sz w:val="24"/>
                <w:szCs w:val="24"/>
              </w:rPr>
            </w:pPr>
          </w:p>
        </w:tc>
        <w:tc>
          <w:tcPr>
            <w:tcW w:w="1459" w:type="dxa"/>
            <w:tcBorders>
              <w:top w:val="single" w:color="000000" w:sz="4" w:space="0"/>
              <w:left w:val="single" w:color="000000" w:sz="4" w:space="0"/>
              <w:bottom w:val="single" w:color="000000" w:sz="4" w:space="0"/>
              <w:right w:val="single" w:color="000000" w:sz="4" w:space="0"/>
            </w:tcBorders>
          </w:tcPr>
          <w:p w14:paraId="0592FF45">
            <w:pPr>
              <w:pageBreakBefore w:val="0"/>
              <w:topLinePunct w:val="0"/>
              <w:bidi w:val="0"/>
              <w:spacing w:line="500" w:lineRule="exact"/>
              <w:ind w:left="0" w:leftChars="0" w:right="0" w:rightChars="0" w:firstLine="480" w:firstLineChars="200"/>
              <w:jc w:val="center"/>
              <w:rPr>
                <w:color w:val="auto"/>
                <w:sz w:val="24"/>
                <w:szCs w:val="24"/>
              </w:rPr>
            </w:pPr>
          </w:p>
        </w:tc>
        <w:tc>
          <w:tcPr>
            <w:tcW w:w="972" w:type="dxa"/>
            <w:tcBorders>
              <w:top w:val="single" w:color="000000" w:sz="4" w:space="0"/>
              <w:left w:val="single" w:color="000000" w:sz="4" w:space="0"/>
              <w:bottom w:val="single" w:color="000000" w:sz="4" w:space="0"/>
              <w:right w:val="single" w:color="000000" w:sz="4" w:space="0"/>
            </w:tcBorders>
          </w:tcPr>
          <w:p w14:paraId="4FB8231C">
            <w:pPr>
              <w:pageBreakBefore w:val="0"/>
              <w:topLinePunct w:val="0"/>
              <w:bidi w:val="0"/>
              <w:spacing w:line="500" w:lineRule="exact"/>
              <w:ind w:left="0" w:leftChars="0" w:right="0" w:rightChars="0" w:firstLine="480" w:firstLineChars="200"/>
              <w:jc w:val="center"/>
              <w:rPr>
                <w:color w:val="auto"/>
                <w:sz w:val="24"/>
                <w:szCs w:val="24"/>
              </w:rPr>
            </w:pPr>
          </w:p>
        </w:tc>
        <w:tc>
          <w:tcPr>
            <w:tcW w:w="2193" w:type="dxa"/>
            <w:tcBorders>
              <w:top w:val="single" w:color="000000" w:sz="4" w:space="0"/>
              <w:left w:val="single" w:color="000000" w:sz="4" w:space="0"/>
              <w:bottom w:val="single" w:color="000000" w:sz="4" w:space="0"/>
              <w:right w:val="single" w:color="000000" w:sz="4" w:space="0"/>
            </w:tcBorders>
          </w:tcPr>
          <w:p w14:paraId="7C8B0EE1">
            <w:pPr>
              <w:pageBreakBefore w:val="0"/>
              <w:topLinePunct w:val="0"/>
              <w:bidi w:val="0"/>
              <w:spacing w:line="500" w:lineRule="exact"/>
              <w:ind w:left="0" w:leftChars="0" w:right="0" w:rightChars="0" w:firstLine="480" w:firstLineChars="200"/>
              <w:jc w:val="center"/>
              <w:rPr>
                <w:color w:val="auto"/>
                <w:sz w:val="24"/>
                <w:szCs w:val="24"/>
              </w:rPr>
            </w:pPr>
          </w:p>
        </w:tc>
        <w:tc>
          <w:tcPr>
            <w:tcW w:w="1355" w:type="dxa"/>
            <w:tcBorders>
              <w:top w:val="single" w:color="000000" w:sz="4" w:space="0"/>
              <w:left w:val="single" w:color="000000" w:sz="4" w:space="0"/>
              <w:bottom w:val="single" w:color="000000" w:sz="4" w:space="0"/>
            </w:tcBorders>
          </w:tcPr>
          <w:p w14:paraId="1B285095">
            <w:pPr>
              <w:pageBreakBefore w:val="0"/>
              <w:topLinePunct w:val="0"/>
              <w:bidi w:val="0"/>
              <w:spacing w:line="500" w:lineRule="exact"/>
              <w:ind w:left="0" w:leftChars="0" w:right="0" w:rightChars="0" w:firstLine="480" w:firstLineChars="200"/>
              <w:jc w:val="center"/>
              <w:rPr>
                <w:color w:val="auto"/>
                <w:sz w:val="24"/>
                <w:szCs w:val="24"/>
              </w:rPr>
            </w:pPr>
          </w:p>
        </w:tc>
      </w:tr>
      <w:tr w14:paraId="6CED82C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trPr>
        <w:tc>
          <w:tcPr>
            <w:tcW w:w="776" w:type="dxa"/>
            <w:tcBorders>
              <w:top w:val="single" w:color="000000" w:sz="4" w:space="0"/>
              <w:bottom w:val="single" w:color="000000" w:sz="4" w:space="0"/>
              <w:right w:val="single" w:color="000000" w:sz="4" w:space="0"/>
            </w:tcBorders>
          </w:tcPr>
          <w:p w14:paraId="6F7A8E8A">
            <w:pPr>
              <w:pageBreakBefore w:val="0"/>
              <w:topLinePunct w:val="0"/>
              <w:bidi w:val="0"/>
              <w:spacing w:line="500" w:lineRule="exact"/>
              <w:ind w:left="0" w:leftChars="0" w:right="0" w:rightChars="0" w:firstLine="480" w:firstLineChars="200"/>
              <w:jc w:val="center"/>
              <w:rPr>
                <w:color w:val="auto"/>
                <w:sz w:val="24"/>
                <w:szCs w:val="24"/>
              </w:rPr>
            </w:pPr>
          </w:p>
        </w:tc>
        <w:tc>
          <w:tcPr>
            <w:tcW w:w="2596" w:type="dxa"/>
            <w:tcBorders>
              <w:top w:val="single" w:color="000000" w:sz="4" w:space="0"/>
              <w:left w:val="single" w:color="000000" w:sz="4" w:space="0"/>
              <w:bottom w:val="single" w:color="000000" w:sz="4" w:space="0"/>
              <w:right w:val="single" w:color="000000" w:sz="4" w:space="0"/>
            </w:tcBorders>
          </w:tcPr>
          <w:p w14:paraId="174CEAEE">
            <w:pPr>
              <w:pageBreakBefore w:val="0"/>
              <w:topLinePunct w:val="0"/>
              <w:bidi w:val="0"/>
              <w:spacing w:line="500" w:lineRule="exact"/>
              <w:ind w:left="0" w:leftChars="0" w:right="0" w:rightChars="0" w:firstLine="480" w:firstLineChars="200"/>
              <w:jc w:val="center"/>
              <w:rPr>
                <w:color w:val="auto"/>
                <w:sz w:val="24"/>
                <w:szCs w:val="24"/>
              </w:rPr>
            </w:pPr>
          </w:p>
        </w:tc>
        <w:tc>
          <w:tcPr>
            <w:tcW w:w="1459" w:type="dxa"/>
            <w:tcBorders>
              <w:top w:val="single" w:color="000000" w:sz="4" w:space="0"/>
              <w:left w:val="single" w:color="000000" w:sz="4" w:space="0"/>
              <w:bottom w:val="single" w:color="000000" w:sz="4" w:space="0"/>
              <w:right w:val="single" w:color="000000" w:sz="4" w:space="0"/>
            </w:tcBorders>
          </w:tcPr>
          <w:p w14:paraId="4E8D87CB">
            <w:pPr>
              <w:pageBreakBefore w:val="0"/>
              <w:topLinePunct w:val="0"/>
              <w:bidi w:val="0"/>
              <w:spacing w:line="500" w:lineRule="exact"/>
              <w:ind w:left="0" w:leftChars="0" w:right="0" w:rightChars="0" w:firstLine="480" w:firstLineChars="200"/>
              <w:jc w:val="center"/>
              <w:rPr>
                <w:color w:val="auto"/>
                <w:sz w:val="24"/>
                <w:szCs w:val="24"/>
              </w:rPr>
            </w:pPr>
          </w:p>
        </w:tc>
        <w:tc>
          <w:tcPr>
            <w:tcW w:w="972" w:type="dxa"/>
            <w:tcBorders>
              <w:top w:val="single" w:color="000000" w:sz="4" w:space="0"/>
              <w:left w:val="single" w:color="000000" w:sz="4" w:space="0"/>
              <w:bottom w:val="single" w:color="000000" w:sz="4" w:space="0"/>
              <w:right w:val="single" w:color="000000" w:sz="4" w:space="0"/>
            </w:tcBorders>
          </w:tcPr>
          <w:p w14:paraId="4D766013">
            <w:pPr>
              <w:pageBreakBefore w:val="0"/>
              <w:topLinePunct w:val="0"/>
              <w:bidi w:val="0"/>
              <w:spacing w:line="500" w:lineRule="exact"/>
              <w:ind w:left="0" w:leftChars="0" w:right="0" w:rightChars="0" w:firstLine="480" w:firstLineChars="200"/>
              <w:jc w:val="center"/>
              <w:rPr>
                <w:color w:val="auto"/>
                <w:sz w:val="24"/>
                <w:szCs w:val="24"/>
              </w:rPr>
            </w:pPr>
          </w:p>
        </w:tc>
        <w:tc>
          <w:tcPr>
            <w:tcW w:w="2193" w:type="dxa"/>
            <w:tcBorders>
              <w:top w:val="single" w:color="000000" w:sz="4" w:space="0"/>
              <w:left w:val="single" w:color="000000" w:sz="4" w:space="0"/>
              <w:bottom w:val="single" w:color="000000" w:sz="4" w:space="0"/>
              <w:right w:val="single" w:color="000000" w:sz="4" w:space="0"/>
            </w:tcBorders>
          </w:tcPr>
          <w:p w14:paraId="2285F5F2">
            <w:pPr>
              <w:pageBreakBefore w:val="0"/>
              <w:topLinePunct w:val="0"/>
              <w:bidi w:val="0"/>
              <w:spacing w:line="500" w:lineRule="exact"/>
              <w:ind w:left="0" w:leftChars="0" w:right="0" w:rightChars="0" w:firstLine="480" w:firstLineChars="200"/>
              <w:jc w:val="center"/>
              <w:rPr>
                <w:color w:val="auto"/>
                <w:sz w:val="24"/>
                <w:szCs w:val="24"/>
              </w:rPr>
            </w:pPr>
          </w:p>
        </w:tc>
        <w:tc>
          <w:tcPr>
            <w:tcW w:w="1355" w:type="dxa"/>
            <w:tcBorders>
              <w:top w:val="single" w:color="000000" w:sz="4" w:space="0"/>
              <w:left w:val="single" w:color="000000" w:sz="4" w:space="0"/>
              <w:bottom w:val="single" w:color="000000" w:sz="4" w:space="0"/>
            </w:tcBorders>
          </w:tcPr>
          <w:p w14:paraId="335DC105">
            <w:pPr>
              <w:pageBreakBefore w:val="0"/>
              <w:topLinePunct w:val="0"/>
              <w:bidi w:val="0"/>
              <w:spacing w:line="500" w:lineRule="exact"/>
              <w:ind w:left="0" w:leftChars="0" w:right="0" w:rightChars="0" w:firstLine="480" w:firstLineChars="200"/>
              <w:jc w:val="center"/>
              <w:rPr>
                <w:color w:val="auto"/>
                <w:sz w:val="24"/>
                <w:szCs w:val="24"/>
              </w:rPr>
            </w:pPr>
          </w:p>
        </w:tc>
      </w:tr>
      <w:tr w14:paraId="3C2E77A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trPr>
        <w:tc>
          <w:tcPr>
            <w:tcW w:w="776" w:type="dxa"/>
            <w:tcBorders>
              <w:top w:val="single" w:color="000000" w:sz="4" w:space="0"/>
              <w:bottom w:val="single" w:color="000000" w:sz="4" w:space="0"/>
              <w:right w:val="single" w:color="000000" w:sz="4" w:space="0"/>
            </w:tcBorders>
          </w:tcPr>
          <w:p w14:paraId="0A9DF86D">
            <w:pPr>
              <w:pageBreakBefore w:val="0"/>
              <w:topLinePunct w:val="0"/>
              <w:bidi w:val="0"/>
              <w:spacing w:line="500" w:lineRule="exact"/>
              <w:ind w:left="0" w:leftChars="0" w:right="0" w:rightChars="0" w:firstLine="480" w:firstLineChars="200"/>
              <w:jc w:val="center"/>
              <w:rPr>
                <w:color w:val="auto"/>
                <w:sz w:val="24"/>
                <w:szCs w:val="24"/>
              </w:rPr>
            </w:pPr>
          </w:p>
        </w:tc>
        <w:tc>
          <w:tcPr>
            <w:tcW w:w="2596" w:type="dxa"/>
            <w:tcBorders>
              <w:top w:val="single" w:color="000000" w:sz="4" w:space="0"/>
              <w:left w:val="single" w:color="000000" w:sz="4" w:space="0"/>
              <w:bottom w:val="single" w:color="000000" w:sz="4" w:space="0"/>
              <w:right w:val="single" w:color="000000" w:sz="4" w:space="0"/>
            </w:tcBorders>
          </w:tcPr>
          <w:p w14:paraId="53D9F4FE">
            <w:pPr>
              <w:pageBreakBefore w:val="0"/>
              <w:topLinePunct w:val="0"/>
              <w:bidi w:val="0"/>
              <w:spacing w:line="500" w:lineRule="exact"/>
              <w:ind w:left="0" w:leftChars="0" w:right="0" w:rightChars="0" w:firstLine="480" w:firstLineChars="200"/>
              <w:jc w:val="center"/>
              <w:rPr>
                <w:color w:val="auto"/>
                <w:sz w:val="24"/>
                <w:szCs w:val="24"/>
              </w:rPr>
            </w:pPr>
          </w:p>
        </w:tc>
        <w:tc>
          <w:tcPr>
            <w:tcW w:w="1459" w:type="dxa"/>
            <w:tcBorders>
              <w:top w:val="single" w:color="000000" w:sz="4" w:space="0"/>
              <w:left w:val="single" w:color="000000" w:sz="4" w:space="0"/>
              <w:bottom w:val="single" w:color="000000" w:sz="4" w:space="0"/>
              <w:right w:val="single" w:color="000000" w:sz="4" w:space="0"/>
            </w:tcBorders>
          </w:tcPr>
          <w:p w14:paraId="766E3A61">
            <w:pPr>
              <w:pageBreakBefore w:val="0"/>
              <w:topLinePunct w:val="0"/>
              <w:bidi w:val="0"/>
              <w:spacing w:line="500" w:lineRule="exact"/>
              <w:ind w:left="0" w:leftChars="0" w:right="0" w:rightChars="0" w:firstLine="480" w:firstLineChars="200"/>
              <w:jc w:val="center"/>
              <w:rPr>
                <w:color w:val="auto"/>
                <w:sz w:val="24"/>
                <w:szCs w:val="24"/>
              </w:rPr>
            </w:pPr>
          </w:p>
        </w:tc>
        <w:tc>
          <w:tcPr>
            <w:tcW w:w="972" w:type="dxa"/>
            <w:tcBorders>
              <w:top w:val="single" w:color="000000" w:sz="4" w:space="0"/>
              <w:left w:val="single" w:color="000000" w:sz="4" w:space="0"/>
              <w:bottom w:val="single" w:color="000000" w:sz="4" w:space="0"/>
              <w:right w:val="single" w:color="000000" w:sz="4" w:space="0"/>
            </w:tcBorders>
          </w:tcPr>
          <w:p w14:paraId="271202C2">
            <w:pPr>
              <w:pageBreakBefore w:val="0"/>
              <w:topLinePunct w:val="0"/>
              <w:bidi w:val="0"/>
              <w:spacing w:line="500" w:lineRule="exact"/>
              <w:ind w:left="0" w:leftChars="0" w:right="0" w:rightChars="0" w:firstLine="480" w:firstLineChars="200"/>
              <w:jc w:val="center"/>
              <w:rPr>
                <w:color w:val="auto"/>
                <w:sz w:val="24"/>
                <w:szCs w:val="24"/>
              </w:rPr>
            </w:pPr>
          </w:p>
        </w:tc>
        <w:tc>
          <w:tcPr>
            <w:tcW w:w="2193" w:type="dxa"/>
            <w:tcBorders>
              <w:top w:val="single" w:color="000000" w:sz="4" w:space="0"/>
              <w:left w:val="single" w:color="000000" w:sz="4" w:space="0"/>
              <w:bottom w:val="single" w:color="000000" w:sz="4" w:space="0"/>
              <w:right w:val="single" w:color="000000" w:sz="4" w:space="0"/>
            </w:tcBorders>
          </w:tcPr>
          <w:p w14:paraId="65C0A290">
            <w:pPr>
              <w:pageBreakBefore w:val="0"/>
              <w:topLinePunct w:val="0"/>
              <w:bidi w:val="0"/>
              <w:spacing w:line="500" w:lineRule="exact"/>
              <w:ind w:left="0" w:leftChars="0" w:right="0" w:rightChars="0" w:firstLine="480" w:firstLineChars="200"/>
              <w:jc w:val="center"/>
              <w:rPr>
                <w:color w:val="auto"/>
                <w:sz w:val="24"/>
                <w:szCs w:val="24"/>
              </w:rPr>
            </w:pPr>
          </w:p>
        </w:tc>
        <w:tc>
          <w:tcPr>
            <w:tcW w:w="1355" w:type="dxa"/>
            <w:tcBorders>
              <w:top w:val="single" w:color="000000" w:sz="4" w:space="0"/>
              <w:left w:val="single" w:color="000000" w:sz="4" w:space="0"/>
              <w:bottom w:val="single" w:color="000000" w:sz="4" w:space="0"/>
            </w:tcBorders>
          </w:tcPr>
          <w:p w14:paraId="76B44F50">
            <w:pPr>
              <w:pageBreakBefore w:val="0"/>
              <w:topLinePunct w:val="0"/>
              <w:bidi w:val="0"/>
              <w:spacing w:line="500" w:lineRule="exact"/>
              <w:ind w:left="0" w:leftChars="0" w:right="0" w:rightChars="0" w:firstLine="480" w:firstLineChars="200"/>
              <w:jc w:val="center"/>
              <w:rPr>
                <w:color w:val="auto"/>
                <w:sz w:val="24"/>
                <w:szCs w:val="24"/>
              </w:rPr>
            </w:pPr>
          </w:p>
        </w:tc>
      </w:tr>
      <w:tr w14:paraId="12A50CB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776" w:type="dxa"/>
            <w:tcBorders>
              <w:top w:val="single" w:color="000000" w:sz="4" w:space="0"/>
              <w:bottom w:val="single" w:color="000000" w:sz="4" w:space="0"/>
              <w:right w:val="single" w:color="000000" w:sz="4" w:space="0"/>
            </w:tcBorders>
          </w:tcPr>
          <w:p w14:paraId="5F14D80A">
            <w:pPr>
              <w:pageBreakBefore w:val="0"/>
              <w:topLinePunct w:val="0"/>
              <w:bidi w:val="0"/>
              <w:spacing w:line="500" w:lineRule="exact"/>
              <w:ind w:left="0" w:leftChars="0" w:right="0" w:rightChars="0" w:firstLine="480" w:firstLineChars="200"/>
              <w:jc w:val="center"/>
              <w:rPr>
                <w:color w:val="auto"/>
                <w:sz w:val="24"/>
                <w:szCs w:val="24"/>
              </w:rPr>
            </w:pPr>
          </w:p>
        </w:tc>
        <w:tc>
          <w:tcPr>
            <w:tcW w:w="2596" w:type="dxa"/>
            <w:tcBorders>
              <w:top w:val="single" w:color="000000" w:sz="4" w:space="0"/>
              <w:left w:val="single" w:color="000000" w:sz="4" w:space="0"/>
              <w:bottom w:val="single" w:color="000000" w:sz="4" w:space="0"/>
              <w:right w:val="single" w:color="000000" w:sz="4" w:space="0"/>
            </w:tcBorders>
          </w:tcPr>
          <w:p w14:paraId="60F0F0C1">
            <w:pPr>
              <w:pageBreakBefore w:val="0"/>
              <w:topLinePunct w:val="0"/>
              <w:bidi w:val="0"/>
              <w:spacing w:line="500" w:lineRule="exact"/>
              <w:ind w:left="0" w:leftChars="0" w:right="0" w:rightChars="0" w:firstLine="480" w:firstLineChars="200"/>
              <w:jc w:val="center"/>
              <w:rPr>
                <w:color w:val="auto"/>
                <w:sz w:val="24"/>
                <w:szCs w:val="24"/>
              </w:rPr>
            </w:pPr>
          </w:p>
        </w:tc>
        <w:tc>
          <w:tcPr>
            <w:tcW w:w="1459" w:type="dxa"/>
            <w:tcBorders>
              <w:top w:val="single" w:color="000000" w:sz="4" w:space="0"/>
              <w:left w:val="single" w:color="000000" w:sz="4" w:space="0"/>
              <w:bottom w:val="single" w:color="000000" w:sz="4" w:space="0"/>
              <w:right w:val="single" w:color="000000" w:sz="4" w:space="0"/>
            </w:tcBorders>
          </w:tcPr>
          <w:p w14:paraId="4A390FE1">
            <w:pPr>
              <w:pageBreakBefore w:val="0"/>
              <w:topLinePunct w:val="0"/>
              <w:bidi w:val="0"/>
              <w:spacing w:line="500" w:lineRule="exact"/>
              <w:ind w:left="0" w:leftChars="0" w:right="0" w:rightChars="0" w:firstLine="480" w:firstLineChars="200"/>
              <w:jc w:val="center"/>
              <w:rPr>
                <w:color w:val="auto"/>
                <w:sz w:val="24"/>
                <w:szCs w:val="24"/>
              </w:rPr>
            </w:pPr>
          </w:p>
        </w:tc>
        <w:tc>
          <w:tcPr>
            <w:tcW w:w="972" w:type="dxa"/>
            <w:tcBorders>
              <w:top w:val="single" w:color="000000" w:sz="4" w:space="0"/>
              <w:left w:val="single" w:color="000000" w:sz="4" w:space="0"/>
              <w:bottom w:val="single" w:color="000000" w:sz="4" w:space="0"/>
              <w:right w:val="single" w:color="000000" w:sz="4" w:space="0"/>
            </w:tcBorders>
          </w:tcPr>
          <w:p w14:paraId="7587F0D0">
            <w:pPr>
              <w:pageBreakBefore w:val="0"/>
              <w:topLinePunct w:val="0"/>
              <w:bidi w:val="0"/>
              <w:spacing w:line="500" w:lineRule="exact"/>
              <w:ind w:left="0" w:leftChars="0" w:right="0" w:rightChars="0" w:firstLine="480" w:firstLineChars="200"/>
              <w:jc w:val="center"/>
              <w:rPr>
                <w:color w:val="auto"/>
                <w:sz w:val="24"/>
                <w:szCs w:val="24"/>
              </w:rPr>
            </w:pPr>
          </w:p>
        </w:tc>
        <w:tc>
          <w:tcPr>
            <w:tcW w:w="2193" w:type="dxa"/>
            <w:tcBorders>
              <w:top w:val="single" w:color="000000" w:sz="4" w:space="0"/>
              <w:left w:val="single" w:color="000000" w:sz="4" w:space="0"/>
              <w:bottom w:val="single" w:color="000000" w:sz="4" w:space="0"/>
              <w:right w:val="single" w:color="000000" w:sz="4" w:space="0"/>
            </w:tcBorders>
          </w:tcPr>
          <w:p w14:paraId="683E0998">
            <w:pPr>
              <w:pageBreakBefore w:val="0"/>
              <w:topLinePunct w:val="0"/>
              <w:bidi w:val="0"/>
              <w:spacing w:line="500" w:lineRule="exact"/>
              <w:ind w:left="0" w:leftChars="0" w:right="0" w:rightChars="0" w:firstLine="480" w:firstLineChars="200"/>
              <w:jc w:val="center"/>
              <w:rPr>
                <w:color w:val="auto"/>
                <w:sz w:val="24"/>
                <w:szCs w:val="24"/>
              </w:rPr>
            </w:pPr>
          </w:p>
        </w:tc>
        <w:tc>
          <w:tcPr>
            <w:tcW w:w="1355" w:type="dxa"/>
            <w:tcBorders>
              <w:top w:val="single" w:color="000000" w:sz="4" w:space="0"/>
              <w:left w:val="single" w:color="000000" w:sz="4" w:space="0"/>
              <w:bottom w:val="single" w:color="000000" w:sz="4" w:space="0"/>
            </w:tcBorders>
          </w:tcPr>
          <w:p w14:paraId="59709E21">
            <w:pPr>
              <w:pageBreakBefore w:val="0"/>
              <w:topLinePunct w:val="0"/>
              <w:bidi w:val="0"/>
              <w:spacing w:line="500" w:lineRule="exact"/>
              <w:ind w:left="0" w:leftChars="0" w:right="0" w:rightChars="0" w:firstLine="480" w:firstLineChars="200"/>
              <w:jc w:val="center"/>
              <w:rPr>
                <w:color w:val="auto"/>
                <w:sz w:val="24"/>
                <w:szCs w:val="24"/>
              </w:rPr>
            </w:pPr>
          </w:p>
        </w:tc>
      </w:tr>
      <w:tr w14:paraId="6FA7DE7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776" w:type="dxa"/>
            <w:tcBorders>
              <w:top w:val="single" w:color="000000" w:sz="4" w:space="0"/>
              <w:bottom w:val="single" w:color="000000" w:sz="4" w:space="0"/>
              <w:right w:val="single" w:color="000000" w:sz="4" w:space="0"/>
            </w:tcBorders>
          </w:tcPr>
          <w:p w14:paraId="6937F0F6">
            <w:pPr>
              <w:pageBreakBefore w:val="0"/>
              <w:topLinePunct w:val="0"/>
              <w:bidi w:val="0"/>
              <w:spacing w:line="500" w:lineRule="exact"/>
              <w:ind w:left="0" w:leftChars="0" w:right="0" w:rightChars="0" w:firstLine="480" w:firstLineChars="200"/>
              <w:jc w:val="center"/>
              <w:rPr>
                <w:color w:val="auto"/>
                <w:sz w:val="24"/>
                <w:szCs w:val="24"/>
              </w:rPr>
            </w:pPr>
          </w:p>
        </w:tc>
        <w:tc>
          <w:tcPr>
            <w:tcW w:w="2596" w:type="dxa"/>
            <w:tcBorders>
              <w:top w:val="single" w:color="000000" w:sz="4" w:space="0"/>
              <w:left w:val="single" w:color="000000" w:sz="4" w:space="0"/>
              <w:bottom w:val="single" w:color="000000" w:sz="4" w:space="0"/>
              <w:right w:val="single" w:color="000000" w:sz="4" w:space="0"/>
            </w:tcBorders>
          </w:tcPr>
          <w:p w14:paraId="70EE6776">
            <w:pPr>
              <w:pageBreakBefore w:val="0"/>
              <w:topLinePunct w:val="0"/>
              <w:bidi w:val="0"/>
              <w:spacing w:line="500" w:lineRule="exact"/>
              <w:ind w:left="0" w:leftChars="0" w:right="0" w:rightChars="0" w:firstLine="480" w:firstLineChars="200"/>
              <w:jc w:val="center"/>
              <w:rPr>
                <w:color w:val="auto"/>
                <w:sz w:val="24"/>
                <w:szCs w:val="24"/>
              </w:rPr>
            </w:pPr>
          </w:p>
        </w:tc>
        <w:tc>
          <w:tcPr>
            <w:tcW w:w="1459" w:type="dxa"/>
            <w:tcBorders>
              <w:top w:val="single" w:color="000000" w:sz="4" w:space="0"/>
              <w:left w:val="single" w:color="000000" w:sz="4" w:space="0"/>
              <w:bottom w:val="single" w:color="000000" w:sz="4" w:space="0"/>
              <w:right w:val="single" w:color="000000" w:sz="4" w:space="0"/>
            </w:tcBorders>
          </w:tcPr>
          <w:p w14:paraId="5F527B77">
            <w:pPr>
              <w:pageBreakBefore w:val="0"/>
              <w:topLinePunct w:val="0"/>
              <w:bidi w:val="0"/>
              <w:spacing w:line="500" w:lineRule="exact"/>
              <w:ind w:left="0" w:leftChars="0" w:right="0" w:rightChars="0" w:firstLine="480" w:firstLineChars="200"/>
              <w:jc w:val="center"/>
              <w:rPr>
                <w:color w:val="auto"/>
                <w:sz w:val="24"/>
                <w:szCs w:val="24"/>
              </w:rPr>
            </w:pPr>
          </w:p>
        </w:tc>
        <w:tc>
          <w:tcPr>
            <w:tcW w:w="972" w:type="dxa"/>
            <w:tcBorders>
              <w:top w:val="single" w:color="000000" w:sz="4" w:space="0"/>
              <w:left w:val="single" w:color="000000" w:sz="4" w:space="0"/>
              <w:bottom w:val="single" w:color="000000" w:sz="4" w:space="0"/>
              <w:right w:val="single" w:color="000000" w:sz="4" w:space="0"/>
            </w:tcBorders>
          </w:tcPr>
          <w:p w14:paraId="3CEAE8B7">
            <w:pPr>
              <w:pageBreakBefore w:val="0"/>
              <w:topLinePunct w:val="0"/>
              <w:bidi w:val="0"/>
              <w:spacing w:line="500" w:lineRule="exact"/>
              <w:ind w:left="0" w:leftChars="0" w:right="0" w:rightChars="0" w:firstLine="480" w:firstLineChars="200"/>
              <w:jc w:val="center"/>
              <w:rPr>
                <w:color w:val="auto"/>
                <w:sz w:val="24"/>
                <w:szCs w:val="24"/>
              </w:rPr>
            </w:pPr>
          </w:p>
        </w:tc>
        <w:tc>
          <w:tcPr>
            <w:tcW w:w="2193" w:type="dxa"/>
            <w:tcBorders>
              <w:top w:val="single" w:color="000000" w:sz="4" w:space="0"/>
              <w:left w:val="single" w:color="000000" w:sz="4" w:space="0"/>
              <w:bottom w:val="single" w:color="000000" w:sz="4" w:space="0"/>
              <w:right w:val="single" w:color="000000" w:sz="4" w:space="0"/>
            </w:tcBorders>
          </w:tcPr>
          <w:p w14:paraId="139738BD">
            <w:pPr>
              <w:pageBreakBefore w:val="0"/>
              <w:topLinePunct w:val="0"/>
              <w:bidi w:val="0"/>
              <w:spacing w:line="500" w:lineRule="exact"/>
              <w:ind w:left="0" w:leftChars="0" w:right="0" w:rightChars="0" w:firstLine="480" w:firstLineChars="200"/>
              <w:jc w:val="center"/>
              <w:rPr>
                <w:color w:val="auto"/>
                <w:sz w:val="24"/>
                <w:szCs w:val="24"/>
              </w:rPr>
            </w:pPr>
          </w:p>
        </w:tc>
        <w:tc>
          <w:tcPr>
            <w:tcW w:w="1355" w:type="dxa"/>
            <w:tcBorders>
              <w:top w:val="single" w:color="000000" w:sz="4" w:space="0"/>
              <w:left w:val="single" w:color="000000" w:sz="4" w:space="0"/>
              <w:bottom w:val="single" w:color="000000" w:sz="4" w:space="0"/>
            </w:tcBorders>
          </w:tcPr>
          <w:p w14:paraId="4F4DD3C8">
            <w:pPr>
              <w:pageBreakBefore w:val="0"/>
              <w:topLinePunct w:val="0"/>
              <w:bidi w:val="0"/>
              <w:spacing w:line="500" w:lineRule="exact"/>
              <w:ind w:left="0" w:leftChars="0" w:right="0" w:rightChars="0" w:firstLine="480" w:firstLineChars="200"/>
              <w:jc w:val="center"/>
              <w:rPr>
                <w:color w:val="auto"/>
                <w:sz w:val="24"/>
                <w:szCs w:val="24"/>
              </w:rPr>
            </w:pPr>
          </w:p>
        </w:tc>
      </w:tr>
      <w:tr w14:paraId="1FD165B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776" w:type="dxa"/>
            <w:tcBorders>
              <w:top w:val="single" w:color="000000" w:sz="4" w:space="0"/>
              <w:bottom w:val="single" w:color="000000" w:sz="4" w:space="0"/>
              <w:right w:val="single" w:color="000000" w:sz="4" w:space="0"/>
            </w:tcBorders>
          </w:tcPr>
          <w:p w14:paraId="16CE6E86">
            <w:pPr>
              <w:pageBreakBefore w:val="0"/>
              <w:topLinePunct w:val="0"/>
              <w:bidi w:val="0"/>
              <w:spacing w:line="500" w:lineRule="exact"/>
              <w:ind w:left="0" w:leftChars="0" w:right="0" w:rightChars="0" w:firstLine="480" w:firstLineChars="200"/>
              <w:jc w:val="center"/>
              <w:rPr>
                <w:color w:val="auto"/>
                <w:sz w:val="24"/>
                <w:szCs w:val="24"/>
              </w:rPr>
            </w:pPr>
          </w:p>
        </w:tc>
        <w:tc>
          <w:tcPr>
            <w:tcW w:w="2596" w:type="dxa"/>
            <w:tcBorders>
              <w:top w:val="single" w:color="000000" w:sz="4" w:space="0"/>
              <w:left w:val="single" w:color="000000" w:sz="4" w:space="0"/>
              <w:bottom w:val="single" w:color="000000" w:sz="4" w:space="0"/>
              <w:right w:val="single" w:color="000000" w:sz="4" w:space="0"/>
            </w:tcBorders>
          </w:tcPr>
          <w:p w14:paraId="03A9DAE8">
            <w:pPr>
              <w:pageBreakBefore w:val="0"/>
              <w:topLinePunct w:val="0"/>
              <w:bidi w:val="0"/>
              <w:spacing w:line="500" w:lineRule="exact"/>
              <w:ind w:left="0" w:leftChars="0" w:right="0" w:rightChars="0" w:firstLine="480" w:firstLineChars="200"/>
              <w:jc w:val="center"/>
              <w:rPr>
                <w:color w:val="auto"/>
                <w:sz w:val="24"/>
                <w:szCs w:val="24"/>
              </w:rPr>
            </w:pPr>
          </w:p>
        </w:tc>
        <w:tc>
          <w:tcPr>
            <w:tcW w:w="1459" w:type="dxa"/>
            <w:tcBorders>
              <w:top w:val="single" w:color="000000" w:sz="4" w:space="0"/>
              <w:left w:val="single" w:color="000000" w:sz="4" w:space="0"/>
              <w:bottom w:val="single" w:color="000000" w:sz="4" w:space="0"/>
              <w:right w:val="single" w:color="000000" w:sz="4" w:space="0"/>
            </w:tcBorders>
          </w:tcPr>
          <w:p w14:paraId="142A901A">
            <w:pPr>
              <w:pageBreakBefore w:val="0"/>
              <w:topLinePunct w:val="0"/>
              <w:bidi w:val="0"/>
              <w:spacing w:line="500" w:lineRule="exact"/>
              <w:ind w:left="0" w:leftChars="0" w:right="0" w:rightChars="0" w:firstLine="480" w:firstLineChars="200"/>
              <w:jc w:val="center"/>
              <w:rPr>
                <w:color w:val="auto"/>
                <w:sz w:val="24"/>
                <w:szCs w:val="24"/>
              </w:rPr>
            </w:pPr>
          </w:p>
        </w:tc>
        <w:tc>
          <w:tcPr>
            <w:tcW w:w="972" w:type="dxa"/>
            <w:tcBorders>
              <w:top w:val="single" w:color="000000" w:sz="4" w:space="0"/>
              <w:left w:val="single" w:color="000000" w:sz="4" w:space="0"/>
              <w:bottom w:val="single" w:color="000000" w:sz="4" w:space="0"/>
              <w:right w:val="single" w:color="000000" w:sz="4" w:space="0"/>
            </w:tcBorders>
          </w:tcPr>
          <w:p w14:paraId="2B36D57A">
            <w:pPr>
              <w:pageBreakBefore w:val="0"/>
              <w:topLinePunct w:val="0"/>
              <w:bidi w:val="0"/>
              <w:spacing w:line="500" w:lineRule="exact"/>
              <w:ind w:left="0" w:leftChars="0" w:right="0" w:rightChars="0" w:firstLine="480" w:firstLineChars="200"/>
              <w:jc w:val="center"/>
              <w:rPr>
                <w:color w:val="auto"/>
                <w:sz w:val="24"/>
                <w:szCs w:val="24"/>
              </w:rPr>
            </w:pPr>
          </w:p>
        </w:tc>
        <w:tc>
          <w:tcPr>
            <w:tcW w:w="2193" w:type="dxa"/>
            <w:tcBorders>
              <w:top w:val="single" w:color="000000" w:sz="4" w:space="0"/>
              <w:left w:val="single" w:color="000000" w:sz="4" w:space="0"/>
              <w:bottom w:val="single" w:color="000000" w:sz="4" w:space="0"/>
              <w:right w:val="single" w:color="000000" w:sz="4" w:space="0"/>
            </w:tcBorders>
          </w:tcPr>
          <w:p w14:paraId="184DC0D7">
            <w:pPr>
              <w:pageBreakBefore w:val="0"/>
              <w:topLinePunct w:val="0"/>
              <w:bidi w:val="0"/>
              <w:spacing w:line="500" w:lineRule="exact"/>
              <w:ind w:left="0" w:leftChars="0" w:right="0" w:rightChars="0" w:firstLine="480" w:firstLineChars="200"/>
              <w:jc w:val="center"/>
              <w:rPr>
                <w:color w:val="auto"/>
                <w:sz w:val="24"/>
                <w:szCs w:val="24"/>
              </w:rPr>
            </w:pPr>
          </w:p>
        </w:tc>
        <w:tc>
          <w:tcPr>
            <w:tcW w:w="1355" w:type="dxa"/>
            <w:tcBorders>
              <w:top w:val="single" w:color="000000" w:sz="4" w:space="0"/>
              <w:left w:val="single" w:color="000000" w:sz="4" w:space="0"/>
              <w:bottom w:val="single" w:color="000000" w:sz="4" w:space="0"/>
            </w:tcBorders>
          </w:tcPr>
          <w:p w14:paraId="18DC3416">
            <w:pPr>
              <w:pageBreakBefore w:val="0"/>
              <w:topLinePunct w:val="0"/>
              <w:bidi w:val="0"/>
              <w:spacing w:line="500" w:lineRule="exact"/>
              <w:ind w:left="0" w:leftChars="0" w:right="0" w:rightChars="0" w:firstLine="480" w:firstLineChars="200"/>
              <w:jc w:val="center"/>
              <w:rPr>
                <w:color w:val="auto"/>
                <w:sz w:val="24"/>
                <w:szCs w:val="24"/>
              </w:rPr>
            </w:pPr>
          </w:p>
        </w:tc>
      </w:tr>
      <w:tr w14:paraId="311C9C1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776" w:type="dxa"/>
            <w:tcBorders>
              <w:top w:val="single" w:color="000000" w:sz="4" w:space="0"/>
              <w:bottom w:val="single" w:color="000000" w:sz="4" w:space="0"/>
              <w:right w:val="single" w:color="000000" w:sz="4" w:space="0"/>
            </w:tcBorders>
          </w:tcPr>
          <w:p w14:paraId="76E09DC0">
            <w:pPr>
              <w:pageBreakBefore w:val="0"/>
              <w:topLinePunct w:val="0"/>
              <w:bidi w:val="0"/>
              <w:spacing w:line="500" w:lineRule="exact"/>
              <w:ind w:left="0" w:leftChars="0" w:right="0" w:rightChars="0" w:firstLine="480" w:firstLineChars="200"/>
              <w:jc w:val="center"/>
              <w:rPr>
                <w:color w:val="auto"/>
                <w:sz w:val="24"/>
                <w:szCs w:val="24"/>
              </w:rPr>
            </w:pPr>
          </w:p>
        </w:tc>
        <w:tc>
          <w:tcPr>
            <w:tcW w:w="2596" w:type="dxa"/>
            <w:tcBorders>
              <w:top w:val="single" w:color="000000" w:sz="4" w:space="0"/>
              <w:left w:val="single" w:color="000000" w:sz="4" w:space="0"/>
              <w:bottom w:val="single" w:color="000000" w:sz="4" w:space="0"/>
              <w:right w:val="single" w:color="000000" w:sz="4" w:space="0"/>
            </w:tcBorders>
          </w:tcPr>
          <w:p w14:paraId="1D721C5D">
            <w:pPr>
              <w:pageBreakBefore w:val="0"/>
              <w:topLinePunct w:val="0"/>
              <w:bidi w:val="0"/>
              <w:spacing w:line="500" w:lineRule="exact"/>
              <w:ind w:left="0" w:leftChars="0" w:right="0" w:rightChars="0" w:firstLine="480" w:firstLineChars="200"/>
              <w:jc w:val="center"/>
              <w:rPr>
                <w:color w:val="auto"/>
                <w:sz w:val="24"/>
                <w:szCs w:val="24"/>
              </w:rPr>
            </w:pPr>
          </w:p>
        </w:tc>
        <w:tc>
          <w:tcPr>
            <w:tcW w:w="1459" w:type="dxa"/>
            <w:tcBorders>
              <w:top w:val="single" w:color="000000" w:sz="4" w:space="0"/>
              <w:left w:val="single" w:color="000000" w:sz="4" w:space="0"/>
              <w:bottom w:val="single" w:color="000000" w:sz="4" w:space="0"/>
              <w:right w:val="single" w:color="000000" w:sz="4" w:space="0"/>
            </w:tcBorders>
          </w:tcPr>
          <w:p w14:paraId="695CE4C2">
            <w:pPr>
              <w:pageBreakBefore w:val="0"/>
              <w:topLinePunct w:val="0"/>
              <w:bidi w:val="0"/>
              <w:spacing w:line="500" w:lineRule="exact"/>
              <w:ind w:left="0" w:leftChars="0" w:right="0" w:rightChars="0" w:firstLine="480" w:firstLineChars="200"/>
              <w:jc w:val="center"/>
              <w:rPr>
                <w:color w:val="auto"/>
                <w:sz w:val="24"/>
                <w:szCs w:val="24"/>
              </w:rPr>
            </w:pPr>
          </w:p>
        </w:tc>
        <w:tc>
          <w:tcPr>
            <w:tcW w:w="972" w:type="dxa"/>
            <w:tcBorders>
              <w:top w:val="single" w:color="000000" w:sz="4" w:space="0"/>
              <w:left w:val="single" w:color="000000" w:sz="4" w:space="0"/>
              <w:bottom w:val="single" w:color="000000" w:sz="4" w:space="0"/>
              <w:right w:val="single" w:color="000000" w:sz="4" w:space="0"/>
            </w:tcBorders>
          </w:tcPr>
          <w:p w14:paraId="53BDF271">
            <w:pPr>
              <w:pageBreakBefore w:val="0"/>
              <w:topLinePunct w:val="0"/>
              <w:bidi w:val="0"/>
              <w:spacing w:line="500" w:lineRule="exact"/>
              <w:ind w:left="0" w:leftChars="0" w:right="0" w:rightChars="0" w:firstLine="480" w:firstLineChars="200"/>
              <w:jc w:val="center"/>
              <w:rPr>
                <w:color w:val="auto"/>
                <w:sz w:val="24"/>
                <w:szCs w:val="24"/>
              </w:rPr>
            </w:pPr>
          </w:p>
        </w:tc>
        <w:tc>
          <w:tcPr>
            <w:tcW w:w="2193" w:type="dxa"/>
            <w:tcBorders>
              <w:top w:val="single" w:color="000000" w:sz="4" w:space="0"/>
              <w:left w:val="single" w:color="000000" w:sz="4" w:space="0"/>
              <w:bottom w:val="single" w:color="000000" w:sz="4" w:space="0"/>
              <w:right w:val="single" w:color="000000" w:sz="4" w:space="0"/>
            </w:tcBorders>
          </w:tcPr>
          <w:p w14:paraId="139DCC59">
            <w:pPr>
              <w:pageBreakBefore w:val="0"/>
              <w:topLinePunct w:val="0"/>
              <w:bidi w:val="0"/>
              <w:spacing w:line="500" w:lineRule="exact"/>
              <w:ind w:left="0" w:leftChars="0" w:right="0" w:rightChars="0" w:firstLine="480" w:firstLineChars="200"/>
              <w:jc w:val="center"/>
              <w:rPr>
                <w:color w:val="auto"/>
                <w:sz w:val="24"/>
                <w:szCs w:val="24"/>
              </w:rPr>
            </w:pPr>
          </w:p>
        </w:tc>
        <w:tc>
          <w:tcPr>
            <w:tcW w:w="1355" w:type="dxa"/>
            <w:tcBorders>
              <w:top w:val="single" w:color="000000" w:sz="4" w:space="0"/>
              <w:left w:val="single" w:color="000000" w:sz="4" w:space="0"/>
              <w:bottom w:val="single" w:color="000000" w:sz="4" w:space="0"/>
            </w:tcBorders>
          </w:tcPr>
          <w:p w14:paraId="5F5B18E2">
            <w:pPr>
              <w:pageBreakBefore w:val="0"/>
              <w:topLinePunct w:val="0"/>
              <w:bidi w:val="0"/>
              <w:spacing w:line="500" w:lineRule="exact"/>
              <w:ind w:left="0" w:leftChars="0" w:right="0" w:rightChars="0" w:firstLine="480" w:firstLineChars="200"/>
              <w:jc w:val="center"/>
              <w:rPr>
                <w:color w:val="auto"/>
                <w:sz w:val="24"/>
                <w:szCs w:val="24"/>
              </w:rPr>
            </w:pPr>
          </w:p>
        </w:tc>
      </w:tr>
      <w:tr w14:paraId="62F19EF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776" w:type="dxa"/>
            <w:tcBorders>
              <w:top w:val="single" w:color="000000" w:sz="4" w:space="0"/>
              <w:bottom w:val="single" w:color="000000" w:sz="4" w:space="0"/>
              <w:right w:val="single" w:color="000000" w:sz="4" w:space="0"/>
            </w:tcBorders>
          </w:tcPr>
          <w:p w14:paraId="6C1E6DE3">
            <w:pPr>
              <w:pageBreakBefore w:val="0"/>
              <w:topLinePunct w:val="0"/>
              <w:bidi w:val="0"/>
              <w:spacing w:line="500" w:lineRule="exact"/>
              <w:ind w:left="0" w:leftChars="0" w:right="0" w:rightChars="0" w:firstLine="480" w:firstLineChars="200"/>
              <w:jc w:val="center"/>
              <w:rPr>
                <w:color w:val="auto"/>
                <w:sz w:val="24"/>
                <w:szCs w:val="24"/>
              </w:rPr>
            </w:pPr>
          </w:p>
        </w:tc>
        <w:tc>
          <w:tcPr>
            <w:tcW w:w="2596" w:type="dxa"/>
            <w:tcBorders>
              <w:top w:val="single" w:color="000000" w:sz="4" w:space="0"/>
              <w:left w:val="single" w:color="000000" w:sz="4" w:space="0"/>
              <w:bottom w:val="single" w:color="000000" w:sz="4" w:space="0"/>
              <w:right w:val="single" w:color="000000" w:sz="4" w:space="0"/>
            </w:tcBorders>
          </w:tcPr>
          <w:p w14:paraId="6B0CD7F4">
            <w:pPr>
              <w:pageBreakBefore w:val="0"/>
              <w:topLinePunct w:val="0"/>
              <w:bidi w:val="0"/>
              <w:spacing w:line="500" w:lineRule="exact"/>
              <w:ind w:left="0" w:leftChars="0" w:right="0" w:rightChars="0" w:firstLine="480" w:firstLineChars="200"/>
              <w:jc w:val="center"/>
              <w:rPr>
                <w:color w:val="auto"/>
                <w:sz w:val="24"/>
                <w:szCs w:val="24"/>
              </w:rPr>
            </w:pPr>
          </w:p>
        </w:tc>
        <w:tc>
          <w:tcPr>
            <w:tcW w:w="1459" w:type="dxa"/>
            <w:tcBorders>
              <w:top w:val="single" w:color="000000" w:sz="4" w:space="0"/>
              <w:left w:val="single" w:color="000000" w:sz="4" w:space="0"/>
              <w:bottom w:val="single" w:color="000000" w:sz="4" w:space="0"/>
              <w:right w:val="single" w:color="000000" w:sz="4" w:space="0"/>
            </w:tcBorders>
          </w:tcPr>
          <w:p w14:paraId="214059B2">
            <w:pPr>
              <w:pageBreakBefore w:val="0"/>
              <w:topLinePunct w:val="0"/>
              <w:bidi w:val="0"/>
              <w:spacing w:line="500" w:lineRule="exact"/>
              <w:ind w:left="0" w:leftChars="0" w:right="0" w:rightChars="0" w:firstLine="480" w:firstLineChars="200"/>
              <w:jc w:val="center"/>
              <w:rPr>
                <w:color w:val="auto"/>
                <w:sz w:val="24"/>
                <w:szCs w:val="24"/>
              </w:rPr>
            </w:pPr>
          </w:p>
        </w:tc>
        <w:tc>
          <w:tcPr>
            <w:tcW w:w="972" w:type="dxa"/>
            <w:tcBorders>
              <w:top w:val="single" w:color="000000" w:sz="4" w:space="0"/>
              <w:left w:val="single" w:color="000000" w:sz="4" w:space="0"/>
              <w:bottom w:val="single" w:color="000000" w:sz="4" w:space="0"/>
              <w:right w:val="single" w:color="000000" w:sz="4" w:space="0"/>
            </w:tcBorders>
          </w:tcPr>
          <w:p w14:paraId="0DD068E2">
            <w:pPr>
              <w:pageBreakBefore w:val="0"/>
              <w:topLinePunct w:val="0"/>
              <w:bidi w:val="0"/>
              <w:spacing w:line="500" w:lineRule="exact"/>
              <w:ind w:left="0" w:leftChars="0" w:right="0" w:rightChars="0" w:firstLine="480" w:firstLineChars="200"/>
              <w:jc w:val="center"/>
              <w:rPr>
                <w:color w:val="auto"/>
                <w:sz w:val="24"/>
                <w:szCs w:val="24"/>
              </w:rPr>
            </w:pPr>
          </w:p>
        </w:tc>
        <w:tc>
          <w:tcPr>
            <w:tcW w:w="2193" w:type="dxa"/>
            <w:tcBorders>
              <w:top w:val="single" w:color="000000" w:sz="4" w:space="0"/>
              <w:left w:val="single" w:color="000000" w:sz="4" w:space="0"/>
              <w:bottom w:val="single" w:color="000000" w:sz="4" w:space="0"/>
              <w:right w:val="single" w:color="000000" w:sz="4" w:space="0"/>
            </w:tcBorders>
          </w:tcPr>
          <w:p w14:paraId="4CFA7298">
            <w:pPr>
              <w:pageBreakBefore w:val="0"/>
              <w:topLinePunct w:val="0"/>
              <w:bidi w:val="0"/>
              <w:spacing w:line="500" w:lineRule="exact"/>
              <w:ind w:left="0" w:leftChars="0" w:right="0" w:rightChars="0" w:firstLine="480" w:firstLineChars="200"/>
              <w:jc w:val="center"/>
              <w:rPr>
                <w:color w:val="auto"/>
                <w:sz w:val="24"/>
                <w:szCs w:val="24"/>
              </w:rPr>
            </w:pPr>
          </w:p>
        </w:tc>
        <w:tc>
          <w:tcPr>
            <w:tcW w:w="1355" w:type="dxa"/>
            <w:tcBorders>
              <w:top w:val="single" w:color="000000" w:sz="4" w:space="0"/>
              <w:left w:val="single" w:color="000000" w:sz="4" w:space="0"/>
              <w:bottom w:val="single" w:color="000000" w:sz="4" w:space="0"/>
            </w:tcBorders>
          </w:tcPr>
          <w:p w14:paraId="70FE0FA9">
            <w:pPr>
              <w:pageBreakBefore w:val="0"/>
              <w:topLinePunct w:val="0"/>
              <w:bidi w:val="0"/>
              <w:spacing w:line="500" w:lineRule="exact"/>
              <w:ind w:left="0" w:leftChars="0" w:right="0" w:rightChars="0" w:firstLine="480" w:firstLineChars="200"/>
              <w:jc w:val="center"/>
              <w:rPr>
                <w:color w:val="auto"/>
                <w:sz w:val="24"/>
                <w:szCs w:val="24"/>
              </w:rPr>
            </w:pPr>
          </w:p>
        </w:tc>
      </w:tr>
      <w:tr w14:paraId="66D58EA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trPr>
        <w:tc>
          <w:tcPr>
            <w:tcW w:w="776" w:type="dxa"/>
            <w:tcBorders>
              <w:top w:val="single" w:color="000000" w:sz="4" w:space="0"/>
              <w:bottom w:val="single" w:color="000000" w:sz="4" w:space="0"/>
              <w:right w:val="single" w:color="000000" w:sz="4" w:space="0"/>
            </w:tcBorders>
          </w:tcPr>
          <w:p w14:paraId="661167DA">
            <w:pPr>
              <w:pageBreakBefore w:val="0"/>
              <w:topLinePunct w:val="0"/>
              <w:bidi w:val="0"/>
              <w:spacing w:line="500" w:lineRule="exact"/>
              <w:ind w:left="0" w:leftChars="0" w:right="0" w:rightChars="0" w:firstLine="480" w:firstLineChars="200"/>
              <w:jc w:val="center"/>
              <w:rPr>
                <w:color w:val="auto"/>
                <w:sz w:val="24"/>
                <w:szCs w:val="24"/>
              </w:rPr>
            </w:pPr>
          </w:p>
        </w:tc>
        <w:tc>
          <w:tcPr>
            <w:tcW w:w="2596" w:type="dxa"/>
            <w:tcBorders>
              <w:top w:val="single" w:color="000000" w:sz="4" w:space="0"/>
              <w:left w:val="single" w:color="000000" w:sz="4" w:space="0"/>
              <w:bottom w:val="single" w:color="000000" w:sz="4" w:space="0"/>
              <w:right w:val="single" w:color="000000" w:sz="4" w:space="0"/>
            </w:tcBorders>
          </w:tcPr>
          <w:p w14:paraId="4013663D">
            <w:pPr>
              <w:pageBreakBefore w:val="0"/>
              <w:topLinePunct w:val="0"/>
              <w:bidi w:val="0"/>
              <w:spacing w:line="500" w:lineRule="exact"/>
              <w:ind w:left="0" w:leftChars="0" w:right="0" w:rightChars="0" w:firstLine="480" w:firstLineChars="200"/>
              <w:jc w:val="center"/>
              <w:rPr>
                <w:color w:val="auto"/>
                <w:sz w:val="24"/>
                <w:szCs w:val="24"/>
              </w:rPr>
            </w:pPr>
          </w:p>
        </w:tc>
        <w:tc>
          <w:tcPr>
            <w:tcW w:w="1459" w:type="dxa"/>
            <w:tcBorders>
              <w:top w:val="single" w:color="000000" w:sz="4" w:space="0"/>
              <w:left w:val="single" w:color="000000" w:sz="4" w:space="0"/>
              <w:bottom w:val="single" w:color="000000" w:sz="4" w:space="0"/>
              <w:right w:val="single" w:color="000000" w:sz="4" w:space="0"/>
            </w:tcBorders>
          </w:tcPr>
          <w:p w14:paraId="5D61E440">
            <w:pPr>
              <w:pageBreakBefore w:val="0"/>
              <w:topLinePunct w:val="0"/>
              <w:bidi w:val="0"/>
              <w:spacing w:line="500" w:lineRule="exact"/>
              <w:ind w:left="0" w:leftChars="0" w:right="0" w:rightChars="0" w:firstLine="480" w:firstLineChars="200"/>
              <w:jc w:val="center"/>
              <w:rPr>
                <w:color w:val="auto"/>
                <w:sz w:val="24"/>
                <w:szCs w:val="24"/>
              </w:rPr>
            </w:pPr>
          </w:p>
        </w:tc>
        <w:tc>
          <w:tcPr>
            <w:tcW w:w="972" w:type="dxa"/>
            <w:tcBorders>
              <w:top w:val="single" w:color="000000" w:sz="4" w:space="0"/>
              <w:left w:val="single" w:color="000000" w:sz="4" w:space="0"/>
              <w:bottom w:val="single" w:color="000000" w:sz="4" w:space="0"/>
              <w:right w:val="single" w:color="000000" w:sz="4" w:space="0"/>
            </w:tcBorders>
          </w:tcPr>
          <w:p w14:paraId="0C10C2EB">
            <w:pPr>
              <w:pageBreakBefore w:val="0"/>
              <w:topLinePunct w:val="0"/>
              <w:bidi w:val="0"/>
              <w:spacing w:line="500" w:lineRule="exact"/>
              <w:ind w:left="0" w:leftChars="0" w:right="0" w:rightChars="0" w:firstLine="480" w:firstLineChars="200"/>
              <w:jc w:val="center"/>
              <w:rPr>
                <w:color w:val="auto"/>
                <w:sz w:val="24"/>
                <w:szCs w:val="24"/>
              </w:rPr>
            </w:pPr>
          </w:p>
        </w:tc>
        <w:tc>
          <w:tcPr>
            <w:tcW w:w="2193" w:type="dxa"/>
            <w:tcBorders>
              <w:top w:val="single" w:color="000000" w:sz="4" w:space="0"/>
              <w:left w:val="single" w:color="000000" w:sz="4" w:space="0"/>
              <w:bottom w:val="single" w:color="000000" w:sz="4" w:space="0"/>
              <w:right w:val="single" w:color="000000" w:sz="4" w:space="0"/>
            </w:tcBorders>
          </w:tcPr>
          <w:p w14:paraId="3FFD8138">
            <w:pPr>
              <w:pageBreakBefore w:val="0"/>
              <w:topLinePunct w:val="0"/>
              <w:bidi w:val="0"/>
              <w:spacing w:line="500" w:lineRule="exact"/>
              <w:ind w:left="0" w:leftChars="0" w:right="0" w:rightChars="0" w:firstLine="480" w:firstLineChars="200"/>
              <w:jc w:val="center"/>
              <w:rPr>
                <w:color w:val="auto"/>
                <w:sz w:val="24"/>
                <w:szCs w:val="24"/>
              </w:rPr>
            </w:pPr>
          </w:p>
        </w:tc>
        <w:tc>
          <w:tcPr>
            <w:tcW w:w="1355" w:type="dxa"/>
            <w:tcBorders>
              <w:top w:val="single" w:color="000000" w:sz="4" w:space="0"/>
              <w:left w:val="single" w:color="000000" w:sz="4" w:space="0"/>
              <w:bottom w:val="single" w:color="000000" w:sz="4" w:space="0"/>
            </w:tcBorders>
          </w:tcPr>
          <w:p w14:paraId="2CFC9C28">
            <w:pPr>
              <w:pageBreakBefore w:val="0"/>
              <w:topLinePunct w:val="0"/>
              <w:bidi w:val="0"/>
              <w:spacing w:line="500" w:lineRule="exact"/>
              <w:ind w:left="0" w:leftChars="0" w:right="0" w:rightChars="0" w:firstLine="480" w:firstLineChars="200"/>
              <w:jc w:val="center"/>
              <w:rPr>
                <w:color w:val="auto"/>
                <w:sz w:val="24"/>
                <w:szCs w:val="24"/>
              </w:rPr>
            </w:pPr>
          </w:p>
        </w:tc>
      </w:tr>
      <w:tr w14:paraId="4EFF682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776" w:type="dxa"/>
            <w:tcBorders>
              <w:top w:val="single" w:color="000000" w:sz="4" w:space="0"/>
              <w:bottom w:val="single" w:color="000000" w:sz="4" w:space="0"/>
              <w:right w:val="single" w:color="000000" w:sz="4" w:space="0"/>
            </w:tcBorders>
          </w:tcPr>
          <w:p w14:paraId="2AF30D49">
            <w:pPr>
              <w:pageBreakBefore w:val="0"/>
              <w:topLinePunct w:val="0"/>
              <w:bidi w:val="0"/>
              <w:spacing w:line="500" w:lineRule="exact"/>
              <w:ind w:left="0" w:leftChars="0" w:right="0" w:rightChars="0" w:firstLine="480" w:firstLineChars="200"/>
              <w:jc w:val="center"/>
              <w:rPr>
                <w:color w:val="auto"/>
                <w:sz w:val="24"/>
                <w:szCs w:val="24"/>
              </w:rPr>
            </w:pPr>
          </w:p>
        </w:tc>
        <w:tc>
          <w:tcPr>
            <w:tcW w:w="2596" w:type="dxa"/>
            <w:tcBorders>
              <w:top w:val="single" w:color="000000" w:sz="4" w:space="0"/>
              <w:left w:val="single" w:color="000000" w:sz="4" w:space="0"/>
              <w:bottom w:val="single" w:color="000000" w:sz="4" w:space="0"/>
              <w:right w:val="single" w:color="000000" w:sz="4" w:space="0"/>
            </w:tcBorders>
          </w:tcPr>
          <w:p w14:paraId="2BA38019">
            <w:pPr>
              <w:pageBreakBefore w:val="0"/>
              <w:topLinePunct w:val="0"/>
              <w:bidi w:val="0"/>
              <w:spacing w:line="500" w:lineRule="exact"/>
              <w:ind w:left="0" w:leftChars="0" w:right="0" w:rightChars="0" w:firstLine="480" w:firstLineChars="200"/>
              <w:jc w:val="center"/>
              <w:rPr>
                <w:color w:val="auto"/>
                <w:sz w:val="24"/>
                <w:szCs w:val="24"/>
              </w:rPr>
            </w:pPr>
          </w:p>
        </w:tc>
        <w:tc>
          <w:tcPr>
            <w:tcW w:w="1459" w:type="dxa"/>
            <w:tcBorders>
              <w:top w:val="single" w:color="000000" w:sz="4" w:space="0"/>
              <w:left w:val="single" w:color="000000" w:sz="4" w:space="0"/>
              <w:bottom w:val="single" w:color="000000" w:sz="4" w:space="0"/>
              <w:right w:val="single" w:color="000000" w:sz="4" w:space="0"/>
            </w:tcBorders>
          </w:tcPr>
          <w:p w14:paraId="5CA960B3">
            <w:pPr>
              <w:pageBreakBefore w:val="0"/>
              <w:topLinePunct w:val="0"/>
              <w:bidi w:val="0"/>
              <w:spacing w:line="500" w:lineRule="exact"/>
              <w:ind w:left="0" w:leftChars="0" w:right="0" w:rightChars="0" w:firstLine="480" w:firstLineChars="200"/>
              <w:jc w:val="center"/>
              <w:rPr>
                <w:color w:val="auto"/>
                <w:sz w:val="24"/>
                <w:szCs w:val="24"/>
              </w:rPr>
            </w:pPr>
          </w:p>
        </w:tc>
        <w:tc>
          <w:tcPr>
            <w:tcW w:w="972" w:type="dxa"/>
            <w:tcBorders>
              <w:top w:val="single" w:color="000000" w:sz="4" w:space="0"/>
              <w:left w:val="single" w:color="000000" w:sz="4" w:space="0"/>
              <w:bottom w:val="single" w:color="000000" w:sz="4" w:space="0"/>
              <w:right w:val="single" w:color="000000" w:sz="4" w:space="0"/>
            </w:tcBorders>
          </w:tcPr>
          <w:p w14:paraId="7C23FECE">
            <w:pPr>
              <w:pageBreakBefore w:val="0"/>
              <w:topLinePunct w:val="0"/>
              <w:bidi w:val="0"/>
              <w:spacing w:line="500" w:lineRule="exact"/>
              <w:ind w:left="0" w:leftChars="0" w:right="0" w:rightChars="0" w:firstLine="480" w:firstLineChars="200"/>
              <w:jc w:val="center"/>
              <w:rPr>
                <w:color w:val="auto"/>
                <w:sz w:val="24"/>
                <w:szCs w:val="24"/>
              </w:rPr>
            </w:pPr>
          </w:p>
        </w:tc>
        <w:tc>
          <w:tcPr>
            <w:tcW w:w="2193" w:type="dxa"/>
            <w:tcBorders>
              <w:top w:val="single" w:color="000000" w:sz="4" w:space="0"/>
              <w:left w:val="single" w:color="000000" w:sz="4" w:space="0"/>
              <w:bottom w:val="single" w:color="000000" w:sz="4" w:space="0"/>
              <w:right w:val="single" w:color="000000" w:sz="4" w:space="0"/>
            </w:tcBorders>
          </w:tcPr>
          <w:p w14:paraId="23511B33">
            <w:pPr>
              <w:pageBreakBefore w:val="0"/>
              <w:topLinePunct w:val="0"/>
              <w:bidi w:val="0"/>
              <w:spacing w:line="500" w:lineRule="exact"/>
              <w:ind w:left="0" w:leftChars="0" w:right="0" w:rightChars="0" w:firstLine="480" w:firstLineChars="200"/>
              <w:jc w:val="center"/>
              <w:rPr>
                <w:color w:val="auto"/>
                <w:sz w:val="24"/>
                <w:szCs w:val="24"/>
              </w:rPr>
            </w:pPr>
          </w:p>
        </w:tc>
        <w:tc>
          <w:tcPr>
            <w:tcW w:w="1355" w:type="dxa"/>
            <w:tcBorders>
              <w:top w:val="single" w:color="000000" w:sz="4" w:space="0"/>
              <w:left w:val="single" w:color="000000" w:sz="4" w:space="0"/>
              <w:bottom w:val="single" w:color="000000" w:sz="4" w:space="0"/>
            </w:tcBorders>
          </w:tcPr>
          <w:p w14:paraId="7352C91F">
            <w:pPr>
              <w:pageBreakBefore w:val="0"/>
              <w:topLinePunct w:val="0"/>
              <w:bidi w:val="0"/>
              <w:spacing w:line="500" w:lineRule="exact"/>
              <w:ind w:left="0" w:leftChars="0" w:right="0" w:rightChars="0" w:firstLine="480" w:firstLineChars="200"/>
              <w:jc w:val="center"/>
              <w:rPr>
                <w:color w:val="auto"/>
                <w:sz w:val="24"/>
                <w:szCs w:val="24"/>
              </w:rPr>
            </w:pPr>
          </w:p>
        </w:tc>
      </w:tr>
      <w:tr w14:paraId="591E1F4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trPr>
        <w:tc>
          <w:tcPr>
            <w:tcW w:w="776" w:type="dxa"/>
            <w:tcBorders>
              <w:top w:val="single" w:color="000000" w:sz="4" w:space="0"/>
              <w:bottom w:val="single" w:color="000000" w:sz="4" w:space="0"/>
              <w:right w:val="single" w:color="000000" w:sz="4" w:space="0"/>
            </w:tcBorders>
          </w:tcPr>
          <w:p w14:paraId="1F6DA0E0">
            <w:pPr>
              <w:pageBreakBefore w:val="0"/>
              <w:topLinePunct w:val="0"/>
              <w:bidi w:val="0"/>
              <w:spacing w:line="500" w:lineRule="exact"/>
              <w:ind w:left="0" w:leftChars="0" w:right="0" w:rightChars="0" w:firstLine="480" w:firstLineChars="200"/>
              <w:jc w:val="center"/>
              <w:rPr>
                <w:color w:val="auto"/>
                <w:sz w:val="24"/>
                <w:szCs w:val="24"/>
              </w:rPr>
            </w:pPr>
          </w:p>
        </w:tc>
        <w:tc>
          <w:tcPr>
            <w:tcW w:w="2596" w:type="dxa"/>
            <w:tcBorders>
              <w:top w:val="single" w:color="000000" w:sz="4" w:space="0"/>
              <w:left w:val="single" w:color="000000" w:sz="4" w:space="0"/>
              <w:bottom w:val="single" w:color="000000" w:sz="4" w:space="0"/>
              <w:right w:val="single" w:color="000000" w:sz="4" w:space="0"/>
            </w:tcBorders>
          </w:tcPr>
          <w:p w14:paraId="1581F4BB">
            <w:pPr>
              <w:pageBreakBefore w:val="0"/>
              <w:topLinePunct w:val="0"/>
              <w:bidi w:val="0"/>
              <w:spacing w:line="500" w:lineRule="exact"/>
              <w:ind w:left="0" w:leftChars="0" w:right="0" w:rightChars="0" w:firstLine="480" w:firstLineChars="200"/>
              <w:jc w:val="center"/>
              <w:rPr>
                <w:color w:val="auto"/>
                <w:sz w:val="24"/>
                <w:szCs w:val="24"/>
              </w:rPr>
            </w:pPr>
          </w:p>
        </w:tc>
        <w:tc>
          <w:tcPr>
            <w:tcW w:w="1459" w:type="dxa"/>
            <w:tcBorders>
              <w:top w:val="single" w:color="000000" w:sz="4" w:space="0"/>
              <w:left w:val="single" w:color="000000" w:sz="4" w:space="0"/>
              <w:bottom w:val="single" w:color="000000" w:sz="4" w:space="0"/>
              <w:right w:val="single" w:color="000000" w:sz="4" w:space="0"/>
            </w:tcBorders>
          </w:tcPr>
          <w:p w14:paraId="4B3495F6">
            <w:pPr>
              <w:pageBreakBefore w:val="0"/>
              <w:topLinePunct w:val="0"/>
              <w:bidi w:val="0"/>
              <w:spacing w:line="500" w:lineRule="exact"/>
              <w:ind w:left="0" w:leftChars="0" w:right="0" w:rightChars="0" w:firstLine="480" w:firstLineChars="200"/>
              <w:jc w:val="center"/>
              <w:rPr>
                <w:color w:val="auto"/>
                <w:sz w:val="24"/>
                <w:szCs w:val="24"/>
              </w:rPr>
            </w:pPr>
          </w:p>
        </w:tc>
        <w:tc>
          <w:tcPr>
            <w:tcW w:w="972" w:type="dxa"/>
            <w:tcBorders>
              <w:top w:val="single" w:color="000000" w:sz="4" w:space="0"/>
              <w:left w:val="single" w:color="000000" w:sz="4" w:space="0"/>
              <w:bottom w:val="single" w:color="000000" w:sz="4" w:space="0"/>
              <w:right w:val="single" w:color="000000" w:sz="4" w:space="0"/>
            </w:tcBorders>
          </w:tcPr>
          <w:p w14:paraId="4D4EB51E">
            <w:pPr>
              <w:pageBreakBefore w:val="0"/>
              <w:topLinePunct w:val="0"/>
              <w:bidi w:val="0"/>
              <w:spacing w:line="500" w:lineRule="exact"/>
              <w:ind w:left="0" w:leftChars="0" w:right="0" w:rightChars="0" w:firstLine="480" w:firstLineChars="200"/>
              <w:jc w:val="center"/>
              <w:rPr>
                <w:color w:val="auto"/>
                <w:sz w:val="24"/>
                <w:szCs w:val="24"/>
              </w:rPr>
            </w:pPr>
          </w:p>
        </w:tc>
        <w:tc>
          <w:tcPr>
            <w:tcW w:w="2193" w:type="dxa"/>
            <w:tcBorders>
              <w:top w:val="single" w:color="000000" w:sz="4" w:space="0"/>
              <w:left w:val="single" w:color="000000" w:sz="4" w:space="0"/>
              <w:bottom w:val="single" w:color="000000" w:sz="4" w:space="0"/>
              <w:right w:val="single" w:color="000000" w:sz="4" w:space="0"/>
            </w:tcBorders>
          </w:tcPr>
          <w:p w14:paraId="1DDED7A9">
            <w:pPr>
              <w:pageBreakBefore w:val="0"/>
              <w:topLinePunct w:val="0"/>
              <w:bidi w:val="0"/>
              <w:spacing w:line="500" w:lineRule="exact"/>
              <w:ind w:left="0" w:leftChars="0" w:right="0" w:rightChars="0" w:firstLine="480" w:firstLineChars="200"/>
              <w:jc w:val="center"/>
              <w:rPr>
                <w:color w:val="auto"/>
                <w:sz w:val="24"/>
                <w:szCs w:val="24"/>
              </w:rPr>
            </w:pPr>
          </w:p>
        </w:tc>
        <w:tc>
          <w:tcPr>
            <w:tcW w:w="1355" w:type="dxa"/>
            <w:tcBorders>
              <w:top w:val="single" w:color="000000" w:sz="4" w:space="0"/>
              <w:left w:val="single" w:color="000000" w:sz="4" w:space="0"/>
              <w:bottom w:val="single" w:color="000000" w:sz="4" w:space="0"/>
            </w:tcBorders>
          </w:tcPr>
          <w:p w14:paraId="1D717C9E">
            <w:pPr>
              <w:pageBreakBefore w:val="0"/>
              <w:topLinePunct w:val="0"/>
              <w:bidi w:val="0"/>
              <w:spacing w:line="500" w:lineRule="exact"/>
              <w:ind w:left="0" w:leftChars="0" w:right="0" w:rightChars="0" w:firstLine="480" w:firstLineChars="200"/>
              <w:jc w:val="center"/>
              <w:rPr>
                <w:color w:val="auto"/>
                <w:sz w:val="24"/>
                <w:szCs w:val="24"/>
              </w:rPr>
            </w:pPr>
          </w:p>
        </w:tc>
      </w:tr>
      <w:tr w14:paraId="5B09144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776" w:type="dxa"/>
            <w:tcBorders>
              <w:top w:val="single" w:color="000000" w:sz="4" w:space="0"/>
              <w:right w:val="single" w:color="000000" w:sz="4" w:space="0"/>
            </w:tcBorders>
          </w:tcPr>
          <w:p w14:paraId="059598A6">
            <w:pPr>
              <w:pageBreakBefore w:val="0"/>
              <w:topLinePunct w:val="0"/>
              <w:bidi w:val="0"/>
              <w:spacing w:line="500" w:lineRule="exact"/>
              <w:ind w:left="0" w:leftChars="0" w:right="0" w:rightChars="0" w:firstLine="480" w:firstLineChars="200"/>
              <w:jc w:val="center"/>
              <w:rPr>
                <w:color w:val="auto"/>
                <w:sz w:val="24"/>
                <w:szCs w:val="24"/>
              </w:rPr>
            </w:pPr>
          </w:p>
        </w:tc>
        <w:tc>
          <w:tcPr>
            <w:tcW w:w="2596" w:type="dxa"/>
            <w:tcBorders>
              <w:top w:val="single" w:color="000000" w:sz="4" w:space="0"/>
              <w:left w:val="single" w:color="000000" w:sz="4" w:space="0"/>
              <w:right w:val="single" w:color="000000" w:sz="4" w:space="0"/>
            </w:tcBorders>
          </w:tcPr>
          <w:p w14:paraId="25DA1DA6">
            <w:pPr>
              <w:pageBreakBefore w:val="0"/>
              <w:topLinePunct w:val="0"/>
              <w:bidi w:val="0"/>
              <w:spacing w:line="500" w:lineRule="exact"/>
              <w:ind w:left="0" w:leftChars="0" w:right="0" w:rightChars="0" w:firstLine="480" w:firstLineChars="200"/>
              <w:jc w:val="center"/>
              <w:rPr>
                <w:color w:val="auto"/>
                <w:sz w:val="24"/>
                <w:szCs w:val="24"/>
              </w:rPr>
            </w:pPr>
          </w:p>
        </w:tc>
        <w:tc>
          <w:tcPr>
            <w:tcW w:w="1459" w:type="dxa"/>
            <w:tcBorders>
              <w:top w:val="single" w:color="000000" w:sz="4" w:space="0"/>
              <w:left w:val="single" w:color="000000" w:sz="4" w:space="0"/>
              <w:right w:val="single" w:color="000000" w:sz="4" w:space="0"/>
            </w:tcBorders>
          </w:tcPr>
          <w:p w14:paraId="57A4B621">
            <w:pPr>
              <w:pageBreakBefore w:val="0"/>
              <w:topLinePunct w:val="0"/>
              <w:bidi w:val="0"/>
              <w:spacing w:line="500" w:lineRule="exact"/>
              <w:ind w:left="0" w:leftChars="0" w:right="0" w:rightChars="0" w:firstLine="480" w:firstLineChars="200"/>
              <w:jc w:val="center"/>
              <w:rPr>
                <w:color w:val="auto"/>
                <w:sz w:val="24"/>
                <w:szCs w:val="24"/>
              </w:rPr>
            </w:pPr>
          </w:p>
        </w:tc>
        <w:tc>
          <w:tcPr>
            <w:tcW w:w="972" w:type="dxa"/>
            <w:tcBorders>
              <w:top w:val="single" w:color="000000" w:sz="4" w:space="0"/>
              <w:left w:val="single" w:color="000000" w:sz="4" w:space="0"/>
              <w:right w:val="single" w:color="000000" w:sz="4" w:space="0"/>
            </w:tcBorders>
          </w:tcPr>
          <w:p w14:paraId="4876EAB3">
            <w:pPr>
              <w:pageBreakBefore w:val="0"/>
              <w:topLinePunct w:val="0"/>
              <w:bidi w:val="0"/>
              <w:spacing w:line="500" w:lineRule="exact"/>
              <w:ind w:left="0" w:leftChars="0" w:right="0" w:rightChars="0" w:firstLine="480" w:firstLineChars="200"/>
              <w:jc w:val="center"/>
              <w:rPr>
                <w:color w:val="auto"/>
                <w:sz w:val="24"/>
                <w:szCs w:val="24"/>
              </w:rPr>
            </w:pPr>
          </w:p>
        </w:tc>
        <w:tc>
          <w:tcPr>
            <w:tcW w:w="2193" w:type="dxa"/>
            <w:tcBorders>
              <w:top w:val="single" w:color="000000" w:sz="4" w:space="0"/>
              <w:left w:val="single" w:color="000000" w:sz="4" w:space="0"/>
              <w:right w:val="single" w:color="000000" w:sz="4" w:space="0"/>
            </w:tcBorders>
          </w:tcPr>
          <w:p w14:paraId="66A0D541">
            <w:pPr>
              <w:pageBreakBefore w:val="0"/>
              <w:topLinePunct w:val="0"/>
              <w:bidi w:val="0"/>
              <w:spacing w:line="500" w:lineRule="exact"/>
              <w:ind w:left="0" w:leftChars="0" w:right="0" w:rightChars="0" w:firstLine="480" w:firstLineChars="200"/>
              <w:jc w:val="center"/>
              <w:rPr>
                <w:color w:val="auto"/>
                <w:sz w:val="24"/>
                <w:szCs w:val="24"/>
              </w:rPr>
            </w:pPr>
          </w:p>
        </w:tc>
        <w:tc>
          <w:tcPr>
            <w:tcW w:w="1355" w:type="dxa"/>
            <w:tcBorders>
              <w:top w:val="single" w:color="000000" w:sz="4" w:space="0"/>
              <w:left w:val="single" w:color="000000" w:sz="4" w:space="0"/>
            </w:tcBorders>
          </w:tcPr>
          <w:p w14:paraId="7967EA41">
            <w:pPr>
              <w:pageBreakBefore w:val="0"/>
              <w:topLinePunct w:val="0"/>
              <w:bidi w:val="0"/>
              <w:spacing w:line="500" w:lineRule="exact"/>
              <w:ind w:left="0" w:leftChars="0" w:right="0" w:rightChars="0" w:firstLine="480" w:firstLineChars="200"/>
              <w:jc w:val="center"/>
              <w:rPr>
                <w:color w:val="auto"/>
                <w:sz w:val="24"/>
                <w:szCs w:val="24"/>
              </w:rPr>
            </w:pPr>
          </w:p>
        </w:tc>
      </w:tr>
    </w:tbl>
    <w:p w14:paraId="4ECC66CC">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说明：</w:t>
      </w:r>
    </w:p>
    <w:p w14:paraId="12832E08">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1.设备可以填写单台设备，也可以填写成套设备，并附上相对应的购买发票或相关证明。</w:t>
      </w:r>
    </w:p>
    <w:p w14:paraId="0E201523">
      <w:pPr>
        <w:pageBreakBefore w:val="0"/>
        <w:topLinePunct w:val="0"/>
        <w:bidi w:val="0"/>
        <w:spacing w:line="500" w:lineRule="exact"/>
        <w:ind w:left="0" w:leftChars="0" w:right="0" w:rightChars="0" w:firstLine="480" w:firstLineChars="200"/>
        <w:rPr>
          <w:rFonts w:hint="eastAsia"/>
          <w:color w:val="auto"/>
          <w:sz w:val="24"/>
          <w:szCs w:val="24"/>
          <w:lang w:eastAsia="zh-CN"/>
        </w:rPr>
      </w:pPr>
    </w:p>
    <w:p w14:paraId="3E8A645A">
      <w:pPr>
        <w:pageBreakBefore w:val="0"/>
        <w:topLinePunct w:val="0"/>
        <w:bidi w:val="0"/>
        <w:spacing w:line="500" w:lineRule="exact"/>
        <w:ind w:left="0" w:leftChars="0" w:right="0" w:rightChars="0" w:firstLine="480" w:firstLineChars="200"/>
        <w:jc w:val="both"/>
        <w:rPr>
          <w:rFonts w:hint="eastAsia"/>
          <w:color w:val="auto"/>
          <w:sz w:val="24"/>
          <w:szCs w:val="24"/>
          <w:lang w:val="en-US"/>
        </w:rPr>
      </w:pPr>
      <w:r>
        <w:rPr>
          <w:rFonts w:hint="eastAsia"/>
          <w:color w:val="auto"/>
          <w:sz w:val="24"/>
          <w:szCs w:val="24"/>
          <w:lang w:eastAsia="zh-CN"/>
        </w:rPr>
        <w:t>供应商（</w:t>
      </w:r>
      <w:r>
        <w:rPr>
          <w:rFonts w:hint="eastAsia"/>
          <w:color w:val="auto"/>
          <w:sz w:val="24"/>
          <w:szCs w:val="24"/>
          <w:lang w:val="en-US" w:eastAsia="zh-CN"/>
        </w:rPr>
        <w:t>公章</w:t>
      </w:r>
      <w:r>
        <w:rPr>
          <w:rFonts w:hint="eastAsia"/>
          <w:color w:val="auto"/>
          <w:sz w:val="24"/>
          <w:szCs w:val="24"/>
          <w:lang w:eastAsia="zh-CN"/>
        </w:rPr>
        <w:t>）：</w:t>
      </w:r>
    </w:p>
    <w:p w14:paraId="73669440">
      <w:pPr>
        <w:pageBreakBefore w:val="0"/>
        <w:topLinePunct w:val="0"/>
        <w:bidi w:val="0"/>
        <w:spacing w:line="500" w:lineRule="exact"/>
        <w:ind w:left="0" w:leftChars="0" w:right="0" w:rightChars="0" w:firstLine="480" w:firstLineChars="200"/>
        <w:jc w:val="both"/>
        <w:rPr>
          <w:rFonts w:hint="eastAsia"/>
          <w:color w:val="auto"/>
          <w:sz w:val="24"/>
          <w:szCs w:val="24"/>
          <w:lang w:val="zh-CN" w:eastAsia="zh-CN"/>
        </w:rPr>
      </w:pPr>
      <w:r>
        <w:rPr>
          <w:rFonts w:hint="eastAsia"/>
          <w:color w:val="auto"/>
          <w:sz w:val="24"/>
          <w:szCs w:val="24"/>
          <w:lang w:val="en-US" w:eastAsia="zh-CN"/>
        </w:rPr>
        <w:t>法定代表人或授权委托人（签字或盖章）：</w:t>
      </w:r>
    </w:p>
    <w:p w14:paraId="2823C1E1">
      <w:pPr>
        <w:pStyle w:val="12"/>
        <w:pageBreakBefore w:val="0"/>
        <w:tabs>
          <w:tab w:val="left" w:pos="3998"/>
          <w:tab w:val="left" w:pos="6318"/>
        </w:tabs>
        <w:topLinePunct w:val="0"/>
        <w:bidi w:val="0"/>
        <w:spacing w:line="500" w:lineRule="exact"/>
        <w:ind w:left="0" w:leftChars="0" w:right="0" w:rightChars="0" w:firstLine="480" w:firstLineChars="200"/>
        <w:rPr>
          <w:rFonts w:hint="eastAsia"/>
          <w:color w:val="auto"/>
          <w:sz w:val="24"/>
          <w:szCs w:val="24"/>
        </w:rPr>
      </w:pPr>
      <w:r>
        <w:rPr>
          <w:rFonts w:hint="eastAsia"/>
          <w:color w:val="auto"/>
          <w:sz w:val="24"/>
          <w:szCs w:val="24"/>
          <w:lang w:val="en-US" w:eastAsia="zh-CN"/>
        </w:rPr>
        <w:t>日期：</w:t>
      </w:r>
      <w:r>
        <w:rPr>
          <w:rFonts w:hint="eastAsia"/>
          <w:color w:val="auto"/>
          <w:sz w:val="24"/>
          <w:szCs w:val="24"/>
        </w:rPr>
        <w:t xml:space="preserve">年 </w:t>
      </w:r>
      <w:r>
        <w:rPr>
          <w:rFonts w:hint="eastAsia"/>
          <w:color w:val="auto"/>
          <w:sz w:val="24"/>
          <w:szCs w:val="24"/>
          <w:lang w:val="en-US" w:eastAsia="zh-CN"/>
        </w:rPr>
        <w:t xml:space="preserve">  </w:t>
      </w:r>
      <w:r>
        <w:rPr>
          <w:rFonts w:hint="eastAsia"/>
          <w:color w:val="auto"/>
          <w:sz w:val="24"/>
          <w:szCs w:val="24"/>
        </w:rPr>
        <w:t xml:space="preserve">月 </w:t>
      </w:r>
      <w:r>
        <w:rPr>
          <w:rFonts w:hint="eastAsia"/>
          <w:color w:val="auto"/>
          <w:sz w:val="24"/>
          <w:szCs w:val="24"/>
          <w:lang w:val="en-US" w:eastAsia="zh-CN"/>
        </w:rPr>
        <w:t xml:space="preserve">  </w:t>
      </w:r>
      <w:r>
        <w:rPr>
          <w:rFonts w:hint="eastAsia"/>
          <w:color w:val="auto"/>
          <w:sz w:val="24"/>
          <w:szCs w:val="24"/>
        </w:rPr>
        <w:t>日</w:t>
      </w:r>
    </w:p>
    <w:p w14:paraId="1B839671">
      <w:pPr>
        <w:pageBreakBefore w:val="0"/>
        <w:widowControl/>
        <w:wordWrap w:val="0"/>
        <w:topLinePunct w:val="0"/>
        <w:bidi w:val="0"/>
        <w:spacing w:line="500" w:lineRule="exact"/>
        <w:ind w:left="0" w:leftChars="0" w:right="0" w:rightChars="0" w:firstLine="562" w:firstLineChars="200"/>
        <w:jc w:val="center"/>
        <w:rPr>
          <w:rFonts w:hint="eastAsia" w:ascii="Arial" w:hAnsi="Arial" w:cs="Arial"/>
          <w:b/>
          <w:bCs/>
          <w:color w:val="auto"/>
          <w:sz w:val="28"/>
          <w:szCs w:val="28"/>
          <w:lang w:val="en-US" w:bidi="ar"/>
        </w:rPr>
      </w:pPr>
    </w:p>
    <w:p w14:paraId="6B1DA578">
      <w:pPr>
        <w:pStyle w:val="21"/>
        <w:pageBreakBefore w:val="0"/>
        <w:shd w:val="clear" w:color="auto" w:fill="auto"/>
        <w:topLinePunct w:val="0"/>
        <w:bidi w:val="0"/>
        <w:adjustRightInd w:val="0"/>
        <w:snapToGrid w:val="0"/>
        <w:spacing w:line="500" w:lineRule="exact"/>
        <w:ind w:left="0" w:leftChars="0" w:right="0" w:rightChars="0" w:firstLine="562" w:firstLineChars="200"/>
        <w:jc w:val="center"/>
        <w:rPr>
          <w:rFonts w:hint="eastAsia" w:ascii="宋体" w:hAnsi="宋体" w:eastAsia="宋体" w:cs="宋体"/>
          <w:b/>
          <w:bCs/>
          <w:color w:val="auto"/>
          <w:sz w:val="28"/>
          <w:szCs w:val="28"/>
          <w:lang w:val="en-US" w:eastAsia="zh-CN" w:bidi="zh-CN"/>
        </w:rPr>
      </w:pPr>
      <w:r>
        <w:rPr>
          <w:rFonts w:hint="eastAsia" w:ascii="宋体" w:hAnsi="宋体" w:eastAsia="宋体" w:cs="宋体"/>
          <w:b/>
          <w:bCs/>
          <w:color w:val="auto"/>
          <w:sz w:val="28"/>
          <w:szCs w:val="28"/>
          <w:lang w:val="en-US" w:eastAsia="zh-CN" w:bidi="zh-CN"/>
        </w:rPr>
        <w:t>4.4信用查询</w:t>
      </w:r>
    </w:p>
    <w:p w14:paraId="4F901A22">
      <w:pPr>
        <w:pStyle w:val="21"/>
        <w:pageBreakBefore w:val="0"/>
        <w:shd w:val="clear" w:color="auto" w:fill="auto"/>
        <w:topLinePunct w:val="0"/>
        <w:bidi w:val="0"/>
        <w:adjustRightInd w:val="0"/>
        <w:snapToGrid w:val="0"/>
        <w:spacing w:line="500" w:lineRule="exact"/>
        <w:ind w:left="0" w:leftChars="0" w:right="0" w:rightChars="0" w:firstLine="480" w:firstLineChars="200"/>
        <w:rPr>
          <w:rFonts w:hint="eastAsia" w:ascii="宋体" w:hAnsi="宋体" w:eastAsia="宋体" w:cs="宋体"/>
          <w:color w:val="auto"/>
          <w:sz w:val="24"/>
          <w:szCs w:val="22"/>
          <w:lang w:val="en-US" w:eastAsia="zh-CN" w:bidi="zh-CN"/>
        </w:rPr>
      </w:pPr>
      <w:r>
        <w:rPr>
          <w:rFonts w:hint="eastAsia" w:ascii="宋体" w:hAnsi="宋体" w:eastAsia="宋体" w:cs="宋体"/>
          <w:color w:val="auto"/>
          <w:sz w:val="24"/>
          <w:szCs w:val="22"/>
          <w:lang w:val="en-US" w:eastAsia="zh-CN" w:bidi="zh-CN"/>
        </w:rPr>
        <w:t>供应商不得为“信用中国”网站</w:t>
      </w:r>
      <w:r>
        <w:rPr>
          <w:rFonts w:hint="eastAsia" w:cs="宋体"/>
          <w:color w:val="auto"/>
          <w:sz w:val="24"/>
          <w:szCs w:val="22"/>
          <w:lang w:val="en-US" w:eastAsia="zh-CN" w:bidi="zh-CN"/>
        </w:rPr>
        <w:t>（</w:t>
      </w:r>
      <w:r>
        <w:rPr>
          <w:rFonts w:hint="eastAsia" w:ascii="宋体" w:hAnsi="宋体" w:eastAsia="宋体" w:cs="宋体"/>
          <w:color w:val="auto"/>
          <w:sz w:val="24"/>
          <w:szCs w:val="22"/>
          <w:lang w:val="en-US" w:eastAsia="zh-CN" w:bidi="zh-CN"/>
        </w:rPr>
        <w:t>www.creditchina.gov.cn </w:t>
      </w:r>
      <w:r>
        <w:rPr>
          <w:rFonts w:hint="eastAsia" w:cs="宋体"/>
          <w:color w:val="auto"/>
          <w:sz w:val="24"/>
          <w:szCs w:val="22"/>
          <w:lang w:val="en-US" w:eastAsia="zh-CN" w:bidi="zh-CN"/>
        </w:rPr>
        <w:t>）</w:t>
      </w:r>
      <w:r>
        <w:rPr>
          <w:rFonts w:hint="eastAsia" w:ascii="宋体" w:hAnsi="宋体" w:eastAsia="宋体" w:cs="宋体"/>
          <w:color w:val="auto"/>
          <w:sz w:val="24"/>
          <w:szCs w:val="22"/>
          <w:lang w:val="en-US" w:eastAsia="zh-CN" w:bidi="zh-CN"/>
        </w:rPr>
        <w:t>和中国政府采购网</w:t>
      </w:r>
      <w:r>
        <w:rPr>
          <w:rFonts w:hint="eastAsia" w:cs="宋体"/>
          <w:color w:val="auto"/>
          <w:sz w:val="24"/>
          <w:szCs w:val="22"/>
          <w:lang w:val="en-US" w:eastAsia="zh-CN" w:bidi="zh-CN"/>
        </w:rPr>
        <w:t>（</w:t>
      </w:r>
      <w:r>
        <w:rPr>
          <w:rFonts w:hint="eastAsia" w:ascii="宋体" w:hAnsi="宋体" w:eastAsia="宋体" w:cs="宋体"/>
          <w:color w:val="auto"/>
          <w:sz w:val="24"/>
          <w:szCs w:val="22"/>
          <w:lang w:val="en-US" w:eastAsia="zh-CN" w:bidi="zh-CN"/>
        </w:rPr>
        <w:t>www.ccgp.gov.cn </w:t>
      </w:r>
      <w:r>
        <w:rPr>
          <w:rFonts w:hint="eastAsia" w:cs="宋体"/>
          <w:color w:val="auto"/>
          <w:sz w:val="24"/>
          <w:szCs w:val="22"/>
          <w:lang w:val="en-US" w:eastAsia="zh-CN" w:bidi="zh-CN"/>
        </w:rPr>
        <w:t>）</w:t>
      </w:r>
      <w:r>
        <w:rPr>
          <w:rFonts w:hint="eastAsia" w:ascii="宋体" w:hAnsi="宋体" w:eastAsia="宋体" w:cs="宋体"/>
          <w:color w:val="auto"/>
          <w:sz w:val="24"/>
          <w:szCs w:val="22"/>
          <w:lang w:val="en-US" w:eastAsia="zh-CN" w:bidi="zh-CN"/>
        </w:rPr>
        <w:t>等渠道查询相关主体信用记录，对列入失信被执行人、重大税收违法失信主体、政府采购严重违法失信行为记录名单的供应商，将拒绝其参与政府采购活动；</w:t>
      </w:r>
    </w:p>
    <w:p w14:paraId="0573F933">
      <w:pPr>
        <w:pStyle w:val="21"/>
        <w:pageBreakBefore w:val="0"/>
        <w:shd w:val="clear" w:color="auto" w:fill="auto"/>
        <w:topLinePunct w:val="0"/>
        <w:bidi w:val="0"/>
        <w:adjustRightInd w:val="0"/>
        <w:snapToGrid w:val="0"/>
        <w:spacing w:line="500" w:lineRule="exact"/>
        <w:ind w:left="0" w:leftChars="0" w:right="0" w:rightChars="0" w:firstLine="482" w:firstLineChars="200"/>
        <w:rPr>
          <w:rFonts w:hint="eastAsia" w:ascii="仿宋" w:hAnsi="仿宋" w:eastAsia="仿宋" w:cs="仿宋"/>
          <w:color w:val="auto"/>
          <w:sz w:val="24"/>
          <w:szCs w:val="24"/>
          <w:highlight w:val="none"/>
        </w:rPr>
      </w:pPr>
      <w:r>
        <w:rPr>
          <w:rFonts w:hint="eastAsia" w:cs="宋体"/>
          <w:b/>
          <w:bCs/>
          <w:color w:val="auto"/>
          <w:sz w:val="24"/>
          <w:szCs w:val="22"/>
          <w:lang w:val="en-US" w:eastAsia="zh-CN" w:bidi="zh-CN"/>
        </w:rPr>
        <w:t>注：</w:t>
      </w:r>
      <w:r>
        <w:rPr>
          <w:rFonts w:hint="eastAsia" w:ascii="宋体" w:hAnsi="宋体" w:eastAsia="宋体" w:cs="宋体"/>
          <w:b/>
          <w:bCs/>
          <w:color w:val="auto"/>
          <w:sz w:val="24"/>
          <w:szCs w:val="22"/>
          <w:lang w:val="zh-CN" w:eastAsia="zh-CN" w:bidi="zh-CN"/>
        </w:rPr>
        <w:t>供应商无需提供，</w:t>
      </w:r>
      <w:r>
        <w:rPr>
          <w:rFonts w:hint="eastAsia" w:ascii="宋体" w:hAnsi="宋体" w:eastAsia="宋体" w:cs="宋体"/>
          <w:b/>
          <w:bCs/>
          <w:color w:val="auto"/>
          <w:sz w:val="24"/>
          <w:szCs w:val="22"/>
          <w:lang w:val="en-US" w:eastAsia="zh-CN" w:bidi="zh-CN"/>
        </w:rPr>
        <w:t>资格审查人员于资格审查环节查询相关信用记录，对列入失信被执行人、重大税收违法案件当事人名单、政府采购严重违法失信行为记录名单及其他不符合</w:t>
      </w:r>
      <w:r>
        <w:rPr>
          <w:rFonts w:hint="eastAsia" w:cs="宋体"/>
          <w:b/>
          <w:bCs/>
          <w:color w:val="auto"/>
          <w:sz w:val="24"/>
          <w:szCs w:val="22"/>
          <w:lang w:val="en-US" w:eastAsia="zh-CN" w:bidi="zh-CN"/>
        </w:rPr>
        <w:t>《中华人民共和国政府采购法》</w:t>
      </w:r>
      <w:r>
        <w:rPr>
          <w:rFonts w:hint="eastAsia" w:ascii="宋体" w:hAnsi="宋体" w:eastAsia="宋体" w:cs="宋体"/>
          <w:b/>
          <w:bCs/>
          <w:color w:val="auto"/>
          <w:sz w:val="24"/>
          <w:szCs w:val="22"/>
          <w:lang w:val="en-US" w:eastAsia="zh-CN" w:bidi="zh-CN"/>
        </w:rPr>
        <w:t>第二十二条规定的供应商，将拒绝其参与政府采购活动，查询结果以电子或纸质方式留存。</w:t>
      </w:r>
    </w:p>
    <w:p w14:paraId="64581D74">
      <w:pPr>
        <w:pageBreakBefore w:val="0"/>
        <w:widowControl/>
        <w:wordWrap w:val="0"/>
        <w:topLinePunct w:val="0"/>
        <w:bidi w:val="0"/>
        <w:spacing w:line="500" w:lineRule="exact"/>
        <w:ind w:left="0" w:leftChars="0" w:right="0" w:rightChars="0" w:firstLine="562" w:firstLineChars="200"/>
        <w:jc w:val="center"/>
        <w:rPr>
          <w:rFonts w:hint="eastAsia" w:ascii="Arial" w:hAnsi="Arial" w:cs="Arial"/>
          <w:b/>
          <w:bCs/>
          <w:color w:val="auto"/>
          <w:sz w:val="28"/>
          <w:szCs w:val="28"/>
          <w:lang w:val="en-US" w:bidi="ar"/>
        </w:rPr>
      </w:pPr>
    </w:p>
    <w:p w14:paraId="761C4455">
      <w:pPr>
        <w:pageBreakBefore w:val="0"/>
        <w:widowControl/>
        <w:wordWrap w:val="0"/>
        <w:topLinePunct w:val="0"/>
        <w:bidi w:val="0"/>
        <w:spacing w:line="500" w:lineRule="exact"/>
        <w:ind w:left="0" w:leftChars="0" w:right="0" w:rightChars="0" w:firstLine="562" w:firstLineChars="200"/>
        <w:jc w:val="center"/>
        <w:rPr>
          <w:rFonts w:hint="eastAsia" w:ascii="Arial" w:hAnsi="Arial" w:cs="Arial"/>
          <w:b/>
          <w:bCs/>
          <w:color w:val="auto"/>
          <w:sz w:val="28"/>
          <w:szCs w:val="28"/>
          <w:lang w:val="en-US" w:bidi="ar"/>
        </w:rPr>
      </w:pPr>
    </w:p>
    <w:p w14:paraId="52F04DA0">
      <w:pPr>
        <w:pageBreakBefore w:val="0"/>
        <w:widowControl/>
        <w:wordWrap w:val="0"/>
        <w:topLinePunct w:val="0"/>
        <w:bidi w:val="0"/>
        <w:spacing w:line="500" w:lineRule="exact"/>
        <w:ind w:left="0" w:leftChars="0" w:right="0" w:rightChars="0" w:firstLine="562" w:firstLineChars="200"/>
        <w:jc w:val="center"/>
        <w:rPr>
          <w:rFonts w:hint="eastAsia" w:ascii="Arial" w:hAnsi="Arial" w:cs="Arial"/>
          <w:b/>
          <w:bCs/>
          <w:color w:val="auto"/>
          <w:sz w:val="28"/>
          <w:szCs w:val="28"/>
          <w:lang w:val="en-US" w:bidi="ar"/>
        </w:rPr>
      </w:pPr>
    </w:p>
    <w:p w14:paraId="45FB0C07">
      <w:pPr>
        <w:pageBreakBefore w:val="0"/>
        <w:widowControl/>
        <w:wordWrap w:val="0"/>
        <w:topLinePunct w:val="0"/>
        <w:bidi w:val="0"/>
        <w:spacing w:line="500" w:lineRule="exact"/>
        <w:ind w:left="0" w:leftChars="0" w:right="0" w:rightChars="0" w:firstLine="562" w:firstLineChars="200"/>
        <w:jc w:val="center"/>
        <w:rPr>
          <w:rFonts w:hint="eastAsia" w:ascii="Arial" w:hAnsi="Arial" w:cs="Arial"/>
          <w:b/>
          <w:bCs/>
          <w:color w:val="auto"/>
          <w:sz w:val="28"/>
          <w:szCs w:val="28"/>
          <w:lang w:val="en-US" w:bidi="ar"/>
        </w:rPr>
      </w:pPr>
    </w:p>
    <w:p w14:paraId="24961E1F">
      <w:pPr>
        <w:pageBreakBefore w:val="0"/>
        <w:widowControl/>
        <w:wordWrap w:val="0"/>
        <w:topLinePunct w:val="0"/>
        <w:bidi w:val="0"/>
        <w:spacing w:line="500" w:lineRule="exact"/>
        <w:ind w:left="0" w:leftChars="0" w:right="0" w:rightChars="0" w:firstLine="562" w:firstLineChars="200"/>
        <w:jc w:val="center"/>
        <w:rPr>
          <w:rFonts w:hint="eastAsia" w:ascii="Arial" w:hAnsi="Arial" w:cs="Arial"/>
          <w:b/>
          <w:bCs/>
          <w:color w:val="auto"/>
          <w:sz w:val="28"/>
          <w:szCs w:val="28"/>
          <w:lang w:val="en-US" w:bidi="ar"/>
        </w:rPr>
      </w:pPr>
    </w:p>
    <w:p w14:paraId="1F8F60CB">
      <w:pPr>
        <w:pageBreakBefore w:val="0"/>
        <w:widowControl/>
        <w:wordWrap w:val="0"/>
        <w:topLinePunct w:val="0"/>
        <w:bidi w:val="0"/>
        <w:spacing w:line="500" w:lineRule="exact"/>
        <w:ind w:left="0" w:leftChars="0" w:right="0" w:rightChars="0" w:firstLine="562" w:firstLineChars="200"/>
        <w:jc w:val="center"/>
        <w:rPr>
          <w:rFonts w:hint="eastAsia" w:ascii="Arial" w:hAnsi="Arial" w:cs="Arial"/>
          <w:b/>
          <w:bCs/>
          <w:color w:val="auto"/>
          <w:sz w:val="28"/>
          <w:szCs w:val="28"/>
          <w:lang w:val="en-US" w:bidi="ar"/>
        </w:rPr>
      </w:pPr>
    </w:p>
    <w:p w14:paraId="49263B2A">
      <w:pPr>
        <w:pageBreakBefore w:val="0"/>
        <w:widowControl/>
        <w:wordWrap w:val="0"/>
        <w:topLinePunct w:val="0"/>
        <w:bidi w:val="0"/>
        <w:spacing w:line="500" w:lineRule="exact"/>
        <w:ind w:left="0" w:leftChars="0" w:right="0" w:rightChars="0" w:firstLine="562" w:firstLineChars="200"/>
        <w:jc w:val="center"/>
        <w:rPr>
          <w:rFonts w:hint="eastAsia" w:ascii="Arial" w:hAnsi="Arial" w:cs="Arial"/>
          <w:b/>
          <w:bCs/>
          <w:color w:val="auto"/>
          <w:sz w:val="28"/>
          <w:szCs w:val="28"/>
          <w:lang w:val="en-US" w:bidi="ar"/>
        </w:rPr>
      </w:pPr>
    </w:p>
    <w:p w14:paraId="3CFE3B86">
      <w:pPr>
        <w:pageBreakBefore w:val="0"/>
        <w:widowControl/>
        <w:wordWrap w:val="0"/>
        <w:topLinePunct w:val="0"/>
        <w:bidi w:val="0"/>
        <w:spacing w:line="500" w:lineRule="exact"/>
        <w:ind w:left="0" w:leftChars="0" w:right="0" w:rightChars="0" w:firstLine="562" w:firstLineChars="200"/>
        <w:jc w:val="center"/>
        <w:rPr>
          <w:rFonts w:hint="eastAsia" w:ascii="Arial" w:hAnsi="Arial" w:cs="Arial"/>
          <w:b/>
          <w:bCs/>
          <w:color w:val="auto"/>
          <w:sz w:val="28"/>
          <w:szCs w:val="28"/>
          <w:lang w:val="en-US" w:bidi="ar"/>
        </w:rPr>
      </w:pPr>
    </w:p>
    <w:p w14:paraId="1F5E0589">
      <w:pPr>
        <w:pStyle w:val="12"/>
        <w:rPr>
          <w:rFonts w:hint="eastAsia" w:ascii="Arial" w:hAnsi="Arial" w:cs="Arial"/>
          <w:b/>
          <w:bCs/>
          <w:color w:val="auto"/>
          <w:sz w:val="28"/>
          <w:szCs w:val="28"/>
          <w:lang w:val="en-US" w:bidi="ar"/>
        </w:rPr>
      </w:pPr>
    </w:p>
    <w:p w14:paraId="5FB7B5AB">
      <w:pPr>
        <w:rPr>
          <w:rFonts w:hint="eastAsia" w:ascii="Arial" w:hAnsi="Arial" w:cs="Arial"/>
          <w:b/>
          <w:bCs/>
          <w:color w:val="auto"/>
          <w:sz w:val="28"/>
          <w:szCs w:val="28"/>
          <w:lang w:val="en-US" w:bidi="ar"/>
        </w:rPr>
      </w:pPr>
    </w:p>
    <w:p w14:paraId="61B439F7">
      <w:pPr>
        <w:pStyle w:val="12"/>
        <w:rPr>
          <w:rFonts w:hint="eastAsia" w:ascii="Arial" w:hAnsi="Arial" w:cs="Arial"/>
          <w:b/>
          <w:bCs/>
          <w:color w:val="auto"/>
          <w:sz w:val="28"/>
          <w:szCs w:val="28"/>
          <w:lang w:val="en-US" w:bidi="ar"/>
        </w:rPr>
      </w:pPr>
    </w:p>
    <w:p w14:paraId="1E5A66CF">
      <w:pPr>
        <w:rPr>
          <w:rFonts w:hint="eastAsia" w:ascii="Arial" w:hAnsi="Arial" w:cs="Arial"/>
          <w:b/>
          <w:bCs/>
          <w:color w:val="auto"/>
          <w:sz w:val="28"/>
          <w:szCs w:val="28"/>
          <w:lang w:val="en-US" w:bidi="ar"/>
        </w:rPr>
      </w:pPr>
    </w:p>
    <w:p w14:paraId="5F39C4D5">
      <w:pPr>
        <w:pStyle w:val="12"/>
        <w:rPr>
          <w:rFonts w:hint="eastAsia" w:ascii="Arial" w:hAnsi="Arial" w:cs="Arial"/>
          <w:b/>
          <w:bCs/>
          <w:color w:val="auto"/>
          <w:sz w:val="28"/>
          <w:szCs w:val="28"/>
          <w:lang w:val="en-US" w:bidi="ar"/>
        </w:rPr>
      </w:pPr>
    </w:p>
    <w:p w14:paraId="5CB03004">
      <w:pPr>
        <w:rPr>
          <w:rFonts w:hint="eastAsia" w:ascii="Arial" w:hAnsi="Arial" w:cs="Arial"/>
          <w:b/>
          <w:bCs/>
          <w:color w:val="auto"/>
          <w:sz w:val="28"/>
          <w:szCs w:val="28"/>
          <w:lang w:val="en-US" w:bidi="ar"/>
        </w:rPr>
      </w:pPr>
    </w:p>
    <w:p w14:paraId="12341F54">
      <w:pPr>
        <w:pStyle w:val="12"/>
        <w:rPr>
          <w:rFonts w:hint="eastAsia"/>
          <w:color w:val="auto"/>
          <w:lang w:val="en-US"/>
        </w:rPr>
      </w:pPr>
    </w:p>
    <w:p w14:paraId="3A4DC415">
      <w:pPr>
        <w:pStyle w:val="12"/>
        <w:pageBreakBefore w:val="0"/>
        <w:topLinePunct w:val="0"/>
        <w:bidi w:val="0"/>
        <w:spacing w:line="500" w:lineRule="exact"/>
        <w:ind w:left="0" w:leftChars="0" w:right="0" w:rightChars="0" w:firstLine="562" w:firstLineChars="200"/>
        <w:rPr>
          <w:rFonts w:hint="eastAsia" w:ascii="Arial" w:hAnsi="Arial" w:cs="Arial"/>
          <w:b/>
          <w:bCs/>
          <w:color w:val="auto"/>
          <w:sz w:val="28"/>
          <w:szCs w:val="28"/>
          <w:lang w:val="en-US" w:bidi="ar"/>
        </w:rPr>
      </w:pPr>
    </w:p>
    <w:p w14:paraId="2B3A8EA9">
      <w:pPr>
        <w:pageBreakBefore w:val="0"/>
        <w:topLinePunct w:val="0"/>
        <w:bidi w:val="0"/>
        <w:spacing w:line="500" w:lineRule="exact"/>
        <w:ind w:left="0" w:leftChars="0" w:right="0" w:rightChars="0" w:firstLine="440" w:firstLineChars="200"/>
        <w:rPr>
          <w:rFonts w:hint="eastAsia"/>
          <w:color w:val="auto"/>
          <w:lang w:val="en-US"/>
        </w:rPr>
      </w:pPr>
    </w:p>
    <w:p w14:paraId="4EAF5267">
      <w:pPr>
        <w:rPr>
          <w:rFonts w:hint="eastAsia"/>
          <w:color w:val="auto"/>
          <w:lang w:val="en-US" w:eastAsia="zh-CN"/>
        </w:rPr>
      </w:pPr>
      <w:r>
        <w:rPr>
          <w:rFonts w:hint="eastAsia" w:ascii="Arial" w:hAnsi="Arial" w:cs="Arial"/>
          <w:b/>
          <w:bCs/>
          <w:color w:val="auto"/>
          <w:sz w:val="28"/>
          <w:szCs w:val="28"/>
          <w:lang w:val="en-US" w:bidi="ar"/>
        </w:rPr>
        <w:br w:type="page"/>
      </w:r>
    </w:p>
    <w:p w14:paraId="1D2536E0">
      <w:pPr>
        <w:pStyle w:val="22"/>
        <w:pageBreakBefore w:val="0"/>
        <w:shd w:val="clear" w:color="auto" w:fill="auto"/>
        <w:topLinePunct w:val="0"/>
        <w:bidi w:val="0"/>
        <w:spacing w:line="500" w:lineRule="exact"/>
        <w:ind w:left="0" w:leftChars="0" w:right="0" w:rightChars="0" w:firstLine="482" w:firstLineChars="200"/>
        <w:rPr>
          <w:rFonts w:hint="eastAsia" w:ascii="宋体" w:hAnsi="宋体" w:eastAsia="宋体" w:cs="宋体"/>
          <w:b/>
          <w:bCs/>
          <w:color w:val="auto"/>
          <w:sz w:val="24"/>
          <w:szCs w:val="22"/>
          <w:lang w:val="en-US" w:eastAsia="zh-CN" w:bidi="zh-CN"/>
        </w:rPr>
      </w:pPr>
      <w:r>
        <w:rPr>
          <w:rFonts w:hint="eastAsia" w:cs="宋体"/>
          <w:b/>
          <w:bCs/>
          <w:color w:val="auto"/>
          <w:sz w:val="24"/>
          <w:szCs w:val="22"/>
          <w:lang w:val="en-US" w:eastAsia="zh-CN" w:bidi="zh-CN"/>
        </w:rPr>
        <w:t xml:space="preserve">4.5 </w:t>
      </w:r>
      <w:r>
        <w:rPr>
          <w:rFonts w:hint="eastAsia" w:ascii="宋体" w:hAnsi="宋体" w:eastAsia="宋体" w:cs="宋体"/>
          <w:b/>
          <w:bCs/>
          <w:color w:val="auto"/>
          <w:sz w:val="24"/>
          <w:szCs w:val="22"/>
          <w:lang w:val="en-US" w:eastAsia="zh-CN" w:bidi="zh-CN"/>
        </w:rPr>
        <w:t>控股管理关系：单位负责人为同一人或者存在直接控股、管理关系的供应商，不得参加同一合同下的政府采购活动；</w:t>
      </w:r>
    </w:p>
    <w:p w14:paraId="6FD4F065">
      <w:pPr>
        <w:rPr>
          <w:rFonts w:hint="eastAsia"/>
          <w:color w:val="auto"/>
          <w:lang w:val="en-US" w:eastAsia="zh-CN"/>
        </w:rPr>
      </w:pPr>
    </w:p>
    <w:p w14:paraId="4E267173">
      <w:pPr>
        <w:pageBreakBefore w:val="0"/>
        <w:topLinePunct w:val="0"/>
        <w:bidi w:val="0"/>
        <w:spacing w:line="500" w:lineRule="exact"/>
        <w:ind w:left="0" w:leftChars="0" w:right="0" w:rightChars="0" w:firstLine="562" w:firstLineChars="200"/>
        <w:jc w:val="center"/>
        <w:rPr>
          <w:rFonts w:hint="eastAsia"/>
          <w:b/>
          <w:bCs/>
          <w:color w:val="auto"/>
          <w:sz w:val="28"/>
          <w:szCs w:val="28"/>
          <w:lang w:val="en-US" w:eastAsia="zh-CN"/>
        </w:rPr>
      </w:pPr>
      <w:r>
        <w:rPr>
          <w:rFonts w:hint="eastAsia"/>
          <w:b/>
          <w:bCs/>
          <w:color w:val="auto"/>
          <w:sz w:val="28"/>
          <w:szCs w:val="28"/>
          <w:lang w:val="en-US" w:eastAsia="zh-CN"/>
        </w:rPr>
        <w:t>供应商控股管理关系承诺书</w:t>
      </w:r>
    </w:p>
    <w:p w14:paraId="11884652">
      <w:pPr>
        <w:pageBreakBefore w:val="0"/>
        <w:topLinePunct w:val="0"/>
        <w:bidi w:val="0"/>
        <w:spacing w:line="500" w:lineRule="exact"/>
        <w:ind w:left="0" w:leftChars="0" w:right="0" w:rightChars="0" w:firstLine="480" w:firstLineChars="200"/>
        <w:rPr>
          <w:rFonts w:hint="eastAsia"/>
          <w:color w:val="auto"/>
          <w:sz w:val="24"/>
          <w:lang w:val="en-US" w:eastAsia="zh-CN"/>
        </w:rPr>
      </w:pPr>
      <w:r>
        <w:rPr>
          <w:rFonts w:hint="eastAsia"/>
          <w:color w:val="auto"/>
          <w:sz w:val="24"/>
          <w:lang w:val="en-US" w:eastAsia="zh-CN"/>
        </w:rPr>
        <w:t>1.供应商在本项目投标中，不存在与其他供应商负责人为同一人，有控股、管理等关联关系承诺：</w:t>
      </w:r>
    </w:p>
    <w:p w14:paraId="71312E4D">
      <w:pPr>
        <w:pageBreakBefore w:val="0"/>
        <w:topLinePunct w:val="0"/>
        <w:bidi w:val="0"/>
        <w:spacing w:line="500" w:lineRule="exact"/>
        <w:ind w:left="0" w:leftChars="0" w:right="0" w:rightChars="0" w:firstLine="480" w:firstLineChars="200"/>
        <w:rPr>
          <w:rFonts w:hint="eastAsia"/>
          <w:color w:val="auto"/>
          <w:sz w:val="24"/>
          <w:lang w:val="en-US" w:eastAsia="zh-CN"/>
        </w:rPr>
      </w:pPr>
      <w:r>
        <w:rPr>
          <w:rFonts w:hint="eastAsia"/>
          <w:color w:val="auto"/>
          <w:sz w:val="24"/>
          <w:lang w:val="en-US" w:eastAsia="zh-CN"/>
        </w:rPr>
        <w:t>1.1管理关系说明：</w:t>
      </w:r>
    </w:p>
    <w:p w14:paraId="4A48DFD4">
      <w:pPr>
        <w:pageBreakBefore w:val="0"/>
        <w:topLinePunct w:val="0"/>
        <w:bidi w:val="0"/>
        <w:spacing w:line="500" w:lineRule="exact"/>
        <w:ind w:left="0" w:leftChars="0" w:right="0" w:rightChars="0" w:firstLine="480" w:firstLineChars="200"/>
        <w:rPr>
          <w:rFonts w:hint="eastAsia"/>
          <w:color w:val="auto"/>
          <w:sz w:val="24"/>
          <w:lang w:val="en-US" w:eastAsia="zh-CN"/>
        </w:rPr>
      </w:pPr>
      <w:r>
        <w:rPr>
          <w:rFonts w:hint="eastAsia"/>
          <w:color w:val="auto"/>
          <w:sz w:val="24"/>
          <w:lang w:val="en-US" w:eastAsia="zh-CN"/>
        </w:rPr>
        <w:t>我单位管理的具有独立法人的下属单位有</w:t>
      </w:r>
      <w:r>
        <w:rPr>
          <w:rFonts w:hint="eastAsia"/>
          <w:color w:val="auto"/>
          <w:sz w:val="24"/>
          <w:u w:val="single"/>
          <w:lang w:val="en-US" w:eastAsia="zh-CN"/>
        </w:rPr>
        <w:t xml:space="preserve">                 </w:t>
      </w:r>
      <w:r>
        <w:rPr>
          <w:rFonts w:hint="eastAsia"/>
          <w:color w:val="auto"/>
          <w:sz w:val="24"/>
          <w:lang w:val="en-US" w:eastAsia="zh-CN"/>
        </w:rPr>
        <w:t>。</w:t>
      </w:r>
    </w:p>
    <w:p w14:paraId="362D1AC2">
      <w:pPr>
        <w:pageBreakBefore w:val="0"/>
        <w:topLinePunct w:val="0"/>
        <w:bidi w:val="0"/>
        <w:spacing w:line="500" w:lineRule="exact"/>
        <w:ind w:left="0" w:leftChars="0" w:right="0" w:rightChars="0" w:firstLine="480" w:firstLineChars="200"/>
        <w:rPr>
          <w:rFonts w:hint="eastAsia"/>
          <w:color w:val="auto"/>
          <w:sz w:val="24"/>
          <w:lang w:val="en-US" w:eastAsia="zh-CN"/>
        </w:rPr>
      </w:pPr>
      <w:r>
        <w:rPr>
          <w:rFonts w:hint="eastAsia"/>
          <w:color w:val="auto"/>
          <w:sz w:val="24"/>
          <w:lang w:val="en-US" w:eastAsia="zh-CN"/>
        </w:rPr>
        <w:t>我单位的上级管理单位有</w:t>
      </w:r>
      <w:r>
        <w:rPr>
          <w:rFonts w:hint="eastAsia"/>
          <w:color w:val="auto"/>
          <w:sz w:val="24"/>
          <w:u w:val="single"/>
          <w:lang w:val="en-US" w:eastAsia="zh-CN"/>
        </w:rPr>
        <w:t xml:space="preserve">                               </w:t>
      </w:r>
      <w:r>
        <w:rPr>
          <w:rFonts w:hint="eastAsia"/>
          <w:color w:val="auto"/>
          <w:sz w:val="24"/>
          <w:lang w:val="en-US" w:eastAsia="zh-CN"/>
        </w:rPr>
        <w:t>。</w:t>
      </w:r>
    </w:p>
    <w:p w14:paraId="56044233">
      <w:pPr>
        <w:pageBreakBefore w:val="0"/>
        <w:topLinePunct w:val="0"/>
        <w:bidi w:val="0"/>
        <w:spacing w:line="500" w:lineRule="exact"/>
        <w:ind w:left="0" w:leftChars="0" w:right="0" w:rightChars="0" w:firstLine="480" w:firstLineChars="200"/>
        <w:rPr>
          <w:rFonts w:hint="eastAsia"/>
          <w:color w:val="auto"/>
          <w:sz w:val="24"/>
          <w:lang w:val="en-US" w:eastAsia="zh-CN"/>
        </w:rPr>
      </w:pPr>
      <w:r>
        <w:rPr>
          <w:rFonts w:hint="eastAsia"/>
          <w:color w:val="auto"/>
          <w:sz w:val="24"/>
          <w:lang w:val="en-US" w:eastAsia="zh-CN"/>
        </w:rPr>
        <w:t>1.2股权关系说明：</w:t>
      </w:r>
    </w:p>
    <w:p w14:paraId="50668997">
      <w:pPr>
        <w:pageBreakBefore w:val="0"/>
        <w:topLinePunct w:val="0"/>
        <w:bidi w:val="0"/>
        <w:spacing w:line="500" w:lineRule="exact"/>
        <w:ind w:left="0" w:leftChars="0" w:right="0" w:rightChars="0" w:firstLine="480" w:firstLineChars="200"/>
        <w:rPr>
          <w:rFonts w:hint="eastAsia"/>
          <w:color w:val="auto"/>
          <w:sz w:val="24"/>
          <w:lang w:val="en-US" w:eastAsia="zh-CN"/>
        </w:rPr>
      </w:pPr>
      <w:r>
        <w:rPr>
          <w:rFonts w:hint="eastAsia"/>
          <w:color w:val="auto"/>
          <w:sz w:val="24"/>
          <w:lang w:val="en-US" w:eastAsia="zh-CN"/>
        </w:rPr>
        <w:t>我单位控股的单位有</w:t>
      </w:r>
      <w:r>
        <w:rPr>
          <w:rFonts w:hint="eastAsia"/>
          <w:color w:val="auto"/>
          <w:sz w:val="24"/>
          <w:u w:val="single"/>
          <w:lang w:val="en-US" w:eastAsia="zh-CN"/>
        </w:rPr>
        <w:t xml:space="preserve">                                   </w:t>
      </w:r>
      <w:r>
        <w:rPr>
          <w:rFonts w:hint="eastAsia"/>
          <w:color w:val="auto"/>
          <w:sz w:val="24"/>
          <w:lang w:val="en-US" w:eastAsia="zh-CN"/>
        </w:rPr>
        <w:t>。</w:t>
      </w:r>
    </w:p>
    <w:p w14:paraId="2D5F82C0">
      <w:pPr>
        <w:pageBreakBefore w:val="0"/>
        <w:topLinePunct w:val="0"/>
        <w:bidi w:val="0"/>
        <w:spacing w:line="500" w:lineRule="exact"/>
        <w:ind w:left="0" w:leftChars="0" w:right="0" w:rightChars="0" w:firstLine="480" w:firstLineChars="200"/>
        <w:rPr>
          <w:rFonts w:hint="eastAsia"/>
          <w:color w:val="auto"/>
          <w:sz w:val="24"/>
          <w:lang w:val="en-US" w:eastAsia="zh-CN"/>
        </w:rPr>
      </w:pPr>
      <w:r>
        <w:rPr>
          <w:rFonts w:hint="eastAsia"/>
          <w:color w:val="auto"/>
          <w:sz w:val="24"/>
          <w:lang w:val="en-US" w:eastAsia="zh-CN"/>
        </w:rPr>
        <w:t>我单位被</w:t>
      </w:r>
      <w:r>
        <w:rPr>
          <w:rFonts w:hint="eastAsia"/>
          <w:color w:val="auto"/>
          <w:sz w:val="24"/>
          <w:u w:val="single"/>
          <w:lang w:val="en-US" w:eastAsia="zh-CN"/>
        </w:rPr>
        <w:t xml:space="preserve">                                      </w:t>
      </w:r>
      <w:r>
        <w:rPr>
          <w:rFonts w:hint="eastAsia"/>
          <w:color w:val="auto"/>
          <w:sz w:val="24"/>
          <w:lang w:val="en-US" w:eastAsia="zh-CN"/>
        </w:rPr>
        <w:t>单位控股。</w:t>
      </w:r>
    </w:p>
    <w:p w14:paraId="174789B7">
      <w:pPr>
        <w:pageBreakBefore w:val="0"/>
        <w:topLinePunct w:val="0"/>
        <w:bidi w:val="0"/>
        <w:spacing w:line="500" w:lineRule="exact"/>
        <w:ind w:left="0" w:leftChars="0" w:right="0" w:rightChars="0" w:firstLine="480" w:firstLineChars="200"/>
        <w:rPr>
          <w:rFonts w:hint="eastAsia"/>
          <w:color w:val="auto"/>
          <w:sz w:val="24"/>
          <w:lang w:val="en-US" w:eastAsia="zh-CN"/>
        </w:rPr>
      </w:pPr>
      <w:r>
        <w:rPr>
          <w:rFonts w:hint="eastAsia"/>
          <w:color w:val="auto"/>
          <w:sz w:val="24"/>
          <w:lang w:val="en-US" w:eastAsia="zh-CN"/>
        </w:rPr>
        <w:t>1.3单位负责人：</w:t>
      </w:r>
      <w:r>
        <w:rPr>
          <w:rFonts w:hint="eastAsia"/>
          <w:color w:val="auto"/>
          <w:sz w:val="24"/>
          <w:u w:val="single"/>
          <w:lang w:val="en-US" w:eastAsia="zh-CN"/>
        </w:rPr>
        <w:t xml:space="preserve">                                       </w:t>
      </w:r>
    </w:p>
    <w:p w14:paraId="558562D3">
      <w:pPr>
        <w:pageBreakBefore w:val="0"/>
        <w:topLinePunct w:val="0"/>
        <w:bidi w:val="0"/>
        <w:spacing w:line="500" w:lineRule="exact"/>
        <w:ind w:left="0" w:leftChars="0" w:right="0" w:rightChars="0" w:firstLine="480" w:firstLineChars="200"/>
        <w:rPr>
          <w:rFonts w:hint="eastAsia"/>
          <w:color w:val="auto"/>
          <w:sz w:val="24"/>
          <w:u w:val="single"/>
          <w:lang w:val="en-US" w:eastAsia="zh-CN"/>
        </w:rPr>
      </w:pPr>
      <w:r>
        <w:rPr>
          <w:rFonts w:hint="eastAsia"/>
          <w:color w:val="auto"/>
          <w:sz w:val="24"/>
          <w:lang w:val="en-US" w:eastAsia="zh-CN"/>
        </w:rPr>
        <w:t>2.其他与本项目有关的利害关系说明：</w:t>
      </w:r>
      <w:r>
        <w:rPr>
          <w:rFonts w:hint="eastAsia"/>
          <w:color w:val="auto"/>
          <w:sz w:val="24"/>
          <w:u w:val="single"/>
          <w:lang w:val="en-US" w:eastAsia="zh-CN"/>
        </w:rPr>
        <w:t xml:space="preserve">                    </w:t>
      </w:r>
    </w:p>
    <w:p w14:paraId="1C47032A">
      <w:pPr>
        <w:pageBreakBefore w:val="0"/>
        <w:topLinePunct w:val="0"/>
        <w:bidi w:val="0"/>
        <w:spacing w:line="500" w:lineRule="exact"/>
        <w:ind w:left="0" w:leftChars="0" w:right="0" w:rightChars="0" w:firstLine="480" w:firstLineChars="200"/>
        <w:rPr>
          <w:rFonts w:hint="eastAsia"/>
          <w:color w:val="auto"/>
          <w:sz w:val="24"/>
          <w:lang w:val="en-US" w:eastAsia="zh-CN"/>
        </w:rPr>
      </w:pPr>
      <w:r>
        <w:rPr>
          <w:rFonts w:hint="eastAsia"/>
          <w:color w:val="auto"/>
          <w:sz w:val="24"/>
          <w:lang w:val="en-US" w:eastAsia="zh-CN"/>
        </w:rPr>
        <w:t>3.我单位承诺以上说明真实有效，无虚假内容或隐瞒。</w:t>
      </w:r>
    </w:p>
    <w:p w14:paraId="24D38241">
      <w:pPr>
        <w:pageBreakBefore w:val="0"/>
        <w:topLinePunct w:val="0"/>
        <w:bidi w:val="0"/>
        <w:spacing w:line="500" w:lineRule="exact"/>
        <w:ind w:left="0" w:leftChars="0" w:right="0" w:rightChars="0" w:firstLine="480" w:firstLineChars="200"/>
        <w:rPr>
          <w:rFonts w:hint="eastAsia"/>
          <w:color w:val="auto"/>
          <w:sz w:val="24"/>
          <w:lang w:val="en-US" w:eastAsia="zh-CN"/>
        </w:rPr>
      </w:pPr>
    </w:p>
    <w:p w14:paraId="644880EB">
      <w:pPr>
        <w:pageBreakBefore w:val="0"/>
        <w:topLinePunct w:val="0"/>
        <w:bidi w:val="0"/>
        <w:spacing w:line="500" w:lineRule="exact"/>
        <w:ind w:left="0" w:leftChars="0" w:right="0" w:rightChars="0" w:firstLine="480" w:firstLineChars="200"/>
        <w:jc w:val="both"/>
        <w:rPr>
          <w:rFonts w:hint="eastAsia"/>
          <w:color w:val="auto"/>
          <w:sz w:val="24"/>
          <w:szCs w:val="24"/>
          <w:lang w:val="en-US"/>
        </w:rPr>
      </w:pPr>
      <w:r>
        <w:rPr>
          <w:rFonts w:hint="eastAsia"/>
          <w:color w:val="auto"/>
          <w:sz w:val="24"/>
          <w:szCs w:val="24"/>
          <w:lang w:eastAsia="zh-CN"/>
        </w:rPr>
        <w:t>供应商（</w:t>
      </w:r>
      <w:r>
        <w:rPr>
          <w:rFonts w:hint="eastAsia"/>
          <w:color w:val="auto"/>
          <w:sz w:val="24"/>
          <w:szCs w:val="24"/>
          <w:lang w:val="en-US" w:eastAsia="zh-CN"/>
        </w:rPr>
        <w:t>公章</w:t>
      </w:r>
      <w:r>
        <w:rPr>
          <w:rFonts w:hint="eastAsia"/>
          <w:color w:val="auto"/>
          <w:sz w:val="24"/>
          <w:szCs w:val="24"/>
          <w:lang w:eastAsia="zh-CN"/>
        </w:rPr>
        <w:t>）：</w:t>
      </w:r>
    </w:p>
    <w:p w14:paraId="7D18E32E">
      <w:pPr>
        <w:pageBreakBefore w:val="0"/>
        <w:topLinePunct w:val="0"/>
        <w:bidi w:val="0"/>
        <w:spacing w:line="500" w:lineRule="exact"/>
        <w:ind w:left="0" w:leftChars="0" w:right="0" w:rightChars="0" w:firstLine="480" w:firstLineChars="200"/>
        <w:jc w:val="both"/>
        <w:rPr>
          <w:rFonts w:hint="eastAsia"/>
          <w:color w:val="auto"/>
          <w:sz w:val="24"/>
          <w:szCs w:val="24"/>
          <w:lang w:val="zh-CN" w:eastAsia="zh-CN"/>
        </w:rPr>
      </w:pPr>
      <w:r>
        <w:rPr>
          <w:rFonts w:hint="eastAsia"/>
          <w:color w:val="auto"/>
          <w:sz w:val="24"/>
          <w:szCs w:val="24"/>
          <w:lang w:val="en-US" w:eastAsia="zh-CN"/>
        </w:rPr>
        <w:t>法定代表人或授权委托人（签字或盖章）：</w:t>
      </w:r>
    </w:p>
    <w:p w14:paraId="4D688094">
      <w:pPr>
        <w:pStyle w:val="12"/>
        <w:pageBreakBefore w:val="0"/>
        <w:tabs>
          <w:tab w:val="left" w:pos="3998"/>
          <w:tab w:val="left" w:pos="6318"/>
        </w:tabs>
        <w:topLinePunct w:val="0"/>
        <w:bidi w:val="0"/>
        <w:spacing w:line="500" w:lineRule="exact"/>
        <w:ind w:left="0" w:leftChars="0" w:right="0" w:rightChars="0" w:firstLine="480" w:firstLineChars="200"/>
        <w:rPr>
          <w:rFonts w:hint="eastAsia"/>
          <w:color w:val="auto"/>
          <w:sz w:val="24"/>
          <w:szCs w:val="24"/>
        </w:rPr>
      </w:pPr>
      <w:r>
        <w:rPr>
          <w:rFonts w:hint="eastAsia"/>
          <w:color w:val="auto"/>
          <w:sz w:val="24"/>
          <w:szCs w:val="24"/>
          <w:lang w:val="en-US" w:eastAsia="zh-CN"/>
        </w:rPr>
        <w:t>日期：</w:t>
      </w:r>
      <w:r>
        <w:rPr>
          <w:rFonts w:hint="eastAsia"/>
          <w:color w:val="auto"/>
          <w:sz w:val="24"/>
          <w:szCs w:val="24"/>
        </w:rPr>
        <w:t xml:space="preserve">年 </w:t>
      </w:r>
      <w:r>
        <w:rPr>
          <w:rFonts w:hint="eastAsia"/>
          <w:color w:val="auto"/>
          <w:sz w:val="24"/>
          <w:szCs w:val="24"/>
          <w:lang w:val="en-US" w:eastAsia="zh-CN"/>
        </w:rPr>
        <w:t xml:space="preserve">  </w:t>
      </w:r>
      <w:r>
        <w:rPr>
          <w:rFonts w:hint="eastAsia"/>
          <w:color w:val="auto"/>
          <w:sz w:val="24"/>
          <w:szCs w:val="24"/>
        </w:rPr>
        <w:t xml:space="preserve">月 </w:t>
      </w:r>
      <w:r>
        <w:rPr>
          <w:rFonts w:hint="eastAsia"/>
          <w:color w:val="auto"/>
          <w:sz w:val="24"/>
          <w:szCs w:val="24"/>
          <w:lang w:val="en-US" w:eastAsia="zh-CN"/>
        </w:rPr>
        <w:t xml:space="preserve">  </w:t>
      </w:r>
      <w:r>
        <w:rPr>
          <w:rFonts w:hint="eastAsia"/>
          <w:color w:val="auto"/>
          <w:sz w:val="24"/>
          <w:szCs w:val="24"/>
        </w:rPr>
        <w:t>日</w:t>
      </w:r>
    </w:p>
    <w:p w14:paraId="7109BFF3">
      <w:pPr>
        <w:pStyle w:val="8"/>
        <w:pageBreakBefore w:val="0"/>
        <w:topLinePunct w:val="0"/>
        <w:bidi w:val="0"/>
        <w:spacing w:line="500" w:lineRule="exact"/>
        <w:ind w:left="0" w:leftChars="0" w:right="0" w:rightChars="0" w:firstLine="422" w:firstLineChars="200"/>
        <w:rPr>
          <w:b/>
          <w:color w:val="auto"/>
          <w:sz w:val="21"/>
          <w:lang w:val="en-US"/>
        </w:rPr>
      </w:pPr>
    </w:p>
    <w:p w14:paraId="1BBDC29D">
      <w:pPr>
        <w:pStyle w:val="5"/>
        <w:pageBreakBefore w:val="0"/>
        <w:topLinePunct w:val="0"/>
        <w:bidi w:val="0"/>
        <w:spacing w:line="500" w:lineRule="exact"/>
        <w:ind w:left="0" w:leftChars="0" w:right="0" w:rightChars="0" w:firstLine="562" w:firstLineChars="200"/>
        <w:rPr>
          <w:bCs w:val="0"/>
          <w:color w:val="auto"/>
          <w:lang w:val="en-US"/>
        </w:rPr>
      </w:pPr>
    </w:p>
    <w:p w14:paraId="50029E4E">
      <w:pPr>
        <w:pStyle w:val="5"/>
        <w:pageBreakBefore w:val="0"/>
        <w:topLinePunct w:val="0"/>
        <w:bidi w:val="0"/>
        <w:spacing w:line="500" w:lineRule="exact"/>
        <w:ind w:left="0" w:leftChars="0" w:right="0" w:rightChars="0" w:firstLine="562" w:firstLineChars="200"/>
        <w:rPr>
          <w:bCs w:val="0"/>
          <w:color w:val="auto"/>
          <w:lang w:val="en-US"/>
        </w:rPr>
      </w:pPr>
    </w:p>
    <w:p w14:paraId="23AFF218">
      <w:pPr>
        <w:pageBreakBefore w:val="0"/>
        <w:topLinePunct w:val="0"/>
        <w:bidi w:val="0"/>
        <w:spacing w:line="500" w:lineRule="exact"/>
        <w:ind w:left="0" w:leftChars="0" w:right="0" w:rightChars="0" w:firstLine="440" w:firstLineChars="200"/>
        <w:rPr>
          <w:bCs w:val="0"/>
          <w:color w:val="auto"/>
          <w:lang w:val="en-US"/>
        </w:rPr>
      </w:pPr>
      <w:r>
        <w:rPr>
          <w:bCs w:val="0"/>
          <w:color w:val="auto"/>
          <w:lang w:val="en-US"/>
        </w:rPr>
        <w:br w:type="page"/>
      </w:r>
    </w:p>
    <w:p w14:paraId="59DF3019">
      <w:pPr>
        <w:pStyle w:val="5"/>
        <w:pageBreakBefore w:val="0"/>
        <w:topLinePunct w:val="0"/>
        <w:bidi w:val="0"/>
        <w:spacing w:line="500" w:lineRule="exact"/>
        <w:ind w:left="0" w:leftChars="0" w:right="0" w:rightChars="0" w:firstLine="562" w:firstLineChars="200"/>
        <w:rPr>
          <w:bCs w:val="0"/>
          <w:color w:val="auto"/>
          <w:lang w:val="en-US"/>
        </w:rPr>
      </w:pPr>
      <w:r>
        <w:rPr>
          <w:bCs w:val="0"/>
          <w:color w:val="auto"/>
          <w:lang w:val="en-US"/>
        </w:rPr>
        <w:t>投标声明书</w:t>
      </w:r>
    </w:p>
    <w:p w14:paraId="75BD2A02">
      <w:pPr>
        <w:pageBreakBefore w:val="0"/>
        <w:topLinePunct w:val="0"/>
        <w:autoSpaceDE/>
        <w:autoSpaceDN/>
        <w:bidi w:val="0"/>
        <w:spacing w:line="500" w:lineRule="exact"/>
        <w:ind w:left="0" w:leftChars="0" w:right="0" w:rightChars="0" w:firstLine="480" w:firstLineChars="200"/>
        <w:rPr>
          <w:b/>
          <w:color w:val="auto"/>
          <w:szCs w:val="21"/>
          <w:u w:val="single"/>
          <w:lang w:val="en-US"/>
        </w:rPr>
      </w:pPr>
      <w:r>
        <w:rPr>
          <w:rFonts w:hint="eastAsia"/>
          <w:color w:val="auto"/>
          <w:sz w:val="24"/>
        </w:rPr>
        <w:t>致：</w:t>
      </w:r>
      <w:r>
        <w:rPr>
          <w:rFonts w:hint="eastAsia"/>
          <w:color w:val="auto"/>
          <w:sz w:val="24"/>
          <w:u w:val="single"/>
        </w:rPr>
        <w:t xml:space="preserve">     （采购人）     </w:t>
      </w:r>
      <w:r>
        <w:rPr>
          <w:rFonts w:hint="eastAsia"/>
          <w:b/>
          <w:color w:val="auto"/>
          <w:szCs w:val="21"/>
          <w:u w:val="single"/>
          <w:lang w:val="en-US"/>
        </w:rPr>
        <w:t xml:space="preserve"> </w:t>
      </w:r>
    </w:p>
    <w:p w14:paraId="763B44A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我方</w:t>
      </w:r>
      <w:r>
        <w:rPr>
          <w:rFonts w:hint="eastAsia"/>
          <w:color w:val="auto"/>
          <w:sz w:val="24"/>
          <w:szCs w:val="24"/>
          <w:u w:val="single"/>
          <w:lang w:val="en-US"/>
        </w:rPr>
        <w:t xml:space="preserve"> </w:t>
      </w:r>
      <w:r>
        <w:rPr>
          <w:rFonts w:hint="eastAsia"/>
          <w:color w:val="auto"/>
          <w:sz w:val="24"/>
          <w:szCs w:val="24"/>
          <w:u w:val="single"/>
          <w:lang w:val="en-US"/>
        </w:rPr>
        <w:tab/>
      </w:r>
      <w:r>
        <w:rPr>
          <w:rFonts w:hint="eastAsia"/>
          <w:color w:val="auto"/>
          <w:sz w:val="24"/>
          <w:szCs w:val="24"/>
          <w:u w:val="single"/>
          <w:lang w:val="en-US"/>
        </w:rPr>
        <w:t xml:space="preserve">  </w:t>
      </w:r>
      <w:r>
        <w:rPr>
          <w:rFonts w:hint="eastAsia"/>
          <w:color w:val="auto"/>
          <w:sz w:val="24"/>
          <w:szCs w:val="24"/>
          <w:lang w:val="en-US"/>
        </w:rPr>
        <w:t>（</w:t>
      </w:r>
      <w:r>
        <w:rPr>
          <w:rFonts w:hint="eastAsia"/>
          <w:color w:val="auto"/>
          <w:sz w:val="24"/>
          <w:szCs w:val="24"/>
          <w:lang w:val="en-US" w:eastAsia="zh-CN"/>
        </w:rPr>
        <w:t>供应商</w:t>
      </w:r>
      <w:r>
        <w:rPr>
          <w:rFonts w:hint="eastAsia"/>
          <w:color w:val="auto"/>
          <w:sz w:val="24"/>
          <w:szCs w:val="24"/>
          <w:lang w:val="en-US"/>
        </w:rPr>
        <w:t>名称），就参加</w:t>
      </w:r>
      <w:r>
        <w:rPr>
          <w:rFonts w:hint="eastAsia"/>
          <w:color w:val="auto"/>
          <w:sz w:val="24"/>
          <w:szCs w:val="24"/>
          <w:u w:val="single"/>
          <w:lang w:val="en-US"/>
        </w:rPr>
        <w:t xml:space="preserve"> </w:t>
      </w:r>
      <w:r>
        <w:rPr>
          <w:rFonts w:hint="eastAsia"/>
          <w:color w:val="auto"/>
          <w:sz w:val="24"/>
          <w:szCs w:val="24"/>
          <w:u w:val="single"/>
          <w:lang w:val="en-US"/>
        </w:rPr>
        <w:tab/>
      </w:r>
      <w:r>
        <w:rPr>
          <w:rFonts w:hint="eastAsia"/>
          <w:color w:val="auto"/>
          <w:sz w:val="24"/>
          <w:szCs w:val="24"/>
          <w:u w:val="single"/>
          <w:lang w:val="en-US"/>
        </w:rPr>
        <w:t xml:space="preserve"> </w:t>
      </w:r>
      <w:r>
        <w:rPr>
          <w:rFonts w:hint="eastAsia"/>
          <w:color w:val="auto"/>
          <w:sz w:val="24"/>
          <w:szCs w:val="24"/>
          <w:lang w:val="en-US"/>
        </w:rPr>
        <w:t>采购项目（采购项目编号</w:t>
      </w:r>
      <w:r>
        <w:rPr>
          <w:rFonts w:hint="eastAsia"/>
          <w:color w:val="auto"/>
          <w:sz w:val="24"/>
          <w:szCs w:val="24"/>
          <w:u w:val="single"/>
          <w:lang w:val="en-US"/>
        </w:rPr>
        <w:t xml:space="preserve">：   </w:t>
      </w:r>
      <w:r>
        <w:rPr>
          <w:rFonts w:hint="eastAsia"/>
          <w:color w:val="auto"/>
          <w:sz w:val="24"/>
          <w:szCs w:val="24"/>
          <w:lang w:val="en-US"/>
        </w:rPr>
        <w:t>）投标事宜，在此郑重声明：</w:t>
      </w:r>
    </w:p>
    <w:p w14:paraId="1B3396D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1.我方所提交的投标文件全部真实有效；</w:t>
      </w:r>
    </w:p>
    <w:p w14:paraId="189D8FE5">
      <w:pPr>
        <w:pageBreakBefore w:val="0"/>
        <w:topLinePunct w:val="0"/>
        <w:bidi w:val="0"/>
        <w:spacing w:line="500" w:lineRule="exact"/>
        <w:ind w:left="0" w:leftChars="0" w:right="0" w:rightChars="0" w:firstLine="480" w:firstLineChars="200"/>
        <w:rPr>
          <w:rFonts w:hint="eastAsia" w:eastAsia="宋体"/>
          <w:color w:val="auto"/>
          <w:sz w:val="24"/>
          <w:szCs w:val="24"/>
          <w:lang w:val="en-US" w:eastAsia="zh-CN"/>
        </w:rPr>
      </w:pPr>
      <w:r>
        <w:rPr>
          <w:rFonts w:hint="eastAsia"/>
          <w:color w:val="auto"/>
          <w:sz w:val="24"/>
          <w:szCs w:val="24"/>
          <w:lang w:val="en-US"/>
        </w:rPr>
        <w:t>2.</w:t>
      </w:r>
      <w:r>
        <w:rPr>
          <w:rFonts w:hint="eastAsia"/>
          <w:color w:val="auto"/>
          <w:sz w:val="24"/>
          <w:szCs w:val="24"/>
          <w:lang w:val="en-US" w:eastAsia="zh-CN"/>
        </w:rPr>
        <w:t>我方近 3 年来无因食品安全事故、质量事故、投标违规等不良记录被政府有关部门处罚或仍在处罚期限内的情形存在；</w:t>
      </w:r>
    </w:p>
    <w:p w14:paraId="6C837ED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3.我方近 3 年来无违规违法经营受到责令停产</w:t>
      </w:r>
      <w:r>
        <w:rPr>
          <w:rFonts w:hint="eastAsia"/>
          <w:color w:val="auto"/>
          <w:sz w:val="24"/>
          <w:szCs w:val="24"/>
          <w:lang w:val="en-US" w:eastAsia="zh-CN"/>
        </w:rPr>
        <w:t>（</w:t>
      </w:r>
      <w:r>
        <w:rPr>
          <w:rFonts w:hint="eastAsia"/>
          <w:color w:val="auto"/>
          <w:sz w:val="24"/>
          <w:szCs w:val="24"/>
          <w:lang w:val="en-US"/>
        </w:rPr>
        <w:t>或停止经营</w:t>
      </w:r>
      <w:r>
        <w:rPr>
          <w:rFonts w:hint="eastAsia"/>
          <w:color w:val="auto"/>
          <w:sz w:val="24"/>
          <w:szCs w:val="24"/>
          <w:lang w:val="en-US" w:eastAsia="zh-CN"/>
        </w:rPr>
        <w:t>）</w:t>
      </w:r>
      <w:r>
        <w:rPr>
          <w:rFonts w:hint="eastAsia"/>
          <w:color w:val="auto"/>
          <w:sz w:val="24"/>
          <w:szCs w:val="24"/>
          <w:lang w:val="en-US"/>
        </w:rPr>
        <w:t>、吊销生产许可证（或经营许可证）、较大数额罚款（举行听证会）等行政处罚的情形存在；</w:t>
      </w:r>
    </w:p>
    <w:p w14:paraId="4AFB576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4.我方无企业财产被查封、冻结或处于破产状态或严重亏损状态等情形存在；</w:t>
      </w:r>
    </w:p>
    <w:p w14:paraId="1E8F7440">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5.我方承诺在投标过程中，保证不予其他单位围标、串标，不出让投标资格， 不采取不正当手段诋毁、排挤其他</w:t>
      </w:r>
      <w:r>
        <w:rPr>
          <w:rFonts w:hint="eastAsia"/>
          <w:color w:val="auto"/>
          <w:sz w:val="24"/>
          <w:szCs w:val="24"/>
          <w:lang w:val="en-US" w:eastAsia="zh-CN"/>
        </w:rPr>
        <w:t>供应商</w:t>
      </w:r>
      <w:r>
        <w:rPr>
          <w:rFonts w:hint="eastAsia"/>
          <w:color w:val="auto"/>
          <w:sz w:val="24"/>
          <w:szCs w:val="24"/>
          <w:lang w:val="en-US"/>
        </w:rPr>
        <w:t>，不向采购人、采购代理机构、评标委员会成员行贿；</w:t>
      </w:r>
    </w:p>
    <w:p w14:paraId="6BD0B76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6.我方参加政府采购活动近 3 年内，在经营活动中没有重大违法记录；</w:t>
      </w:r>
    </w:p>
    <w:p w14:paraId="7F197CA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7.我方在投标时未列入政府采购严重违法失信行为记录名单。</w:t>
      </w:r>
    </w:p>
    <w:p w14:paraId="75B128E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以上声明若有违反，一经查实，我方愿意接受政府有关部门的相应处罚，并愿意承担由此带来的法律后果。</w:t>
      </w:r>
    </w:p>
    <w:p w14:paraId="2C44472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特此声明！</w:t>
      </w:r>
    </w:p>
    <w:p w14:paraId="483C90DE">
      <w:pPr>
        <w:pageBreakBefore w:val="0"/>
        <w:topLinePunct w:val="0"/>
        <w:bidi w:val="0"/>
        <w:spacing w:line="500" w:lineRule="exact"/>
        <w:ind w:left="0" w:leftChars="0" w:right="0" w:rightChars="0" w:firstLine="480" w:firstLineChars="200"/>
        <w:rPr>
          <w:color w:val="auto"/>
          <w:sz w:val="24"/>
          <w:szCs w:val="24"/>
          <w:lang w:val="en-US"/>
        </w:rPr>
      </w:pPr>
    </w:p>
    <w:p w14:paraId="3989E3F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声</w:t>
      </w:r>
      <w:r>
        <w:rPr>
          <w:rFonts w:hint="eastAsia"/>
          <w:color w:val="auto"/>
          <w:sz w:val="24"/>
          <w:szCs w:val="24"/>
          <w:lang w:val="en-US"/>
        </w:rPr>
        <w:tab/>
      </w:r>
      <w:r>
        <w:rPr>
          <w:rFonts w:hint="eastAsia"/>
          <w:color w:val="auto"/>
          <w:sz w:val="24"/>
          <w:szCs w:val="24"/>
          <w:lang w:val="en-US"/>
        </w:rPr>
        <w:t>明</w:t>
      </w:r>
      <w:r>
        <w:rPr>
          <w:rFonts w:hint="eastAsia"/>
          <w:color w:val="auto"/>
          <w:sz w:val="24"/>
          <w:szCs w:val="24"/>
          <w:lang w:val="en-US"/>
        </w:rPr>
        <w:tab/>
      </w:r>
      <w:r>
        <w:rPr>
          <w:rFonts w:hint="eastAsia"/>
          <w:color w:val="auto"/>
          <w:sz w:val="24"/>
          <w:szCs w:val="24"/>
          <w:lang w:val="en-US"/>
        </w:rPr>
        <w:t>人</w:t>
      </w:r>
      <w:r>
        <w:rPr>
          <w:rFonts w:hint="eastAsia"/>
          <w:color w:val="auto"/>
          <w:sz w:val="24"/>
          <w:szCs w:val="24"/>
          <w:lang w:val="en-US" w:eastAsia="zh-CN"/>
        </w:rPr>
        <w:t>：</w:t>
      </w:r>
      <w:r>
        <w:rPr>
          <w:rFonts w:hint="eastAsia"/>
          <w:color w:val="auto"/>
          <w:sz w:val="24"/>
          <w:szCs w:val="24"/>
          <w:u w:val="single"/>
          <w:lang w:val="en-US"/>
        </w:rPr>
        <w:t xml:space="preserve">            </w:t>
      </w:r>
      <w:r>
        <w:rPr>
          <w:rFonts w:hint="eastAsia"/>
          <w:color w:val="auto"/>
          <w:sz w:val="24"/>
          <w:szCs w:val="24"/>
          <w:u w:val="single"/>
          <w:lang w:val="en-US"/>
        </w:rPr>
        <w:tab/>
      </w:r>
      <w:r>
        <w:rPr>
          <w:rFonts w:hint="eastAsia"/>
          <w:color w:val="auto"/>
          <w:sz w:val="24"/>
          <w:szCs w:val="24"/>
          <w:u w:val="none"/>
          <w:lang w:val="en-US" w:eastAsia="zh-CN"/>
        </w:rPr>
        <w:t>（</w:t>
      </w:r>
      <w:r>
        <w:rPr>
          <w:rFonts w:hint="eastAsia"/>
          <w:color w:val="auto"/>
          <w:sz w:val="24"/>
          <w:szCs w:val="24"/>
          <w:lang w:val="en-US" w:eastAsia="zh-CN"/>
        </w:rPr>
        <w:t>供应商</w:t>
      </w:r>
      <w:r>
        <w:rPr>
          <w:rFonts w:hint="eastAsia"/>
          <w:color w:val="auto"/>
          <w:sz w:val="24"/>
          <w:szCs w:val="24"/>
          <w:lang w:val="en-US"/>
        </w:rPr>
        <w:t>名称、盖单位章</w:t>
      </w:r>
      <w:r>
        <w:rPr>
          <w:rFonts w:hint="eastAsia"/>
          <w:color w:val="auto"/>
          <w:sz w:val="24"/>
          <w:szCs w:val="24"/>
          <w:lang w:val="en-US" w:eastAsia="zh-CN"/>
        </w:rPr>
        <w:t>）</w:t>
      </w:r>
      <w:r>
        <w:rPr>
          <w:rFonts w:hint="eastAsia"/>
          <w:color w:val="auto"/>
          <w:sz w:val="24"/>
          <w:szCs w:val="24"/>
          <w:lang w:val="en-US"/>
        </w:rPr>
        <w:t xml:space="preserve"> </w:t>
      </w:r>
    </w:p>
    <w:p w14:paraId="5C7F9564">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法定代表人：</w:t>
      </w:r>
      <w:r>
        <w:rPr>
          <w:rFonts w:hint="eastAsia"/>
          <w:color w:val="auto"/>
          <w:sz w:val="24"/>
          <w:szCs w:val="24"/>
          <w:u w:val="single"/>
          <w:lang w:val="en-US"/>
        </w:rPr>
        <w:t xml:space="preserve">        </w:t>
      </w:r>
      <w:r>
        <w:rPr>
          <w:rFonts w:hint="eastAsia"/>
          <w:color w:val="auto"/>
          <w:sz w:val="24"/>
          <w:szCs w:val="24"/>
          <w:u w:val="single"/>
          <w:lang w:val="en-US"/>
        </w:rPr>
        <w:tab/>
      </w:r>
      <w:r>
        <w:rPr>
          <w:rFonts w:hint="eastAsia"/>
          <w:color w:val="auto"/>
          <w:sz w:val="24"/>
          <w:szCs w:val="24"/>
          <w:lang w:val="en-US"/>
        </w:rPr>
        <w:t>（签字）</w:t>
      </w:r>
    </w:p>
    <w:p w14:paraId="3AF8576E">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日</w:t>
      </w:r>
      <w:r>
        <w:rPr>
          <w:rFonts w:hint="eastAsia"/>
          <w:color w:val="auto"/>
          <w:sz w:val="24"/>
          <w:szCs w:val="24"/>
          <w:lang w:val="en-US"/>
        </w:rPr>
        <w:tab/>
      </w:r>
      <w:r>
        <w:rPr>
          <w:rFonts w:hint="eastAsia"/>
          <w:color w:val="auto"/>
          <w:sz w:val="24"/>
          <w:szCs w:val="24"/>
          <w:lang w:val="en-US"/>
        </w:rPr>
        <w:t>期：</w:t>
      </w:r>
      <w:r>
        <w:rPr>
          <w:rFonts w:hint="eastAsia"/>
          <w:color w:val="auto"/>
          <w:sz w:val="24"/>
          <w:szCs w:val="24"/>
          <w:lang w:val="en-US" w:eastAsia="zh-CN"/>
        </w:rPr>
        <w:t xml:space="preserve">    </w:t>
      </w:r>
      <w:r>
        <w:rPr>
          <w:rFonts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lang w:val="en-US" w:eastAsia="zh-CN" w:bidi="ar"/>
        </w:rPr>
        <w:t xml:space="preserve"> </w:t>
      </w:r>
      <w:r>
        <w:rPr>
          <w:rFonts w:ascii="宋体" w:hAnsi="宋体" w:eastAsia="宋体" w:cs="宋体"/>
          <w:color w:val="000000"/>
          <w:kern w:val="0"/>
          <w:sz w:val="24"/>
          <w:szCs w:val="24"/>
          <w:lang w:val="en-US" w:eastAsia="zh-CN" w:bidi="ar"/>
        </w:rPr>
        <w:t xml:space="preserve"> 月</w:t>
      </w:r>
      <w:r>
        <w:rPr>
          <w:rFonts w:hint="eastAsia" w:ascii="宋体" w:hAnsi="宋体" w:eastAsia="宋体" w:cs="宋体"/>
          <w:color w:val="000000"/>
          <w:kern w:val="0"/>
          <w:sz w:val="24"/>
          <w:szCs w:val="24"/>
          <w:lang w:val="en-US" w:eastAsia="zh-CN" w:bidi="ar"/>
        </w:rPr>
        <w:t xml:space="preserve"> </w:t>
      </w:r>
      <w:r>
        <w:rPr>
          <w:rFonts w:ascii="宋体" w:hAnsi="宋体" w:eastAsia="宋体" w:cs="宋体"/>
          <w:color w:val="000000"/>
          <w:kern w:val="0"/>
          <w:sz w:val="24"/>
          <w:szCs w:val="24"/>
          <w:lang w:val="en-US" w:eastAsia="zh-CN" w:bidi="ar"/>
        </w:rPr>
        <w:t xml:space="preserve"> 日</w:t>
      </w:r>
    </w:p>
    <w:p w14:paraId="6D70D929">
      <w:pPr>
        <w:pStyle w:val="12"/>
        <w:pageBreakBefore w:val="0"/>
        <w:topLinePunct w:val="0"/>
        <w:bidi w:val="0"/>
        <w:spacing w:line="500" w:lineRule="exact"/>
        <w:ind w:left="0" w:leftChars="0" w:right="0" w:rightChars="0" w:firstLine="480" w:firstLineChars="200"/>
        <w:rPr>
          <w:rFonts w:hint="eastAsia"/>
          <w:color w:val="auto"/>
          <w:sz w:val="24"/>
          <w:szCs w:val="24"/>
          <w:lang w:val="en-US"/>
        </w:rPr>
      </w:pPr>
    </w:p>
    <w:p w14:paraId="786775BC">
      <w:pPr>
        <w:pStyle w:val="12"/>
        <w:pageBreakBefore w:val="0"/>
        <w:topLinePunct w:val="0"/>
        <w:bidi w:val="0"/>
        <w:spacing w:line="500" w:lineRule="exact"/>
        <w:ind w:left="0" w:leftChars="0" w:right="0" w:rightChars="0" w:firstLine="480" w:firstLineChars="200"/>
        <w:rPr>
          <w:rFonts w:hint="eastAsia"/>
          <w:color w:val="auto"/>
          <w:sz w:val="24"/>
          <w:szCs w:val="24"/>
          <w:lang w:val="en-US"/>
        </w:rPr>
      </w:pPr>
    </w:p>
    <w:p w14:paraId="79401732">
      <w:pPr>
        <w:pStyle w:val="12"/>
        <w:pageBreakBefore w:val="0"/>
        <w:tabs>
          <w:tab w:val="left" w:pos="1625"/>
        </w:tabs>
        <w:topLinePunct w:val="0"/>
        <w:bidi w:val="0"/>
        <w:spacing w:line="500" w:lineRule="exact"/>
        <w:ind w:left="0" w:leftChars="0" w:right="0" w:rightChars="0" w:firstLine="480" w:firstLineChars="200"/>
        <w:rPr>
          <w:rFonts w:hint="eastAsia"/>
          <w:color w:val="auto"/>
          <w:sz w:val="24"/>
          <w:szCs w:val="24"/>
          <w:lang w:val="en-US" w:eastAsia="zh-CN"/>
        </w:rPr>
      </w:pPr>
      <w:r>
        <w:rPr>
          <w:rFonts w:hint="eastAsia"/>
          <w:color w:val="auto"/>
          <w:sz w:val="24"/>
          <w:szCs w:val="24"/>
          <w:lang w:val="en-US" w:eastAsia="zh-CN"/>
        </w:rPr>
        <w:tab/>
      </w:r>
    </w:p>
    <w:p w14:paraId="26CD5D0D">
      <w:pPr>
        <w:pStyle w:val="12"/>
        <w:pageBreakBefore w:val="0"/>
        <w:tabs>
          <w:tab w:val="left" w:pos="1625"/>
        </w:tabs>
        <w:topLinePunct w:val="0"/>
        <w:bidi w:val="0"/>
        <w:spacing w:line="500" w:lineRule="exact"/>
        <w:ind w:left="0" w:leftChars="0" w:right="0" w:rightChars="0" w:firstLine="480" w:firstLineChars="200"/>
        <w:rPr>
          <w:rFonts w:hint="eastAsia"/>
          <w:color w:val="auto"/>
          <w:sz w:val="24"/>
          <w:szCs w:val="24"/>
          <w:lang w:val="en-US" w:eastAsia="zh-CN"/>
        </w:rPr>
      </w:pPr>
    </w:p>
    <w:p w14:paraId="37501964">
      <w:pPr>
        <w:pStyle w:val="12"/>
        <w:pageBreakBefore w:val="0"/>
        <w:tabs>
          <w:tab w:val="left" w:pos="1625"/>
        </w:tabs>
        <w:topLinePunct w:val="0"/>
        <w:bidi w:val="0"/>
        <w:spacing w:line="500" w:lineRule="exact"/>
        <w:ind w:left="0" w:leftChars="0" w:right="0" w:rightChars="0" w:firstLine="480" w:firstLineChars="200"/>
        <w:rPr>
          <w:rFonts w:hint="eastAsia"/>
          <w:color w:val="auto"/>
          <w:sz w:val="24"/>
          <w:szCs w:val="24"/>
          <w:lang w:val="en-US" w:eastAsia="zh-CN"/>
        </w:rPr>
      </w:pPr>
    </w:p>
    <w:p w14:paraId="26C41229">
      <w:pPr>
        <w:pStyle w:val="12"/>
        <w:pageBreakBefore w:val="0"/>
        <w:tabs>
          <w:tab w:val="left" w:pos="1625"/>
        </w:tabs>
        <w:topLinePunct w:val="0"/>
        <w:bidi w:val="0"/>
        <w:spacing w:line="500" w:lineRule="exact"/>
        <w:ind w:left="0" w:leftChars="0" w:right="0" w:rightChars="0" w:firstLine="480" w:firstLineChars="200"/>
        <w:rPr>
          <w:rFonts w:hint="eastAsia"/>
          <w:color w:val="auto"/>
          <w:sz w:val="24"/>
          <w:szCs w:val="24"/>
          <w:lang w:val="en-US" w:eastAsia="zh-CN"/>
        </w:rPr>
      </w:pPr>
    </w:p>
    <w:p w14:paraId="475FE03B">
      <w:pPr>
        <w:pStyle w:val="12"/>
        <w:pageBreakBefore w:val="0"/>
        <w:topLinePunct w:val="0"/>
        <w:bidi w:val="0"/>
        <w:spacing w:line="500" w:lineRule="exact"/>
        <w:ind w:left="0" w:leftChars="0" w:right="0" w:rightChars="0" w:firstLine="480" w:firstLineChars="200"/>
        <w:rPr>
          <w:rFonts w:hint="eastAsia"/>
          <w:color w:val="auto"/>
          <w:sz w:val="24"/>
          <w:szCs w:val="24"/>
          <w:lang w:val="en-US"/>
        </w:rPr>
      </w:pPr>
    </w:p>
    <w:p w14:paraId="6FB32726">
      <w:pPr>
        <w:pageBreakBefore w:val="0"/>
        <w:topLinePunct w:val="0"/>
        <w:bidi w:val="0"/>
        <w:spacing w:line="500" w:lineRule="exact"/>
        <w:ind w:left="0" w:leftChars="0" w:right="0" w:rightChars="0" w:firstLine="440" w:firstLineChars="200"/>
        <w:jc w:val="both"/>
        <w:rPr>
          <w:color w:val="auto"/>
        </w:rPr>
        <w:sectPr>
          <w:headerReference r:id="rId20" w:type="default"/>
          <w:pgSz w:w="11910" w:h="16840"/>
          <w:pgMar w:top="1077" w:right="1083" w:bottom="1077" w:left="1083" w:header="680" w:footer="737" w:gutter="0"/>
          <w:pgNumType w:fmt="decimal"/>
          <w:cols w:space="720" w:num="1"/>
        </w:sectPr>
      </w:pPr>
    </w:p>
    <w:p w14:paraId="5424811F">
      <w:pPr>
        <w:pStyle w:val="4"/>
        <w:pageBreakBefore w:val="0"/>
        <w:tabs>
          <w:tab w:val="left" w:pos="1603"/>
        </w:tabs>
        <w:topLinePunct w:val="0"/>
        <w:bidi w:val="0"/>
        <w:spacing w:before="0" w:line="500" w:lineRule="exact"/>
        <w:ind w:left="0" w:leftChars="0" w:right="0" w:rightChars="0" w:firstLine="643" w:firstLineChars="200"/>
        <w:jc w:val="center"/>
        <w:rPr>
          <w:color w:val="auto"/>
        </w:rPr>
      </w:pPr>
      <w:r>
        <w:rPr>
          <w:rFonts w:hint="eastAsia"/>
          <w:color w:val="auto"/>
        </w:rPr>
        <w:t>本项目不接受联合体投标</w:t>
      </w:r>
    </w:p>
    <w:p w14:paraId="746CDAB9">
      <w:pPr>
        <w:pageBreakBefore w:val="0"/>
        <w:topLinePunct w:val="0"/>
        <w:autoSpaceDE/>
        <w:autoSpaceDN/>
        <w:bidi w:val="0"/>
        <w:spacing w:line="500" w:lineRule="exact"/>
        <w:ind w:left="0" w:leftChars="0" w:right="0" w:rightChars="0" w:firstLine="480" w:firstLineChars="200"/>
        <w:rPr>
          <w:b/>
          <w:color w:val="auto"/>
          <w:szCs w:val="21"/>
          <w:u w:val="single"/>
          <w:lang w:val="en-US"/>
        </w:rPr>
      </w:pPr>
      <w:r>
        <w:rPr>
          <w:rFonts w:hint="eastAsia"/>
          <w:color w:val="auto"/>
          <w:sz w:val="24"/>
        </w:rPr>
        <w:t>致：</w:t>
      </w:r>
      <w:r>
        <w:rPr>
          <w:rFonts w:hint="eastAsia"/>
          <w:color w:val="auto"/>
          <w:sz w:val="24"/>
          <w:u w:val="single"/>
        </w:rPr>
        <w:t xml:space="preserve">     （采购人）     </w:t>
      </w:r>
      <w:r>
        <w:rPr>
          <w:rFonts w:hint="eastAsia"/>
          <w:b/>
          <w:color w:val="auto"/>
          <w:szCs w:val="21"/>
          <w:u w:val="single"/>
          <w:lang w:val="en-US"/>
        </w:rPr>
        <w:t xml:space="preserve"> </w:t>
      </w:r>
    </w:p>
    <w:p w14:paraId="65830C3E">
      <w:pPr>
        <w:pageBreakBefore w:val="0"/>
        <w:topLinePunct w:val="0"/>
        <w:bidi w:val="0"/>
        <w:spacing w:line="500" w:lineRule="exact"/>
        <w:ind w:left="0" w:leftChars="0" w:right="0" w:rightChars="0" w:firstLine="480" w:firstLineChars="200"/>
        <w:rPr>
          <w:color w:val="000000"/>
          <w:sz w:val="24"/>
          <w:szCs w:val="24"/>
        </w:rPr>
      </w:pPr>
      <w:r>
        <w:rPr>
          <w:rFonts w:hint="eastAsia"/>
          <w:color w:val="auto"/>
          <w:sz w:val="24"/>
          <w:szCs w:val="24"/>
          <w:lang w:val="en-US"/>
        </w:rPr>
        <w:t>我方</w:t>
      </w:r>
      <w:r>
        <w:rPr>
          <w:rFonts w:hint="eastAsia"/>
          <w:color w:val="auto"/>
          <w:sz w:val="24"/>
          <w:szCs w:val="24"/>
          <w:u w:val="single"/>
          <w:lang w:val="en-US"/>
        </w:rPr>
        <w:t xml:space="preserve"> </w:t>
      </w:r>
      <w:r>
        <w:rPr>
          <w:rFonts w:hint="eastAsia"/>
          <w:color w:val="auto"/>
          <w:sz w:val="24"/>
          <w:szCs w:val="24"/>
          <w:u w:val="single"/>
          <w:lang w:val="en-US"/>
        </w:rPr>
        <w:tab/>
      </w:r>
      <w:r>
        <w:rPr>
          <w:rFonts w:hint="eastAsia"/>
          <w:color w:val="auto"/>
          <w:sz w:val="24"/>
          <w:szCs w:val="24"/>
          <w:u w:val="single"/>
          <w:lang w:val="en-US"/>
        </w:rPr>
        <w:t xml:space="preserve">  </w:t>
      </w:r>
      <w:r>
        <w:rPr>
          <w:rFonts w:hint="eastAsia"/>
          <w:color w:val="auto"/>
          <w:sz w:val="24"/>
          <w:szCs w:val="24"/>
          <w:lang w:val="en-US"/>
        </w:rPr>
        <w:t>（</w:t>
      </w:r>
      <w:r>
        <w:rPr>
          <w:rFonts w:hint="eastAsia"/>
          <w:color w:val="auto"/>
          <w:sz w:val="24"/>
          <w:szCs w:val="24"/>
          <w:lang w:val="en-US" w:eastAsia="zh-CN"/>
        </w:rPr>
        <w:t>供应商</w:t>
      </w:r>
      <w:r>
        <w:rPr>
          <w:rFonts w:hint="eastAsia"/>
          <w:color w:val="auto"/>
          <w:sz w:val="24"/>
          <w:szCs w:val="24"/>
          <w:lang w:val="en-US"/>
        </w:rPr>
        <w:t>名称），就参加</w:t>
      </w:r>
      <w:r>
        <w:rPr>
          <w:rFonts w:hint="eastAsia"/>
          <w:color w:val="auto"/>
          <w:sz w:val="24"/>
          <w:szCs w:val="24"/>
          <w:u w:val="single"/>
          <w:lang w:val="en-US"/>
        </w:rPr>
        <w:t xml:space="preserve"> </w:t>
      </w:r>
      <w:r>
        <w:rPr>
          <w:rFonts w:hint="eastAsia"/>
          <w:color w:val="auto"/>
          <w:sz w:val="24"/>
          <w:szCs w:val="24"/>
          <w:u w:val="single"/>
          <w:lang w:val="en-US"/>
        </w:rPr>
        <w:tab/>
      </w:r>
      <w:r>
        <w:rPr>
          <w:rFonts w:hint="eastAsia"/>
          <w:color w:val="auto"/>
          <w:sz w:val="24"/>
          <w:szCs w:val="24"/>
          <w:u w:val="single"/>
          <w:lang w:val="en-US"/>
        </w:rPr>
        <w:t xml:space="preserve"> </w:t>
      </w:r>
      <w:r>
        <w:rPr>
          <w:rFonts w:hint="eastAsia"/>
          <w:color w:val="auto"/>
          <w:sz w:val="24"/>
          <w:szCs w:val="24"/>
          <w:lang w:val="en-US"/>
        </w:rPr>
        <w:t>采购项目（采购项目编号</w:t>
      </w:r>
      <w:r>
        <w:rPr>
          <w:rFonts w:hint="eastAsia"/>
          <w:color w:val="auto"/>
          <w:sz w:val="24"/>
          <w:szCs w:val="24"/>
          <w:u w:val="single"/>
          <w:lang w:val="en-US"/>
        </w:rPr>
        <w:t xml:space="preserve">：   </w:t>
      </w:r>
      <w:r>
        <w:rPr>
          <w:rFonts w:hint="eastAsia"/>
          <w:color w:val="auto"/>
          <w:sz w:val="24"/>
          <w:szCs w:val="24"/>
          <w:lang w:val="en-US"/>
        </w:rPr>
        <w:t>）投标事宜，</w:t>
      </w:r>
      <w:r>
        <w:rPr>
          <w:rFonts w:ascii="宋体" w:hAnsi="宋体" w:eastAsia="宋体" w:cs="宋体"/>
          <w:color w:val="000000"/>
          <w:kern w:val="0"/>
          <w:sz w:val="24"/>
          <w:szCs w:val="24"/>
          <w:lang w:val="en-US" w:eastAsia="zh-CN" w:bidi="ar"/>
        </w:rPr>
        <w:t>不存在联合体投标情形，全部投标工作由我方独立完成，未与其他单位组成联合体共同投标。若承诺不实，自愿承担投标无效、取消中标资格等一切违约责任。</w:t>
      </w:r>
    </w:p>
    <w:p w14:paraId="6EC06B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p>
    <w:p w14:paraId="6E39C7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p>
    <w:p w14:paraId="3CE81E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p>
    <w:p w14:paraId="6FACCE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投标人名称、</w:t>
      </w:r>
      <w:r>
        <w:rPr>
          <w:rFonts w:ascii="宋体" w:hAnsi="宋体" w:eastAsia="宋体" w:cs="宋体"/>
          <w:color w:val="000000"/>
          <w:kern w:val="0"/>
          <w:sz w:val="24"/>
          <w:szCs w:val="24"/>
          <w:lang w:val="en-US" w:eastAsia="zh-CN" w:bidi="ar"/>
        </w:rPr>
        <w:t>盖章）：</w:t>
      </w:r>
      <w:r>
        <w:rPr>
          <w:rFonts w:hint="eastAsia" w:ascii="宋体" w:hAnsi="宋体" w:eastAsia="宋体" w:cs="宋体"/>
          <w:color w:val="000000"/>
          <w:kern w:val="0"/>
          <w:sz w:val="24"/>
          <w:szCs w:val="24"/>
          <w:u w:val="single"/>
          <w:lang w:val="en-US" w:eastAsia="zh-CN" w:bidi="ar"/>
        </w:rPr>
        <w:t xml:space="preserve">                    </w:t>
      </w:r>
      <w:r>
        <w:rPr>
          <w:rFonts w:ascii="宋体" w:hAnsi="宋体" w:eastAsia="宋体" w:cs="宋体"/>
          <w:color w:val="000000"/>
          <w:kern w:val="0"/>
          <w:sz w:val="24"/>
          <w:szCs w:val="24"/>
          <w:lang w:val="en-US" w:eastAsia="zh-CN" w:bidi="ar"/>
        </w:rPr>
        <w:t xml:space="preserve"> </w:t>
      </w:r>
    </w:p>
    <w:p w14:paraId="6A8F3C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p>
    <w:p w14:paraId="074FEF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u w:val="single"/>
          <w:lang w:val="en-US" w:eastAsia="zh-CN" w:bidi="ar"/>
        </w:rPr>
      </w:pPr>
      <w:r>
        <w:rPr>
          <w:rFonts w:ascii="宋体" w:hAnsi="宋体" w:eastAsia="宋体" w:cs="宋体"/>
          <w:color w:val="000000"/>
          <w:kern w:val="0"/>
          <w:sz w:val="24"/>
          <w:szCs w:val="24"/>
          <w:lang w:val="en-US" w:eastAsia="zh-CN" w:bidi="ar"/>
        </w:rPr>
        <w:t xml:space="preserve">法定代表人（签字或盖章）： </w:t>
      </w:r>
      <w:r>
        <w:rPr>
          <w:rFonts w:hint="eastAsia" w:ascii="宋体" w:hAnsi="宋体" w:eastAsia="宋体" w:cs="宋体"/>
          <w:color w:val="000000"/>
          <w:kern w:val="0"/>
          <w:sz w:val="24"/>
          <w:szCs w:val="24"/>
          <w:u w:val="single"/>
          <w:lang w:val="en-US" w:eastAsia="zh-CN" w:bidi="ar"/>
        </w:rPr>
        <w:t xml:space="preserve">                  </w:t>
      </w:r>
    </w:p>
    <w:p w14:paraId="738D9E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p>
    <w:p w14:paraId="3A348D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lang w:val="en-US" w:eastAsia="zh-CN" w:bidi="ar"/>
        </w:rPr>
        <w:t xml:space="preserve">  </w:t>
      </w:r>
      <w:r>
        <w:rPr>
          <w:rFonts w:ascii="宋体" w:hAnsi="宋体" w:eastAsia="宋体" w:cs="宋体"/>
          <w:color w:val="000000"/>
          <w:kern w:val="0"/>
          <w:sz w:val="24"/>
          <w:szCs w:val="24"/>
          <w:lang w:val="en-US" w:eastAsia="zh-CN" w:bidi="ar"/>
        </w:rPr>
        <w:t xml:space="preserve"> 年</w:t>
      </w:r>
      <w:r>
        <w:rPr>
          <w:rFonts w:hint="eastAsia" w:ascii="宋体" w:hAnsi="宋体" w:eastAsia="宋体" w:cs="宋体"/>
          <w:color w:val="000000"/>
          <w:kern w:val="0"/>
          <w:sz w:val="24"/>
          <w:szCs w:val="24"/>
          <w:lang w:val="en-US" w:eastAsia="zh-CN" w:bidi="ar"/>
        </w:rPr>
        <w:t xml:space="preserve"> </w:t>
      </w:r>
      <w:r>
        <w:rPr>
          <w:rFonts w:ascii="宋体" w:hAnsi="宋体" w:eastAsia="宋体" w:cs="宋体"/>
          <w:color w:val="000000"/>
          <w:kern w:val="0"/>
          <w:sz w:val="24"/>
          <w:szCs w:val="24"/>
          <w:lang w:val="en-US" w:eastAsia="zh-CN" w:bidi="ar"/>
        </w:rPr>
        <w:t xml:space="preserve"> 月</w:t>
      </w:r>
      <w:r>
        <w:rPr>
          <w:rFonts w:hint="eastAsia" w:ascii="宋体" w:hAnsi="宋体" w:eastAsia="宋体" w:cs="宋体"/>
          <w:color w:val="000000"/>
          <w:kern w:val="0"/>
          <w:sz w:val="24"/>
          <w:szCs w:val="24"/>
          <w:lang w:val="en-US" w:eastAsia="zh-CN" w:bidi="ar"/>
        </w:rPr>
        <w:t xml:space="preserve"> </w:t>
      </w:r>
      <w:r>
        <w:rPr>
          <w:rFonts w:ascii="宋体" w:hAnsi="宋体" w:eastAsia="宋体" w:cs="宋体"/>
          <w:color w:val="000000"/>
          <w:kern w:val="0"/>
          <w:sz w:val="24"/>
          <w:szCs w:val="24"/>
          <w:lang w:val="en-US" w:eastAsia="zh-CN" w:bidi="ar"/>
        </w:rPr>
        <w:t xml:space="preserve"> 日</w:t>
      </w:r>
    </w:p>
    <w:p w14:paraId="16EBBB21">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72CAA0A4"/>
    <w:p w14:paraId="13EB3303">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3FCCBA5E">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50581235">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1DAA7FA0">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69911F2C">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1B403C59">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1CDA5583">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68D9EA19">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26EF6CDC">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601338CA">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13ECB4E9">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1DDF3101">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0D391733">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2D61A642">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12F2BCF1">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6AEDB16A">
      <w:pPr>
        <w:pStyle w:val="4"/>
        <w:pageBreakBefore w:val="0"/>
        <w:tabs>
          <w:tab w:val="left" w:pos="1603"/>
        </w:tabs>
        <w:topLinePunct w:val="0"/>
        <w:bidi w:val="0"/>
        <w:spacing w:before="0" w:line="500" w:lineRule="exact"/>
        <w:ind w:right="0" w:rightChars="0"/>
        <w:jc w:val="both"/>
        <w:rPr>
          <w:color w:val="auto"/>
        </w:rPr>
      </w:pPr>
    </w:p>
    <w:p w14:paraId="4782B788">
      <w:pPr>
        <w:pStyle w:val="4"/>
        <w:pageBreakBefore w:val="0"/>
        <w:tabs>
          <w:tab w:val="left" w:pos="1603"/>
        </w:tabs>
        <w:topLinePunct w:val="0"/>
        <w:bidi w:val="0"/>
        <w:spacing w:before="0" w:line="500" w:lineRule="exact"/>
        <w:ind w:left="0" w:leftChars="0" w:right="0" w:rightChars="0" w:firstLine="643" w:firstLineChars="200"/>
        <w:jc w:val="center"/>
        <w:rPr>
          <w:color w:val="auto"/>
        </w:rPr>
      </w:pPr>
      <w:r>
        <w:rPr>
          <w:color w:val="auto"/>
        </w:rPr>
        <w:t>第五部分</w:t>
      </w:r>
      <w:r>
        <w:rPr>
          <w:color w:val="auto"/>
        </w:rPr>
        <w:tab/>
      </w:r>
      <w:r>
        <w:rPr>
          <w:rFonts w:hint="eastAsia"/>
          <w:color w:val="auto"/>
          <w:lang w:eastAsia="zh-CN"/>
        </w:rPr>
        <w:t>供应商</w:t>
      </w:r>
      <w:r>
        <w:rPr>
          <w:color w:val="auto"/>
        </w:rPr>
        <w:t>承诺书</w:t>
      </w:r>
    </w:p>
    <w:p w14:paraId="7B6157D9">
      <w:pPr>
        <w:pStyle w:val="5"/>
        <w:pageBreakBefore w:val="0"/>
        <w:topLinePunct w:val="0"/>
        <w:bidi w:val="0"/>
        <w:spacing w:line="500" w:lineRule="exact"/>
        <w:ind w:left="0" w:leftChars="0" w:right="0" w:rightChars="0" w:firstLine="562" w:firstLineChars="200"/>
        <w:rPr>
          <w:color w:val="auto"/>
        </w:rPr>
      </w:pPr>
      <w:r>
        <w:rPr>
          <w:bCs w:val="0"/>
          <w:color w:val="auto"/>
          <w:lang w:val="en-US"/>
        </w:rPr>
        <w:t>采购</w:t>
      </w:r>
      <w:r>
        <w:rPr>
          <w:rFonts w:hint="eastAsia"/>
          <w:bCs w:val="0"/>
          <w:color w:val="auto"/>
          <w:lang w:val="en-US" w:eastAsia="zh-CN"/>
        </w:rPr>
        <w:t>供应商</w:t>
      </w:r>
      <w:r>
        <w:rPr>
          <w:bCs w:val="0"/>
          <w:color w:val="auto"/>
          <w:lang w:val="en-US"/>
        </w:rPr>
        <w:t>拒绝政府采购领域商业贿赂承诺书</w:t>
      </w:r>
    </w:p>
    <w:p w14:paraId="2B44ECD9">
      <w:pPr>
        <w:pStyle w:val="12"/>
        <w:pageBreakBefore w:val="0"/>
        <w:topLinePunct w:val="0"/>
        <w:bidi w:val="0"/>
        <w:spacing w:line="500" w:lineRule="exact"/>
        <w:ind w:left="0" w:leftChars="0" w:right="0" w:rightChars="0" w:firstLine="783" w:firstLineChars="200"/>
        <w:rPr>
          <w:b/>
          <w:color w:val="auto"/>
          <w:sz w:val="39"/>
        </w:rPr>
      </w:pPr>
    </w:p>
    <w:p w14:paraId="5D19438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为响应党中央、国务院关于治理采购领域商业贿赂行为的号召，我公司再次承诺：</w:t>
      </w:r>
    </w:p>
    <w:p w14:paraId="4479AC3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w:t>
      </w:r>
      <w:r>
        <w:rPr>
          <w:rFonts w:hint="eastAsia"/>
          <w:color w:val="auto"/>
          <w:sz w:val="24"/>
          <w:szCs w:val="24"/>
          <w:lang w:val="en-US" w:eastAsia="zh-CN"/>
        </w:rPr>
        <w:t>.</w:t>
      </w:r>
      <w:r>
        <w:rPr>
          <w:rFonts w:hint="eastAsia"/>
          <w:color w:val="auto"/>
          <w:sz w:val="24"/>
          <w:szCs w:val="24"/>
          <w:lang w:val="en-US"/>
        </w:rPr>
        <w:t>在参与采购活动中遵纪守法、诚信经营、公平竞标。</w:t>
      </w:r>
    </w:p>
    <w:p w14:paraId="7908E670">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w:t>
      </w:r>
      <w:r>
        <w:rPr>
          <w:rFonts w:hint="eastAsia"/>
          <w:color w:val="auto"/>
          <w:sz w:val="24"/>
          <w:szCs w:val="24"/>
          <w:lang w:val="en-US" w:eastAsia="zh-CN"/>
        </w:rPr>
        <w:t>.</w:t>
      </w:r>
      <w:r>
        <w:rPr>
          <w:rFonts w:hint="eastAsia"/>
          <w:color w:val="auto"/>
          <w:sz w:val="24"/>
          <w:szCs w:val="24"/>
          <w:lang w:val="en-US"/>
        </w:rPr>
        <w:t>不向采购人、采购代理机构和采购评审专家进行任何形式的商业贿赂以谋取交易机会。</w:t>
      </w:r>
    </w:p>
    <w:p w14:paraId="32FD65BF">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w:t>
      </w:r>
      <w:r>
        <w:rPr>
          <w:rFonts w:hint="eastAsia"/>
          <w:color w:val="auto"/>
          <w:sz w:val="24"/>
          <w:szCs w:val="24"/>
          <w:lang w:val="en-US" w:eastAsia="zh-CN"/>
        </w:rPr>
        <w:t>.</w:t>
      </w:r>
      <w:r>
        <w:rPr>
          <w:rFonts w:hint="eastAsia"/>
          <w:color w:val="auto"/>
          <w:sz w:val="24"/>
          <w:szCs w:val="24"/>
          <w:lang w:val="en-US"/>
        </w:rPr>
        <w:t>不向采购代理机构和采购人提供虚假资质文件或采用虚假应标方式参与采购市场竞争并谋取中标、成交。</w:t>
      </w:r>
    </w:p>
    <w:p w14:paraId="217B6A1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w:t>
      </w:r>
      <w:r>
        <w:rPr>
          <w:rFonts w:hint="eastAsia"/>
          <w:color w:val="auto"/>
          <w:sz w:val="24"/>
          <w:szCs w:val="24"/>
          <w:lang w:val="en-US" w:eastAsia="zh-CN"/>
        </w:rPr>
        <w:t>.</w:t>
      </w:r>
      <w:r>
        <w:rPr>
          <w:rFonts w:hint="eastAsia"/>
          <w:color w:val="auto"/>
          <w:sz w:val="24"/>
          <w:szCs w:val="24"/>
          <w:lang w:val="en-US"/>
        </w:rPr>
        <w:t>不采取“围标、陪标”等商业欺诈手段获取采购订单。</w:t>
      </w:r>
    </w:p>
    <w:p w14:paraId="54DCE18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w:t>
      </w:r>
      <w:r>
        <w:rPr>
          <w:rFonts w:hint="eastAsia"/>
          <w:color w:val="auto"/>
          <w:sz w:val="24"/>
          <w:szCs w:val="24"/>
          <w:lang w:val="en-US" w:eastAsia="zh-CN"/>
        </w:rPr>
        <w:t>.</w:t>
      </w:r>
      <w:r>
        <w:rPr>
          <w:rFonts w:hint="eastAsia"/>
          <w:color w:val="auto"/>
          <w:sz w:val="24"/>
          <w:szCs w:val="24"/>
          <w:lang w:val="en-US"/>
        </w:rPr>
        <w:t>不采取不正当手段诋毁、排挤其他</w:t>
      </w:r>
      <w:r>
        <w:rPr>
          <w:rFonts w:hint="eastAsia"/>
          <w:color w:val="auto"/>
          <w:sz w:val="24"/>
          <w:szCs w:val="24"/>
          <w:lang w:val="en-US" w:eastAsia="zh-CN"/>
        </w:rPr>
        <w:t>供应商</w:t>
      </w:r>
      <w:r>
        <w:rPr>
          <w:rFonts w:hint="eastAsia"/>
          <w:color w:val="auto"/>
          <w:sz w:val="24"/>
          <w:szCs w:val="24"/>
          <w:lang w:val="en-US"/>
        </w:rPr>
        <w:t>。</w:t>
      </w:r>
    </w:p>
    <w:p w14:paraId="7851356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6</w:t>
      </w:r>
      <w:r>
        <w:rPr>
          <w:rFonts w:hint="eastAsia"/>
          <w:color w:val="auto"/>
          <w:sz w:val="24"/>
          <w:szCs w:val="24"/>
          <w:lang w:val="en-US" w:eastAsia="zh-CN"/>
        </w:rPr>
        <w:t>.</w:t>
      </w:r>
      <w:r>
        <w:rPr>
          <w:rFonts w:hint="eastAsia"/>
          <w:color w:val="auto"/>
          <w:sz w:val="24"/>
          <w:szCs w:val="24"/>
          <w:lang w:val="en-US"/>
        </w:rPr>
        <w:t>不在提供商品和服务时“偷梁换柱、以次充好”损害采购人的合法权益。</w:t>
      </w:r>
    </w:p>
    <w:p w14:paraId="3774038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7</w:t>
      </w:r>
      <w:r>
        <w:rPr>
          <w:rFonts w:hint="eastAsia"/>
          <w:color w:val="auto"/>
          <w:sz w:val="24"/>
          <w:szCs w:val="24"/>
          <w:lang w:val="en-US" w:eastAsia="zh-CN"/>
        </w:rPr>
        <w:t>.</w:t>
      </w:r>
      <w:r>
        <w:rPr>
          <w:rFonts w:hint="eastAsia"/>
          <w:color w:val="auto"/>
          <w:sz w:val="24"/>
          <w:szCs w:val="24"/>
          <w:lang w:val="en-US"/>
        </w:rPr>
        <w:t>不与采购人、采购代理机构、采购评审专家或其他</w:t>
      </w:r>
      <w:r>
        <w:rPr>
          <w:rFonts w:hint="eastAsia"/>
          <w:color w:val="auto"/>
          <w:sz w:val="24"/>
          <w:szCs w:val="24"/>
          <w:lang w:val="en-US" w:eastAsia="zh-CN"/>
        </w:rPr>
        <w:t>供应商</w:t>
      </w:r>
      <w:r>
        <w:rPr>
          <w:rFonts w:hint="eastAsia"/>
          <w:color w:val="auto"/>
          <w:sz w:val="24"/>
          <w:szCs w:val="24"/>
          <w:lang w:val="en-US"/>
        </w:rPr>
        <w:t>恶意串通，进行质疑和投诉，维护采购市场秩序。</w:t>
      </w:r>
    </w:p>
    <w:p w14:paraId="5FAF400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8</w:t>
      </w:r>
      <w:r>
        <w:rPr>
          <w:rFonts w:hint="eastAsia"/>
          <w:color w:val="auto"/>
          <w:sz w:val="24"/>
          <w:szCs w:val="24"/>
          <w:lang w:val="en-US" w:eastAsia="zh-CN"/>
        </w:rPr>
        <w:t>.</w:t>
      </w:r>
      <w:r>
        <w:rPr>
          <w:rFonts w:hint="eastAsia"/>
          <w:color w:val="auto"/>
          <w:sz w:val="24"/>
          <w:szCs w:val="24"/>
          <w:lang w:val="en-US"/>
        </w:rPr>
        <w:t>尊重和接受采购监督管理部门的监督和采购代理机构招标采购要求，承担因违约行为给采购人造成的损失。</w:t>
      </w:r>
    </w:p>
    <w:p w14:paraId="2BB06E4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9</w:t>
      </w:r>
      <w:r>
        <w:rPr>
          <w:rFonts w:hint="eastAsia"/>
          <w:color w:val="auto"/>
          <w:sz w:val="24"/>
          <w:szCs w:val="24"/>
          <w:lang w:val="en-US" w:eastAsia="zh-CN"/>
        </w:rPr>
        <w:t>.</w:t>
      </w:r>
      <w:r>
        <w:rPr>
          <w:rFonts w:hint="eastAsia"/>
          <w:color w:val="auto"/>
          <w:sz w:val="24"/>
          <w:szCs w:val="24"/>
          <w:lang w:val="en-US"/>
        </w:rPr>
        <w:t>不发生其他有悖于政府采购公开、公平、公正和诚信原则的行为。</w:t>
      </w:r>
    </w:p>
    <w:p w14:paraId="769E777A">
      <w:pPr>
        <w:pageBreakBefore w:val="0"/>
        <w:topLinePunct w:val="0"/>
        <w:bidi w:val="0"/>
        <w:spacing w:line="500" w:lineRule="exact"/>
        <w:ind w:left="0" w:leftChars="0" w:right="0" w:rightChars="0" w:firstLine="480" w:firstLineChars="200"/>
        <w:rPr>
          <w:color w:val="auto"/>
          <w:sz w:val="24"/>
          <w:szCs w:val="24"/>
          <w:lang w:val="en-US"/>
        </w:rPr>
      </w:pPr>
    </w:p>
    <w:p w14:paraId="4509D360">
      <w:pPr>
        <w:pageBreakBefore w:val="0"/>
        <w:topLinePunct w:val="0"/>
        <w:bidi w:val="0"/>
        <w:spacing w:line="500" w:lineRule="exact"/>
        <w:ind w:left="0" w:leftChars="0" w:right="0" w:rightChars="0" w:firstLine="480" w:firstLineChars="200"/>
        <w:rPr>
          <w:color w:val="auto"/>
          <w:sz w:val="24"/>
          <w:szCs w:val="24"/>
          <w:lang w:val="en-US"/>
        </w:rPr>
      </w:pPr>
    </w:p>
    <w:p w14:paraId="21002FAC">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 xml:space="preserve">承诺单位：（盖章）                    </w:t>
      </w:r>
      <w:r>
        <w:rPr>
          <w:rFonts w:hint="eastAsia"/>
          <w:color w:val="auto"/>
          <w:sz w:val="24"/>
          <w:szCs w:val="24"/>
          <w:lang w:val="en-US"/>
        </w:rPr>
        <w:tab/>
      </w:r>
    </w:p>
    <w:p w14:paraId="2828F940">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全权代表：（签字）</w:t>
      </w:r>
    </w:p>
    <w:p w14:paraId="7FF8C46B">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 xml:space="preserve">地址：                                </w:t>
      </w:r>
      <w:r>
        <w:rPr>
          <w:rFonts w:hint="eastAsia"/>
          <w:color w:val="auto"/>
          <w:sz w:val="24"/>
          <w:szCs w:val="24"/>
          <w:lang w:val="en-US"/>
        </w:rPr>
        <w:tab/>
      </w:r>
    </w:p>
    <w:p w14:paraId="604713A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邮编：</w:t>
      </w:r>
    </w:p>
    <w:p w14:paraId="21B434D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电话：</w:t>
      </w:r>
    </w:p>
    <w:p w14:paraId="39241B85">
      <w:pPr>
        <w:pStyle w:val="12"/>
        <w:pageBreakBefore w:val="0"/>
        <w:topLinePunct w:val="0"/>
        <w:bidi w:val="0"/>
        <w:spacing w:line="500" w:lineRule="exact"/>
        <w:ind w:left="0" w:leftChars="0" w:right="0" w:rightChars="0" w:firstLine="480" w:firstLineChars="200"/>
        <w:rPr>
          <w:color w:val="auto"/>
        </w:rPr>
      </w:pPr>
    </w:p>
    <w:p w14:paraId="06092370">
      <w:pPr>
        <w:pStyle w:val="12"/>
        <w:pageBreakBefore w:val="0"/>
        <w:topLinePunct w:val="0"/>
        <w:bidi w:val="0"/>
        <w:spacing w:line="500" w:lineRule="exact"/>
        <w:ind w:left="0" w:leftChars="0" w:right="0" w:rightChars="0" w:firstLine="520" w:firstLineChars="200"/>
        <w:rPr>
          <w:color w:val="auto"/>
          <w:sz w:val="26"/>
        </w:rPr>
      </w:pPr>
    </w:p>
    <w:p w14:paraId="51F67C95">
      <w:pPr>
        <w:pStyle w:val="12"/>
        <w:pageBreakBefore w:val="0"/>
        <w:tabs>
          <w:tab w:val="left" w:pos="719"/>
          <w:tab w:val="left" w:pos="1439"/>
        </w:tabs>
        <w:topLinePunct w:val="0"/>
        <w:bidi w:val="0"/>
        <w:spacing w:line="500" w:lineRule="exact"/>
        <w:ind w:left="0" w:leftChars="0" w:right="0" w:rightChars="0" w:firstLine="480" w:firstLineChars="200"/>
        <w:jc w:val="center"/>
        <w:rPr>
          <w:color w:val="auto"/>
        </w:rPr>
      </w:pPr>
      <w:r>
        <w:rPr>
          <w:rFonts w:hint="eastAsia"/>
          <w:color w:val="auto"/>
          <w:lang w:val="en-US"/>
        </w:rPr>
        <w:t xml:space="preserve">                               </w:t>
      </w:r>
      <w:r>
        <w:rPr>
          <w:color w:val="auto"/>
        </w:rPr>
        <w:t>年</w:t>
      </w:r>
      <w:r>
        <w:rPr>
          <w:color w:val="auto"/>
        </w:rPr>
        <w:tab/>
      </w:r>
      <w:r>
        <w:rPr>
          <w:color w:val="auto"/>
        </w:rPr>
        <w:t>月</w:t>
      </w:r>
      <w:r>
        <w:rPr>
          <w:color w:val="auto"/>
        </w:rPr>
        <w:tab/>
      </w:r>
      <w:r>
        <w:rPr>
          <w:color w:val="auto"/>
        </w:rPr>
        <w:t>日</w:t>
      </w:r>
    </w:p>
    <w:p w14:paraId="05185491">
      <w:pPr>
        <w:pageBreakBefore w:val="0"/>
        <w:topLinePunct w:val="0"/>
        <w:bidi w:val="0"/>
        <w:spacing w:line="500" w:lineRule="exact"/>
        <w:ind w:left="0" w:leftChars="0" w:right="0" w:rightChars="0" w:firstLine="440" w:firstLineChars="200"/>
        <w:jc w:val="right"/>
        <w:rPr>
          <w:color w:val="auto"/>
        </w:rPr>
        <w:sectPr>
          <w:pgSz w:w="11910" w:h="16840"/>
          <w:pgMar w:top="1360" w:right="660" w:bottom="1200" w:left="1340" w:header="872" w:footer="1005" w:gutter="0"/>
          <w:pgNumType w:fmt="decimal"/>
          <w:cols w:space="720" w:num="1"/>
        </w:sectPr>
      </w:pPr>
    </w:p>
    <w:p w14:paraId="68631466">
      <w:pPr>
        <w:pStyle w:val="4"/>
        <w:pageBreakBefore w:val="0"/>
        <w:tabs>
          <w:tab w:val="left" w:pos="1605"/>
        </w:tabs>
        <w:topLinePunct w:val="0"/>
        <w:bidi w:val="0"/>
        <w:spacing w:before="0" w:line="500" w:lineRule="exact"/>
        <w:ind w:left="0" w:leftChars="0" w:right="0" w:rightChars="0" w:firstLine="3213" w:firstLineChars="1000"/>
        <w:jc w:val="both"/>
        <w:rPr>
          <w:rFonts w:hint="eastAsia" w:ascii="Arial" w:hAnsi="Arial" w:cs="Arial"/>
          <w:b/>
          <w:bCs/>
          <w:color w:val="auto"/>
          <w:sz w:val="28"/>
          <w:szCs w:val="28"/>
          <w:lang w:val="en-US" w:eastAsia="zh-CN" w:bidi="ar"/>
        </w:rPr>
      </w:pPr>
      <w:r>
        <w:rPr>
          <w:color w:val="auto"/>
        </w:rPr>
        <w:t>第六部分</w:t>
      </w:r>
      <w:r>
        <w:rPr>
          <w:color w:val="auto"/>
        </w:rPr>
        <w:tab/>
      </w:r>
      <w:r>
        <w:rPr>
          <w:color w:val="auto"/>
          <w:w w:val="95"/>
        </w:rPr>
        <w:t>其他</w:t>
      </w:r>
    </w:p>
    <w:p w14:paraId="50C6F543">
      <w:pPr>
        <w:pageBreakBefore w:val="0"/>
        <w:widowControl/>
        <w:wordWrap w:val="0"/>
        <w:topLinePunct w:val="0"/>
        <w:bidi w:val="0"/>
        <w:spacing w:line="500" w:lineRule="exact"/>
        <w:ind w:right="0" w:rightChars="0" w:firstLine="3092" w:firstLineChars="1100"/>
        <w:jc w:val="both"/>
        <w:rPr>
          <w:rFonts w:hint="eastAsia" w:ascii="Arial" w:hAnsi="Arial" w:cs="Arial"/>
          <w:b/>
          <w:bCs/>
          <w:color w:val="auto"/>
          <w:sz w:val="28"/>
          <w:szCs w:val="28"/>
          <w:lang w:bidi="ar"/>
        </w:rPr>
      </w:pPr>
      <w:r>
        <w:rPr>
          <w:rFonts w:hint="eastAsia" w:ascii="Arial" w:hAnsi="Arial" w:cs="Arial"/>
          <w:b/>
          <w:bCs/>
          <w:color w:val="auto"/>
          <w:sz w:val="28"/>
          <w:szCs w:val="28"/>
          <w:lang w:val="en-US" w:eastAsia="zh-CN" w:bidi="ar"/>
        </w:rPr>
        <w:t xml:space="preserve">6.1  </w:t>
      </w:r>
      <w:r>
        <w:rPr>
          <w:rFonts w:hint="eastAsia" w:ascii="Arial" w:hAnsi="Arial" w:cs="Arial"/>
          <w:b/>
          <w:bCs/>
          <w:color w:val="auto"/>
          <w:sz w:val="28"/>
          <w:szCs w:val="28"/>
          <w:lang w:bidi="ar"/>
        </w:rPr>
        <w:t>中小企业声明函</w:t>
      </w:r>
    </w:p>
    <w:p w14:paraId="0296FFB0">
      <w:pPr>
        <w:pageBreakBefore w:val="0"/>
        <w:widowControl/>
        <w:wordWrap w:val="0"/>
        <w:topLinePunct w:val="0"/>
        <w:bidi w:val="0"/>
        <w:spacing w:line="500" w:lineRule="exact"/>
        <w:ind w:right="0" w:rightChars="0"/>
        <w:jc w:val="both"/>
        <w:rPr>
          <w:rFonts w:ascii="宋体" w:hAnsi="宋体" w:eastAsia="宋体" w:cs="宋体"/>
          <w:b/>
          <w:bCs/>
          <w:color w:val="auto"/>
          <w:spacing w:val="2"/>
          <w:sz w:val="24"/>
          <w:szCs w:val="24"/>
        </w:rPr>
      </w:pPr>
      <w:r>
        <w:rPr>
          <w:rFonts w:hint="eastAsia" w:ascii="Arial" w:hAnsi="Arial" w:cs="Arial"/>
          <w:b/>
          <w:bCs/>
          <w:color w:val="auto"/>
          <w:sz w:val="24"/>
          <w:szCs w:val="24"/>
          <w:lang w:bidi="ar"/>
        </w:rPr>
        <w:t>符合《政府采购促进中小企业发展管理办法》、《关于政府采购支持监狱企业发展有关问题的通知》和《三部门联合发布关于促进残疾人就业政府采购政策的通知》价格扣减条件的投标人须提交:未提供或未按给定格式提供声明</w:t>
      </w:r>
      <w:r>
        <w:rPr>
          <w:rFonts w:hint="eastAsia" w:ascii="Arial" w:hAnsi="Arial" w:cs="Arial"/>
          <w:b/>
          <w:bCs/>
          <w:color w:val="auto"/>
          <w:sz w:val="24"/>
          <w:szCs w:val="24"/>
          <w:lang w:val="en-US" w:eastAsia="zh-CN" w:bidi="ar"/>
        </w:rPr>
        <w:t>函</w:t>
      </w:r>
      <w:r>
        <w:rPr>
          <w:rFonts w:hint="eastAsia" w:ascii="Arial" w:hAnsi="Arial" w:cs="Arial"/>
          <w:b/>
          <w:bCs/>
          <w:color w:val="auto"/>
          <w:sz w:val="24"/>
          <w:szCs w:val="24"/>
          <w:lang w:bidi="ar"/>
        </w:rPr>
        <w:t>将不能享受招标文件规定的价格扣除，但不影响投标文件的有效性。</w:t>
      </w:r>
    </w:p>
    <w:p w14:paraId="436EA789">
      <w:pPr>
        <w:pageBreakBefore w:val="0"/>
        <w:topLinePunct w:val="0"/>
        <w:bidi w:val="0"/>
        <w:spacing w:line="500" w:lineRule="exact"/>
        <w:ind w:right="0" w:rightChars="0" w:firstLine="2843" w:firstLineChars="800"/>
        <w:jc w:val="both"/>
        <w:outlineLvl w:val="0"/>
        <w:rPr>
          <w:rFonts w:ascii="宋体" w:hAnsi="宋体" w:eastAsia="宋体" w:cs="宋体"/>
          <w:b/>
          <w:bCs/>
          <w:color w:val="auto"/>
          <w:spacing w:val="2"/>
          <w:sz w:val="35"/>
          <w:szCs w:val="35"/>
        </w:rPr>
      </w:pPr>
      <w:r>
        <w:rPr>
          <w:rFonts w:ascii="宋体" w:hAnsi="宋体" w:eastAsia="宋体" w:cs="宋体"/>
          <w:b/>
          <w:bCs/>
          <w:color w:val="auto"/>
          <w:spacing w:val="2"/>
          <w:sz w:val="35"/>
          <w:szCs w:val="35"/>
        </w:rPr>
        <w:t>中小企业声明函（货物）</w:t>
      </w:r>
    </w:p>
    <w:p w14:paraId="6571F6A9">
      <w:pPr>
        <w:pageBreakBefore w:val="0"/>
        <w:topLinePunct w:val="0"/>
        <w:bidi w:val="0"/>
        <w:spacing w:line="500" w:lineRule="exact"/>
        <w:ind w:left="0" w:leftChars="0" w:right="0" w:rightChars="0" w:firstLine="651" w:firstLineChars="200"/>
        <w:jc w:val="both"/>
        <w:outlineLvl w:val="0"/>
        <w:rPr>
          <w:rFonts w:hint="eastAsia" w:ascii="宋体" w:hAnsi="宋体" w:eastAsia="宋体" w:cs="宋体"/>
          <w:b/>
          <w:bCs/>
          <w:color w:val="auto"/>
          <w:spacing w:val="2"/>
          <w:sz w:val="32"/>
          <w:szCs w:val="32"/>
          <w:lang w:eastAsia="zh-CN"/>
        </w:rPr>
      </w:pPr>
      <w:r>
        <w:rPr>
          <w:rFonts w:hint="eastAsia" w:cs="宋体"/>
          <w:b/>
          <w:bCs/>
          <w:color w:val="auto"/>
          <w:spacing w:val="2"/>
          <w:sz w:val="32"/>
          <w:szCs w:val="32"/>
          <w:lang w:eastAsia="zh-CN"/>
        </w:rPr>
        <w:t>（</w:t>
      </w:r>
      <w:r>
        <w:rPr>
          <w:rFonts w:hint="eastAsia" w:cs="宋体"/>
          <w:b/>
          <w:bCs/>
          <w:color w:val="auto"/>
          <w:spacing w:val="2"/>
          <w:sz w:val="32"/>
          <w:szCs w:val="32"/>
          <w:lang w:val="en-US" w:eastAsia="zh-CN"/>
        </w:rPr>
        <w:t>注：符合中小企业的提供本函，不符合的不提供本函</w:t>
      </w:r>
      <w:r>
        <w:rPr>
          <w:rFonts w:hint="eastAsia" w:cs="宋体"/>
          <w:b/>
          <w:bCs/>
          <w:color w:val="auto"/>
          <w:spacing w:val="2"/>
          <w:sz w:val="32"/>
          <w:szCs w:val="32"/>
          <w:lang w:eastAsia="zh-CN"/>
        </w:rPr>
        <w:t>）</w:t>
      </w:r>
    </w:p>
    <w:p w14:paraId="5033DD88">
      <w:pPr>
        <w:pageBreakBefore w:val="0"/>
        <w:topLinePunct w:val="0"/>
        <w:bidi w:val="0"/>
        <w:spacing w:line="500" w:lineRule="exact"/>
        <w:ind w:right="0" w:rightChars="0"/>
        <w:rPr>
          <w:rFonts w:ascii="Arial"/>
          <w:color w:val="auto"/>
          <w:sz w:val="21"/>
        </w:rPr>
      </w:pPr>
    </w:p>
    <w:p w14:paraId="11C64036">
      <w:pPr>
        <w:pStyle w:val="12"/>
        <w:pageBreakBefore w:val="0"/>
        <w:topLinePunct w:val="0"/>
        <w:bidi w:val="0"/>
        <w:spacing w:line="500" w:lineRule="exact"/>
        <w:ind w:left="0" w:leftChars="0" w:right="0" w:rightChars="0" w:firstLine="480" w:firstLineChars="200"/>
        <w:rPr>
          <w:rFonts w:hint="eastAsia"/>
          <w:color w:val="auto"/>
          <w:spacing w:val="7"/>
          <w:lang w:val="zh-CN" w:eastAsia="zh-CN"/>
        </w:rPr>
      </w:pPr>
      <w:r>
        <w:rPr>
          <w:rFonts w:hint="eastAsia" w:ascii="宋体" w:hAnsi="宋体" w:eastAsia="宋体" w:cs="宋体"/>
          <w:color w:val="auto"/>
          <w:sz w:val="24"/>
          <w:szCs w:val="22"/>
          <w:lang w:val="zh-CN" w:eastAsia="zh-CN" w:bidi="ar"/>
        </w:rPr>
        <w:t>本公司郑重声明，根据《政府采购促进中小企业发展管理办法》（财库﹝2020﹞46号）的规</w:t>
      </w:r>
      <w:r>
        <w:rPr>
          <w:rFonts w:hint="eastAsia"/>
          <w:color w:val="auto"/>
          <w:spacing w:val="7"/>
          <w:lang w:val="zh-CN" w:eastAsia="zh-CN"/>
        </w:rPr>
        <w:t>定，本公司参加</w:t>
      </w:r>
      <w:r>
        <w:rPr>
          <w:rFonts w:hint="eastAsia"/>
          <w:color w:val="auto"/>
          <w:spacing w:val="7"/>
          <w:u w:val="single"/>
          <w:lang w:val="en-US" w:eastAsia="zh-CN"/>
        </w:rPr>
        <w:t xml:space="preserve">      </w:t>
      </w:r>
      <w:r>
        <w:rPr>
          <w:rFonts w:hint="eastAsia"/>
          <w:color w:val="auto"/>
          <w:spacing w:val="7"/>
          <w:u w:val="single"/>
          <w:lang w:val="zh-CN" w:eastAsia="zh-CN"/>
        </w:rPr>
        <w:t>（单位名称）</w:t>
      </w:r>
      <w:r>
        <w:rPr>
          <w:rFonts w:hint="eastAsia"/>
          <w:color w:val="auto"/>
          <w:spacing w:val="7"/>
          <w:lang w:val="zh-CN" w:eastAsia="zh-CN"/>
        </w:rPr>
        <w:t>的</w:t>
      </w:r>
      <w:r>
        <w:rPr>
          <w:rFonts w:hint="eastAsia"/>
          <w:color w:val="auto"/>
          <w:spacing w:val="7"/>
          <w:u w:val="single"/>
          <w:lang w:val="en-US" w:eastAsia="zh-CN"/>
        </w:rPr>
        <w:t xml:space="preserve">       </w:t>
      </w:r>
      <w:r>
        <w:rPr>
          <w:rFonts w:hint="eastAsia"/>
          <w:color w:val="auto"/>
          <w:spacing w:val="7"/>
          <w:u w:val="single"/>
          <w:lang w:val="zh-CN" w:eastAsia="zh-CN"/>
        </w:rPr>
        <w:t>（项目名称）</w:t>
      </w:r>
      <w:r>
        <w:rPr>
          <w:rFonts w:hint="eastAsia"/>
          <w:color w:val="auto"/>
          <w:spacing w:val="7"/>
          <w:lang w:val="zh-CN" w:eastAsia="zh-CN"/>
        </w:rPr>
        <w:t>采购活动，提供的货物全部由符合政策要求的中小企业制造。相关企业的具体情况如下：</w:t>
      </w:r>
    </w:p>
    <w:p w14:paraId="5AE4D1FE">
      <w:pPr>
        <w:pStyle w:val="12"/>
        <w:pageBreakBefore w:val="0"/>
        <w:topLinePunct w:val="0"/>
        <w:bidi w:val="0"/>
        <w:spacing w:line="500" w:lineRule="exact"/>
        <w:ind w:left="0" w:leftChars="0" w:right="0" w:rightChars="0" w:firstLine="508" w:firstLineChars="200"/>
        <w:rPr>
          <w:rFonts w:hint="eastAsia"/>
          <w:color w:val="auto"/>
          <w:spacing w:val="7"/>
          <w:lang w:val="zh-CN" w:eastAsia="zh-CN"/>
        </w:rPr>
      </w:pPr>
      <w:r>
        <w:rPr>
          <w:rFonts w:hint="eastAsia"/>
          <w:color w:val="auto"/>
          <w:spacing w:val="7"/>
          <w:lang w:val="zh-CN" w:eastAsia="zh-CN"/>
        </w:rPr>
        <w:t>1.</w:t>
      </w:r>
      <w:r>
        <w:rPr>
          <w:rFonts w:hint="eastAsia"/>
          <w:color w:val="auto"/>
          <w:spacing w:val="7"/>
          <w:u w:val="single"/>
          <w:lang w:val="zh-CN" w:eastAsia="zh-CN"/>
        </w:rPr>
        <w:t>（标的名称）</w:t>
      </w:r>
      <w:r>
        <w:rPr>
          <w:rFonts w:hint="eastAsia"/>
          <w:color w:val="auto"/>
          <w:spacing w:val="7"/>
          <w:lang w:val="zh-CN" w:eastAsia="zh-CN"/>
        </w:rPr>
        <w:t>，属于</w:t>
      </w:r>
      <w:r>
        <w:rPr>
          <w:rFonts w:hint="eastAsia"/>
          <w:color w:val="auto"/>
          <w:spacing w:val="7"/>
          <w:u w:val="single"/>
          <w:lang w:val="zh-CN" w:eastAsia="zh-CN"/>
        </w:rPr>
        <w:t>（采购文件中明确的所属行业）</w:t>
      </w:r>
      <w:r>
        <w:rPr>
          <w:rFonts w:hint="eastAsia"/>
          <w:color w:val="auto"/>
          <w:spacing w:val="7"/>
          <w:lang w:val="zh-CN" w:eastAsia="zh-CN"/>
        </w:rPr>
        <w:t>行业；制造商为</w:t>
      </w:r>
      <w:r>
        <w:rPr>
          <w:rFonts w:hint="eastAsia"/>
          <w:color w:val="auto"/>
          <w:spacing w:val="7"/>
          <w:u w:val="single"/>
          <w:lang w:val="zh-CN" w:eastAsia="zh-CN"/>
        </w:rPr>
        <w:t>（企业名称）</w:t>
      </w:r>
      <w:r>
        <w:rPr>
          <w:rFonts w:hint="eastAsia"/>
          <w:color w:val="auto"/>
          <w:spacing w:val="7"/>
          <w:lang w:val="zh-CN" w:eastAsia="zh-CN"/>
        </w:rPr>
        <w:t>，从业人员</w:t>
      </w:r>
      <w:r>
        <w:rPr>
          <w:rFonts w:hint="eastAsia"/>
          <w:color w:val="auto"/>
          <w:spacing w:val="7"/>
          <w:u w:val="single"/>
          <w:lang w:val="zh-CN" w:eastAsia="zh-CN"/>
        </w:rPr>
        <w:t xml:space="preserve">    </w:t>
      </w:r>
      <w:r>
        <w:rPr>
          <w:rFonts w:hint="eastAsia"/>
          <w:color w:val="auto"/>
          <w:spacing w:val="7"/>
          <w:lang w:val="zh-CN" w:eastAsia="zh-CN"/>
        </w:rPr>
        <w:t>人，营业收入为</w:t>
      </w:r>
      <w:r>
        <w:rPr>
          <w:rFonts w:hint="eastAsia"/>
          <w:color w:val="auto"/>
          <w:spacing w:val="7"/>
          <w:u w:val="single"/>
          <w:lang w:val="zh-CN" w:eastAsia="zh-CN"/>
        </w:rPr>
        <w:t xml:space="preserve">     </w:t>
      </w:r>
      <w:r>
        <w:rPr>
          <w:rFonts w:hint="eastAsia"/>
          <w:color w:val="auto"/>
          <w:spacing w:val="7"/>
          <w:lang w:val="zh-CN" w:eastAsia="zh-CN"/>
        </w:rPr>
        <w:t>万元，资产总额为</w:t>
      </w:r>
      <w:r>
        <w:rPr>
          <w:rFonts w:hint="eastAsia"/>
          <w:color w:val="auto"/>
          <w:spacing w:val="7"/>
          <w:u w:val="single"/>
          <w:lang w:val="zh-CN" w:eastAsia="zh-CN"/>
        </w:rPr>
        <w:t xml:space="preserve">     </w:t>
      </w:r>
      <w:r>
        <w:rPr>
          <w:rFonts w:hint="eastAsia"/>
          <w:color w:val="auto"/>
          <w:spacing w:val="7"/>
          <w:lang w:val="zh-CN" w:eastAsia="zh-CN"/>
        </w:rPr>
        <w:t>万元，属于</w:t>
      </w:r>
      <w:r>
        <w:rPr>
          <w:rFonts w:hint="eastAsia"/>
          <w:color w:val="auto"/>
          <w:spacing w:val="7"/>
          <w:u w:val="single"/>
          <w:lang w:val="en-US" w:eastAsia="zh-CN"/>
        </w:rPr>
        <w:t xml:space="preserve">      </w:t>
      </w:r>
      <w:r>
        <w:rPr>
          <w:rFonts w:hint="eastAsia"/>
          <w:color w:val="auto"/>
          <w:spacing w:val="7"/>
          <w:u w:val="single"/>
          <w:lang w:val="zh-CN" w:eastAsia="zh-CN"/>
        </w:rPr>
        <w:t>（中型企业、小型企业、微型企业）</w:t>
      </w:r>
      <w:r>
        <w:rPr>
          <w:rFonts w:hint="eastAsia"/>
          <w:color w:val="auto"/>
          <w:spacing w:val="7"/>
          <w:lang w:val="zh-CN" w:eastAsia="zh-CN"/>
        </w:rPr>
        <w:t>；</w:t>
      </w:r>
    </w:p>
    <w:p w14:paraId="37EEA0ED">
      <w:pPr>
        <w:pStyle w:val="12"/>
        <w:pageBreakBefore w:val="0"/>
        <w:topLinePunct w:val="0"/>
        <w:bidi w:val="0"/>
        <w:spacing w:line="500" w:lineRule="exact"/>
        <w:ind w:left="0" w:leftChars="0" w:right="0" w:rightChars="0" w:firstLine="508" w:firstLineChars="200"/>
        <w:rPr>
          <w:rFonts w:hint="eastAsia" w:ascii="宋体" w:hAnsi="宋体" w:eastAsia="宋体" w:cs="宋体"/>
          <w:color w:val="auto"/>
          <w:sz w:val="24"/>
          <w:szCs w:val="22"/>
          <w:lang w:val="zh-CN" w:eastAsia="zh-CN" w:bidi="ar"/>
        </w:rPr>
      </w:pPr>
      <w:r>
        <w:rPr>
          <w:rFonts w:hint="eastAsia"/>
          <w:color w:val="auto"/>
          <w:spacing w:val="7"/>
          <w:lang w:val="zh-CN" w:eastAsia="zh-CN"/>
        </w:rPr>
        <w:t>2.</w:t>
      </w:r>
      <w:r>
        <w:rPr>
          <w:rFonts w:hint="eastAsia"/>
          <w:color w:val="auto"/>
          <w:spacing w:val="7"/>
          <w:u w:val="single"/>
          <w:lang w:val="zh-CN" w:eastAsia="zh-CN"/>
        </w:rPr>
        <w:t>（标的名称）</w:t>
      </w:r>
      <w:r>
        <w:rPr>
          <w:rFonts w:hint="eastAsia"/>
          <w:color w:val="auto"/>
          <w:spacing w:val="7"/>
          <w:lang w:val="zh-CN" w:eastAsia="zh-CN"/>
        </w:rPr>
        <w:t>，属于</w:t>
      </w:r>
      <w:r>
        <w:rPr>
          <w:rFonts w:hint="eastAsia"/>
          <w:color w:val="auto"/>
          <w:spacing w:val="7"/>
          <w:u w:val="single"/>
          <w:lang w:val="zh-CN" w:eastAsia="zh-CN"/>
        </w:rPr>
        <w:t>（采购文件中明确的所属行业）</w:t>
      </w:r>
      <w:r>
        <w:rPr>
          <w:rFonts w:hint="eastAsia"/>
          <w:color w:val="auto"/>
          <w:spacing w:val="7"/>
          <w:lang w:val="zh-CN" w:eastAsia="zh-CN"/>
        </w:rPr>
        <w:t>行业；制造商为</w:t>
      </w:r>
      <w:r>
        <w:rPr>
          <w:rFonts w:hint="eastAsia"/>
          <w:color w:val="auto"/>
          <w:spacing w:val="7"/>
          <w:u w:val="single"/>
          <w:lang w:val="zh-CN" w:eastAsia="zh-CN"/>
        </w:rPr>
        <w:t>（企业名称）</w:t>
      </w:r>
      <w:r>
        <w:rPr>
          <w:rFonts w:hint="eastAsia"/>
          <w:color w:val="auto"/>
          <w:spacing w:val="7"/>
          <w:lang w:val="zh-CN" w:eastAsia="zh-CN"/>
        </w:rPr>
        <w:t>，从业人员</w:t>
      </w:r>
      <w:r>
        <w:rPr>
          <w:rFonts w:hint="eastAsia"/>
          <w:color w:val="auto"/>
          <w:spacing w:val="7"/>
          <w:u w:val="single"/>
          <w:lang w:val="zh-CN" w:eastAsia="zh-CN"/>
        </w:rPr>
        <w:t xml:space="preserve">    </w:t>
      </w:r>
      <w:r>
        <w:rPr>
          <w:rFonts w:hint="eastAsia"/>
          <w:color w:val="auto"/>
          <w:spacing w:val="7"/>
          <w:lang w:val="zh-CN" w:eastAsia="zh-CN"/>
        </w:rPr>
        <w:t>人，营业收入为</w:t>
      </w:r>
      <w:r>
        <w:rPr>
          <w:rFonts w:hint="eastAsia"/>
          <w:color w:val="auto"/>
          <w:spacing w:val="7"/>
          <w:u w:val="single"/>
          <w:lang w:val="zh-CN" w:eastAsia="zh-CN"/>
        </w:rPr>
        <w:t xml:space="preserve">     </w:t>
      </w:r>
      <w:r>
        <w:rPr>
          <w:rFonts w:hint="eastAsia"/>
          <w:color w:val="auto"/>
          <w:spacing w:val="7"/>
          <w:lang w:val="zh-CN" w:eastAsia="zh-CN"/>
        </w:rPr>
        <w:t>万元，资产总额为</w:t>
      </w:r>
      <w:r>
        <w:rPr>
          <w:rFonts w:hint="eastAsia"/>
          <w:color w:val="auto"/>
          <w:spacing w:val="7"/>
          <w:u w:val="single"/>
          <w:lang w:val="zh-CN" w:eastAsia="zh-CN"/>
        </w:rPr>
        <w:t xml:space="preserve">      </w:t>
      </w:r>
      <w:r>
        <w:rPr>
          <w:rFonts w:hint="eastAsia"/>
          <w:color w:val="auto"/>
          <w:spacing w:val="7"/>
          <w:lang w:val="zh-CN" w:eastAsia="zh-CN"/>
        </w:rPr>
        <w:t>万元，属于</w:t>
      </w:r>
      <w:r>
        <w:rPr>
          <w:rFonts w:hint="eastAsia"/>
          <w:color w:val="auto"/>
          <w:spacing w:val="7"/>
          <w:u w:val="single"/>
          <w:lang w:val="en-US" w:eastAsia="zh-CN"/>
        </w:rPr>
        <w:t xml:space="preserve">     </w:t>
      </w:r>
      <w:r>
        <w:rPr>
          <w:rFonts w:hint="eastAsia"/>
          <w:color w:val="auto"/>
          <w:spacing w:val="7"/>
          <w:u w:val="single"/>
          <w:lang w:val="zh-CN" w:eastAsia="zh-CN"/>
        </w:rPr>
        <w:t>（中型企业、小型企业、微型企</w:t>
      </w:r>
      <w:r>
        <w:rPr>
          <w:rFonts w:hint="eastAsia" w:ascii="宋体" w:hAnsi="宋体" w:eastAsia="宋体" w:cs="宋体"/>
          <w:color w:val="auto"/>
          <w:sz w:val="24"/>
          <w:szCs w:val="22"/>
          <w:u w:val="single"/>
          <w:lang w:val="zh-CN" w:eastAsia="zh-CN" w:bidi="ar"/>
        </w:rPr>
        <w:t>业）</w:t>
      </w:r>
      <w:r>
        <w:rPr>
          <w:rFonts w:hint="eastAsia" w:ascii="宋体" w:hAnsi="宋体" w:eastAsia="宋体" w:cs="宋体"/>
          <w:color w:val="auto"/>
          <w:sz w:val="24"/>
          <w:szCs w:val="22"/>
          <w:lang w:val="zh-CN" w:eastAsia="zh-CN" w:bidi="ar"/>
        </w:rPr>
        <w:t>；</w:t>
      </w:r>
    </w:p>
    <w:p w14:paraId="2211B55A">
      <w:pPr>
        <w:pStyle w:val="12"/>
        <w:pageBreakBefore w:val="0"/>
        <w:topLinePunct w:val="0"/>
        <w:bidi w:val="0"/>
        <w:spacing w:line="500" w:lineRule="exact"/>
        <w:ind w:left="0" w:leftChars="0" w:right="0" w:rightChars="0" w:firstLine="480" w:firstLineChars="200"/>
        <w:rPr>
          <w:rFonts w:hint="eastAsia" w:ascii="宋体" w:hAnsi="宋体" w:eastAsia="宋体" w:cs="宋体"/>
          <w:color w:val="auto"/>
          <w:sz w:val="24"/>
          <w:szCs w:val="22"/>
          <w:lang w:val="zh-CN" w:eastAsia="zh-CN" w:bidi="ar"/>
        </w:rPr>
      </w:pPr>
      <w:r>
        <w:rPr>
          <w:rFonts w:hint="eastAsia" w:ascii="宋体" w:hAnsi="宋体" w:eastAsia="宋体" w:cs="宋体"/>
          <w:color w:val="auto"/>
          <w:sz w:val="24"/>
          <w:szCs w:val="22"/>
          <w:lang w:val="zh-CN" w:eastAsia="zh-CN" w:bidi="ar"/>
        </w:rPr>
        <w:t>……</w:t>
      </w:r>
    </w:p>
    <w:p w14:paraId="6C494F66">
      <w:pPr>
        <w:pStyle w:val="12"/>
        <w:pageBreakBefore w:val="0"/>
        <w:topLinePunct w:val="0"/>
        <w:bidi w:val="0"/>
        <w:spacing w:line="500" w:lineRule="exact"/>
        <w:ind w:left="0" w:leftChars="0" w:right="0" w:rightChars="0" w:firstLine="508" w:firstLineChars="200"/>
        <w:rPr>
          <w:color w:val="auto"/>
        </w:rPr>
      </w:pPr>
      <w:r>
        <w:rPr>
          <w:color w:val="auto"/>
          <w:spacing w:val="7"/>
        </w:rPr>
        <w:t>以上企业，不属于大企业的分支机构，不存</w:t>
      </w:r>
      <w:r>
        <w:rPr>
          <w:color w:val="auto"/>
          <w:spacing w:val="6"/>
        </w:rPr>
        <w:t>在控股股东</w:t>
      </w:r>
      <w:r>
        <w:rPr>
          <w:color w:val="auto"/>
        </w:rPr>
        <w:t xml:space="preserve"> </w:t>
      </w:r>
      <w:r>
        <w:rPr>
          <w:color w:val="auto"/>
          <w:spacing w:val="8"/>
        </w:rPr>
        <w:t>为大企业的情形，也不存在与大企业的负责人为同一人的情</w:t>
      </w:r>
      <w:r>
        <w:rPr>
          <w:color w:val="auto"/>
          <w:spacing w:val="-7"/>
        </w:rPr>
        <w:t>形。</w:t>
      </w:r>
    </w:p>
    <w:p w14:paraId="244E0E02">
      <w:pPr>
        <w:pStyle w:val="12"/>
        <w:pageBreakBefore w:val="0"/>
        <w:topLinePunct w:val="0"/>
        <w:bidi w:val="0"/>
        <w:spacing w:line="500" w:lineRule="exact"/>
        <w:ind w:left="0" w:leftChars="0" w:right="0" w:rightChars="0" w:firstLine="512" w:firstLineChars="200"/>
        <w:rPr>
          <w:color w:val="auto"/>
          <w:sz w:val="24"/>
          <w:lang w:bidi="ar"/>
        </w:rPr>
      </w:pPr>
      <w:r>
        <w:rPr>
          <w:color w:val="auto"/>
          <w:spacing w:val="8"/>
        </w:rPr>
        <w:t>本企业对上述声明内容的真实性负责。如有虚假，将依</w:t>
      </w:r>
      <w:r>
        <w:rPr>
          <w:color w:val="auto"/>
          <w:spacing w:val="4"/>
        </w:rPr>
        <w:t>法承担相应责任。</w:t>
      </w:r>
    </w:p>
    <w:p w14:paraId="2357099F">
      <w:pPr>
        <w:pageBreakBefore w:val="0"/>
        <w:widowControl/>
        <w:topLinePunct w:val="0"/>
        <w:bidi w:val="0"/>
        <w:spacing w:line="500" w:lineRule="exact"/>
        <w:ind w:left="0" w:leftChars="0" w:right="0" w:rightChars="0" w:firstLine="480" w:firstLineChars="200"/>
        <w:rPr>
          <w:color w:val="auto"/>
          <w:sz w:val="24"/>
          <w:lang w:bidi="ar"/>
        </w:rPr>
      </w:pPr>
      <w:r>
        <w:rPr>
          <w:rFonts w:hint="eastAsia"/>
          <w:color w:val="auto"/>
          <w:sz w:val="24"/>
          <w:lang w:bidi="ar"/>
        </w:rPr>
        <w:t xml:space="preserve">企业名称（盖章）： </w:t>
      </w:r>
    </w:p>
    <w:p w14:paraId="7EC8FAF6">
      <w:pPr>
        <w:pageBreakBefore w:val="0"/>
        <w:topLinePunct w:val="0"/>
        <w:bidi w:val="0"/>
        <w:spacing w:line="500" w:lineRule="exact"/>
        <w:ind w:left="0" w:leftChars="0" w:right="0" w:rightChars="0" w:firstLine="480" w:firstLineChars="200"/>
        <w:rPr>
          <w:rFonts w:hint="eastAsia"/>
          <w:b/>
          <w:bCs/>
          <w:color w:val="auto"/>
          <w:sz w:val="24"/>
        </w:rPr>
      </w:pPr>
      <w:r>
        <w:rPr>
          <w:rFonts w:hint="eastAsia"/>
          <w:color w:val="auto"/>
          <w:sz w:val="24"/>
          <w:lang w:bidi="ar"/>
        </w:rPr>
        <w:t>日    期：</w:t>
      </w:r>
    </w:p>
    <w:p w14:paraId="0B0CCCED">
      <w:pPr>
        <w:pageBreakBefore w:val="0"/>
        <w:topLinePunct w:val="0"/>
        <w:bidi w:val="0"/>
        <w:spacing w:line="500" w:lineRule="exact"/>
        <w:ind w:left="0" w:leftChars="0" w:right="0" w:rightChars="0" w:firstLine="482" w:firstLineChars="200"/>
        <w:rPr>
          <w:rFonts w:hint="eastAsia" w:ascii="宋体" w:hAnsi="宋体" w:eastAsia="宋体" w:cs="宋体"/>
          <w:b/>
          <w:bCs/>
          <w:color w:val="auto"/>
          <w:sz w:val="24"/>
          <w:szCs w:val="22"/>
          <w:lang w:val="en-US" w:eastAsia="zh-CN" w:bidi="zh-CN"/>
        </w:rPr>
      </w:pPr>
      <w:r>
        <w:rPr>
          <w:rFonts w:hint="eastAsia"/>
          <w:b/>
          <w:bCs/>
          <w:color w:val="auto"/>
          <w:sz w:val="24"/>
        </w:rPr>
        <w:t>注：</w:t>
      </w:r>
      <w:r>
        <w:rPr>
          <w:rFonts w:hint="eastAsia" w:ascii="宋体" w:hAnsi="宋体" w:eastAsia="宋体" w:cs="宋体"/>
          <w:b/>
          <w:bCs/>
          <w:color w:val="auto"/>
          <w:sz w:val="24"/>
          <w:szCs w:val="22"/>
          <w:lang w:val="en-US" w:eastAsia="zh-CN" w:bidi="zh-CN"/>
        </w:rPr>
        <w:t>1</w:t>
      </w:r>
      <w:r>
        <w:rPr>
          <w:rFonts w:hint="eastAsia" w:cs="宋体"/>
          <w:b/>
          <w:bCs/>
          <w:color w:val="auto"/>
          <w:sz w:val="24"/>
          <w:szCs w:val="22"/>
          <w:lang w:val="en-US" w:eastAsia="zh-CN" w:bidi="zh-CN"/>
        </w:rPr>
        <w:t>.</w:t>
      </w:r>
      <w:r>
        <w:rPr>
          <w:rFonts w:hint="eastAsia" w:ascii="宋体" w:hAnsi="宋体" w:eastAsia="宋体" w:cs="宋体"/>
          <w:b/>
          <w:bCs/>
          <w:color w:val="auto"/>
          <w:sz w:val="24"/>
          <w:szCs w:val="22"/>
          <w:lang w:val="en-US" w:eastAsia="zh-CN" w:bidi="zh-CN"/>
        </w:rPr>
        <w:t>中小企业参加政府采购活动，应当按照《政府采购促进中小企业发展管理办法》（财库〔2020〕46号）规定和《中小企业划型标准规定》（工信部联企业〔2011〕300号），如实填写并提交本《中小企业声明函》。</w:t>
      </w:r>
    </w:p>
    <w:p w14:paraId="4B5FB17B">
      <w:pPr>
        <w:pageBreakBefore w:val="0"/>
        <w:topLinePunct w:val="0"/>
        <w:bidi w:val="0"/>
        <w:spacing w:line="500" w:lineRule="exact"/>
        <w:ind w:left="0" w:leftChars="0" w:right="0" w:rightChars="0" w:firstLine="482" w:firstLineChars="200"/>
        <w:rPr>
          <w:rFonts w:hint="eastAsia" w:ascii="宋体" w:hAnsi="宋体" w:eastAsia="宋体" w:cs="宋体"/>
          <w:b/>
          <w:bCs/>
          <w:color w:val="auto"/>
          <w:sz w:val="24"/>
          <w:szCs w:val="22"/>
          <w:lang w:val="en-US" w:eastAsia="zh-CN" w:bidi="zh-CN"/>
        </w:rPr>
      </w:pPr>
      <w:r>
        <w:rPr>
          <w:rFonts w:hint="eastAsia" w:cs="宋体"/>
          <w:b/>
          <w:bCs/>
          <w:color w:val="auto"/>
          <w:sz w:val="24"/>
          <w:szCs w:val="22"/>
          <w:lang w:val="en-US" w:eastAsia="zh-CN" w:bidi="zh-CN"/>
        </w:rPr>
        <w:t>2.</w:t>
      </w:r>
      <w:r>
        <w:rPr>
          <w:rFonts w:hint="eastAsia" w:ascii="宋体" w:hAnsi="宋体" w:eastAsia="宋体" w:cs="宋体"/>
          <w:b/>
          <w:bCs/>
          <w:color w:val="auto"/>
          <w:sz w:val="24"/>
          <w:szCs w:val="22"/>
          <w:lang w:val="en-US" w:eastAsia="zh-CN" w:bidi="zh-CN"/>
        </w:rPr>
        <w:t>本项目采购标的对应的中小企业划分标准所属行业为：</w:t>
      </w:r>
      <w:r>
        <w:rPr>
          <w:rFonts w:hint="eastAsia" w:cs="宋体"/>
          <w:b/>
          <w:bCs/>
          <w:color w:val="auto"/>
          <w:sz w:val="24"/>
          <w:szCs w:val="22"/>
          <w:lang w:val="en-US" w:eastAsia="zh-CN" w:bidi="zh-CN"/>
        </w:rPr>
        <w:t>批发业</w:t>
      </w:r>
      <w:r>
        <w:rPr>
          <w:rFonts w:hint="eastAsia" w:ascii="宋体" w:hAnsi="宋体" w:eastAsia="宋体" w:cs="宋体"/>
          <w:b/>
          <w:bCs/>
          <w:color w:val="auto"/>
          <w:sz w:val="24"/>
          <w:szCs w:val="22"/>
          <w:lang w:val="en-US" w:eastAsia="zh-CN" w:bidi="zh-CN"/>
        </w:rPr>
        <w:t>；</w:t>
      </w:r>
    </w:p>
    <w:p w14:paraId="74B0B09A">
      <w:pPr>
        <w:pageBreakBefore w:val="0"/>
        <w:topLinePunct w:val="0"/>
        <w:bidi w:val="0"/>
        <w:spacing w:line="500" w:lineRule="exact"/>
        <w:ind w:left="0" w:leftChars="0" w:right="0" w:rightChars="0" w:firstLine="482" w:firstLineChars="200"/>
        <w:rPr>
          <w:rFonts w:hint="eastAsia" w:ascii="宋体" w:hAnsi="宋体" w:eastAsia="宋体" w:cs="宋体"/>
          <w:b/>
          <w:bCs/>
          <w:color w:val="auto"/>
          <w:sz w:val="24"/>
          <w:szCs w:val="22"/>
          <w:lang w:val="en-US" w:eastAsia="zh-CN" w:bidi="zh-CN"/>
        </w:rPr>
      </w:pPr>
      <w:r>
        <w:rPr>
          <w:rFonts w:hint="eastAsia"/>
          <w:b/>
          <w:bCs/>
          <w:color w:val="auto"/>
          <w:sz w:val="24"/>
          <w:lang w:val="en-US" w:eastAsia="zh-CN"/>
        </w:rPr>
        <w:t>3.</w:t>
      </w:r>
      <w:r>
        <w:rPr>
          <w:rFonts w:hint="eastAsia"/>
          <w:b/>
          <w:bCs/>
          <w:color w:val="auto"/>
          <w:sz w:val="24"/>
        </w:rPr>
        <w:t>从业人员、营业收入、资产总额填报上一年度数据，无上一年度数据的新成立企业及监狱企业可不填报。</w:t>
      </w:r>
    </w:p>
    <w:p w14:paraId="2E5857CB">
      <w:pPr>
        <w:pageBreakBefore w:val="0"/>
        <w:topLinePunct w:val="0"/>
        <w:bidi w:val="0"/>
        <w:spacing w:line="500" w:lineRule="exact"/>
        <w:ind w:left="0" w:leftChars="0" w:right="0" w:rightChars="0" w:firstLine="711" w:firstLineChars="200"/>
        <w:jc w:val="center"/>
        <w:outlineLvl w:val="0"/>
        <w:rPr>
          <w:rFonts w:ascii="宋体" w:hAnsi="宋体" w:eastAsia="宋体" w:cs="宋体"/>
          <w:b/>
          <w:bCs/>
          <w:color w:val="auto"/>
          <w:spacing w:val="2"/>
          <w:sz w:val="35"/>
          <w:szCs w:val="35"/>
        </w:rPr>
      </w:pPr>
    </w:p>
    <w:p w14:paraId="41AC0D1C">
      <w:pPr>
        <w:pStyle w:val="12"/>
        <w:pageBreakBefore w:val="0"/>
        <w:topLinePunct w:val="0"/>
        <w:bidi w:val="0"/>
        <w:spacing w:line="500" w:lineRule="exact"/>
        <w:ind w:left="0" w:leftChars="0" w:right="0" w:rightChars="0" w:firstLine="562" w:firstLineChars="200"/>
        <w:jc w:val="center"/>
        <w:rPr>
          <w:rFonts w:hint="eastAsia" w:ascii="宋体" w:hAnsi="宋体" w:eastAsia="宋体" w:cs="宋体"/>
          <w:b/>
          <w:bCs/>
          <w:color w:val="auto"/>
          <w:sz w:val="28"/>
          <w:szCs w:val="28"/>
          <w:lang w:val="zh-CN" w:eastAsia="zh-CN" w:bidi="zh-CN"/>
        </w:rPr>
      </w:pPr>
      <w:r>
        <w:rPr>
          <w:rFonts w:hint="eastAsia" w:cs="宋体"/>
          <w:b/>
          <w:bCs/>
          <w:color w:val="auto"/>
          <w:sz w:val="28"/>
          <w:szCs w:val="28"/>
          <w:lang w:val="en-US" w:eastAsia="zh-CN" w:bidi="zh-CN"/>
        </w:rPr>
        <w:t>6.2</w:t>
      </w:r>
      <w:r>
        <w:rPr>
          <w:rFonts w:hint="eastAsia" w:ascii="宋体" w:hAnsi="宋体" w:eastAsia="宋体" w:cs="宋体"/>
          <w:b/>
          <w:bCs/>
          <w:color w:val="auto"/>
          <w:sz w:val="28"/>
          <w:szCs w:val="28"/>
          <w:lang w:val="en-US" w:eastAsia="zh-CN" w:bidi="zh-CN"/>
        </w:rPr>
        <w:t xml:space="preserve"> </w:t>
      </w:r>
      <w:r>
        <w:rPr>
          <w:rFonts w:hint="eastAsia" w:ascii="宋体" w:hAnsi="宋体" w:eastAsia="宋体" w:cs="宋体"/>
          <w:b/>
          <w:bCs/>
          <w:color w:val="auto"/>
          <w:sz w:val="28"/>
          <w:szCs w:val="28"/>
          <w:lang w:val="zh-CN" w:eastAsia="zh-CN" w:bidi="zh-CN"/>
        </w:rPr>
        <w:t>监狱企业证明文件（格式）</w:t>
      </w:r>
    </w:p>
    <w:p w14:paraId="31212CF0">
      <w:pPr>
        <w:pageBreakBefore w:val="0"/>
        <w:topLinePunct w:val="0"/>
        <w:bidi w:val="0"/>
        <w:spacing w:line="500" w:lineRule="exact"/>
        <w:ind w:left="0" w:leftChars="0" w:right="0" w:rightChars="0" w:firstLine="440" w:firstLineChars="200"/>
        <w:rPr>
          <w:color w:val="auto"/>
        </w:rPr>
      </w:pPr>
    </w:p>
    <w:p w14:paraId="5A1BFB14">
      <w:pPr>
        <w:pageBreakBefore w:val="0"/>
        <w:topLinePunct w:val="0"/>
        <w:bidi w:val="0"/>
        <w:spacing w:line="500" w:lineRule="exact"/>
        <w:ind w:left="0" w:leftChars="0" w:right="0" w:rightChars="0" w:firstLine="480" w:firstLineChars="200"/>
        <w:rPr>
          <w:color w:val="auto"/>
          <w:sz w:val="24"/>
        </w:rPr>
      </w:pPr>
      <w:r>
        <w:rPr>
          <w:rFonts w:hint="eastAsia"/>
          <w:color w:val="auto"/>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19D49BB">
      <w:pPr>
        <w:pageBreakBefore w:val="0"/>
        <w:topLinePunct w:val="0"/>
        <w:bidi w:val="0"/>
        <w:spacing w:line="500" w:lineRule="exact"/>
        <w:ind w:left="0" w:leftChars="0" w:right="0" w:rightChars="0" w:firstLine="480" w:firstLineChars="200"/>
        <w:rPr>
          <w:b/>
          <w:bCs/>
          <w:color w:val="auto"/>
          <w:sz w:val="24"/>
        </w:rPr>
      </w:pPr>
      <w:r>
        <w:rPr>
          <w:rFonts w:hint="eastAsia"/>
          <w:color w:val="auto"/>
          <w:sz w:val="24"/>
        </w:rPr>
        <w:t>监狱企业参加政府采购活动时，应当提供由省级以上监狱管理局、戒毒管理局（含新疆生产建设兵团）出具的属于监狱企业的证明文件。</w:t>
      </w:r>
    </w:p>
    <w:p w14:paraId="359D7665">
      <w:pPr>
        <w:pageBreakBefore w:val="0"/>
        <w:topLinePunct w:val="0"/>
        <w:bidi w:val="0"/>
        <w:adjustRightInd w:val="0"/>
        <w:snapToGrid w:val="0"/>
        <w:spacing w:line="500" w:lineRule="exact"/>
        <w:ind w:left="0" w:leftChars="0" w:right="0" w:rightChars="0" w:firstLine="482" w:firstLineChars="200"/>
        <w:rPr>
          <w:b/>
          <w:bCs/>
          <w:color w:val="auto"/>
          <w:sz w:val="24"/>
        </w:rPr>
      </w:pPr>
    </w:p>
    <w:p w14:paraId="2B46F7E4">
      <w:pPr>
        <w:pStyle w:val="8"/>
        <w:pageBreakBefore w:val="0"/>
        <w:topLinePunct w:val="0"/>
        <w:bidi w:val="0"/>
        <w:spacing w:line="500" w:lineRule="exact"/>
        <w:ind w:left="0" w:leftChars="0" w:right="0" w:rightChars="0" w:firstLine="400" w:firstLineChars="200"/>
        <w:rPr>
          <w:color w:val="auto"/>
        </w:rPr>
      </w:pPr>
    </w:p>
    <w:p w14:paraId="3A52BBF1">
      <w:pPr>
        <w:pageBreakBefore w:val="0"/>
        <w:topLinePunct w:val="0"/>
        <w:bidi w:val="0"/>
        <w:spacing w:line="500" w:lineRule="exact"/>
        <w:ind w:left="0" w:leftChars="0" w:right="0" w:rightChars="0" w:firstLine="480" w:firstLineChars="200"/>
        <w:rPr>
          <w:color w:val="auto"/>
          <w:sz w:val="24"/>
        </w:rPr>
      </w:pPr>
      <w:r>
        <w:rPr>
          <w:rFonts w:hint="eastAsia"/>
          <w:color w:val="auto"/>
          <w:sz w:val="24"/>
        </w:rPr>
        <w:t>单位名称（盖章）：</w:t>
      </w:r>
    </w:p>
    <w:p w14:paraId="039FD6F3">
      <w:pPr>
        <w:pageBreakBefore w:val="0"/>
        <w:topLinePunct w:val="0"/>
        <w:bidi w:val="0"/>
        <w:spacing w:line="500" w:lineRule="exact"/>
        <w:ind w:left="0" w:leftChars="0" w:right="0" w:rightChars="0" w:firstLine="480" w:firstLineChars="200"/>
        <w:rPr>
          <w:color w:val="auto"/>
          <w:sz w:val="24"/>
        </w:rPr>
      </w:pPr>
      <w:r>
        <w:rPr>
          <w:rFonts w:hint="eastAsia"/>
          <w:color w:val="auto"/>
          <w:sz w:val="24"/>
        </w:rPr>
        <w:t>日  期：</w:t>
      </w:r>
    </w:p>
    <w:p w14:paraId="316BF9A2">
      <w:pPr>
        <w:pStyle w:val="8"/>
        <w:pageBreakBefore w:val="0"/>
        <w:topLinePunct w:val="0"/>
        <w:bidi w:val="0"/>
        <w:spacing w:line="500" w:lineRule="exact"/>
        <w:ind w:left="0" w:leftChars="0" w:right="0" w:rightChars="0" w:firstLine="400" w:firstLineChars="200"/>
        <w:rPr>
          <w:color w:val="auto"/>
        </w:rPr>
      </w:pPr>
    </w:p>
    <w:p w14:paraId="0011265C">
      <w:pPr>
        <w:pageBreakBefore w:val="0"/>
        <w:topLinePunct w:val="0"/>
        <w:bidi w:val="0"/>
        <w:spacing w:line="500" w:lineRule="exact"/>
        <w:ind w:left="0" w:leftChars="0" w:right="0" w:rightChars="0" w:firstLine="482" w:firstLineChars="200"/>
        <w:rPr>
          <w:b/>
          <w:bCs/>
          <w:color w:val="auto"/>
          <w:sz w:val="24"/>
        </w:rPr>
      </w:pPr>
      <w:r>
        <w:rPr>
          <w:rFonts w:hint="eastAsia"/>
          <w:b/>
          <w:bCs/>
          <w:color w:val="auto"/>
          <w:sz w:val="24"/>
        </w:rPr>
        <w:t>注：1</w:t>
      </w:r>
      <w:r>
        <w:rPr>
          <w:rFonts w:hint="eastAsia"/>
          <w:b/>
          <w:bCs/>
          <w:color w:val="auto"/>
          <w:sz w:val="24"/>
          <w:lang w:val="en-US" w:eastAsia="zh-CN"/>
        </w:rPr>
        <w:t>.</w:t>
      </w:r>
      <w:r>
        <w:rPr>
          <w:rFonts w:hint="eastAsia"/>
          <w:b/>
          <w:bCs/>
          <w:color w:val="auto"/>
          <w:sz w:val="24"/>
        </w:rPr>
        <w:t>在政府采购活动中，监狱企业视同小型、微型企业，享受预留份额、</w:t>
      </w:r>
      <w:r>
        <w:rPr>
          <w:rFonts w:hint="eastAsia"/>
          <w:b/>
          <w:bCs/>
          <w:color w:val="auto"/>
          <w:sz w:val="24"/>
          <w:lang w:eastAsia="zh-CN"/>
        </w:rPr>
        <w:t>评审</w:t>
      </w:r>
      <w:r>
        <w:rPr>
          <w:rFonts w:hint="eastAsia"/>
          <w:b/>
          <w:bCs/>
          <w:color w:val="auto"/>
          <w:sz w:val="24"/>
        </w:rPr>
        <w:t>价格扣除等政府采购促进中小企业发展的政府采购政策。监狱企业参加政府采购活动时，还应当提供由省级以上监狱管理局、戒毒管理局</w:t>
      </w:r>
      <w:r>
        <w:rPr>
          <w:rFonts w:hint="eastAsia"/>
          <w:b/>
          <w:bCs/>
          <w:color w:val="auto"/>
          <w:sz w:val="24"/>
          <w:lang w:eastAsia="zh-CN"/>
        </w:rPr>
        <w:t>（</w:t>
      </w:r>
      <w:r>
        <w:rPr>
          <w:rFonts w:hint="eastAsia"/>
          <w:b/>
          <w:bCs/>
          <w:color w:val="auto"/>
          <w:sz w:val="24"/>
        </w:rPr>
        <w:t>含新疆生产建设兵团</w:t>
      </w:r>
      <w:r>
        <w:rPr>
          <w:rFonts w:hint="eastAsia"/>
          <w:b/>
          <w:bCs/>
          <w:color w:val="auto"/>
          <w:sz w:val="24"/>
          <w:lang w:eastAsia="zh-CN"/>
        </w:rPr>
        <w:t>）</w:t>
      </w:r>
      <w:r>
        <w:rPr>
          <w:rFonts w:hint="eastAsia"/>
          <w:b/>
          <w:bCs/>
          <w:color w:val="auto"/>
          <w:sz w:val="24"/>
        </w:rPr>
        <w:t>出具的属于监狱企业的证明文件。）</w:t>
      </w:r>
    </w:p>
    <w:p w14:paraId="258215B9">
      <w:pPr>
        <w:pageBreakBefore w:val="0"/>
        <w:topLinePunct w:val="0"/>
        <w:bidi w:val="0"/>
        <w:spacing w:line="500" w:lineRule="exact"/>
        <w:ind w:left="0" w:leftChars="0" w:right="0" w:rightChars="0" w:firstLine="482" w:firstLineChars="200"/>
        <w:rPr>
          <w:b/>
          <w:bCs/>
          <w:color w:val="auto"/>
          <w:sz w:val="24"/>
        </w:rPr>
      </w:pPr>
      <w:r>
        <w:rPr>
          <w:rFonts w:hint="eastAsia"/>
          <w:b/>
          <w:bCs/>
          <w:color w:val="auto"/>
          <w:sz w:val="24"/>
        </w:rPr>
        <w:t>2</w:t>
      </w:r>
      <w:r>
        <w:rPr>
          <w:rFonts w:hint="eastAsia"/>
          <w:b/>
          <w:bCs/>
          <w:color w:val="auto"/>
          <w:sz w:val="24"/>
          <w:lang w:val="en-US" w:eastAsia="zh-CN"/>
        </w:rPr>
        <w:t>.</w:t>
      </w:r>
      <w:r>
        <w:rPr>
          <w:rFonts w:hint="eastAsia"/>
          <w:b/>
          <w:bCs/>
          <w:color w:val="auto"/>
          <w:sz w:val="24"/>
        </w:rPr>
        <w:t>如不是该类企业则不需提供证明文件（可删除此页）。</w:t>
      </w:r>
    </w:p>
    <w:p w14:paraId="42523B50">
      <w:pPr>
        <w:pageBreakBefore w:val="0"/>
        <w:topLinePunct w:val="0"/>
        <w:bidi w:val="0"/>
        <w:spacing w:line="500" w:lineRule="exact"/>
        <w:ind w:left="0" w:leftChars="0" w:right="0" w:rightChars="0" w:firstLine="440" w:firstLineChars="200"/>
        <w:rPr>
          <w:color w:val="auto"/>
        </w:rPr>
      </w:pPr>
    </w:p>
    <w:p w14:paraId="2A7C30D1">
      <w:pPr>
        <w:pageBreakBefore w:val="0"/>
        <w:topLinePunct w:val="0"/>
        <w:bidi w:val="0"/>
        <w:spacing w:line="500" w:lineRule="exact"/>
        <w:ind w:left="0" w:leftChars="0" w:right="0" w:rightChars="0" w:firstLine="562" w:firstLineChars="200"/>
        <w:jc w:val="center"/>
        <w:rPr>
          <w:b/>
          <w:bCs/>
          <w:color w:val="auto"/>
          <w:sz w:val="28"/>
          <w:szCs w:val="28"/>
        </w:rPr>
      </w:pPr>
    </w:p>
    <w:p w14:paraId="0C88021A">
      <w:pPr>
        <w:pageBreakBefore w:val="0"/>
        <w:topLinePunct w:val="0"/>
        <w:bidi w:val="0"/>
        <w:spacing w:line="500" w:lineRule="exact"/>
        <w:ind w:left="0" w:leftChars="0" w:right="0" w:rightChars="0" w:firstLine="562" w:firstLineChars="200"/>
        <w:jc w:val="center"/>
        <w:rPr>
          <w:b/>
          <w:bCs/>
          <w:color w:val="auto"/>
          <w:sz w:val="28"/>
          <w:szCs w:val="28"/>
        </w:rPr>
      </w:pPr>
    </w:p>
    <w:p w14:paraId="47A89186">
      <w:pPr>
        <w:pageBreakBefore w:val="0"/>
        <w:topLinePunct w:val="0"/>
        <w:bidi w:val="0"/>
        <w:spacing w:line="500" w:lineRule="exact"/>
        <w:ind w:left="0" w:leftChars="0" w:right="0" w:rightChars="0" w:firstLine="562" w:firstLineChars="200"/>
        <w:jc w:val="center"/>
        <w:rPr>
          <w:b/>
          <w:bCs/>
          <w:color w:val="auto"/>
          <w:sz w:val="28"/>
          <w:szCs w:val="28"/>
        </w:rPr>
      </w:pPr>
    </w:p>
    <w:p w14:paraId="04CE3391">
      <w:pPr>
        <w:pageBreakBefore w:val="0"/>
        <w:topLinePunct w:val="0"/>
        <w:bidi w:val="0"/>
        <w:spacing w:line="500" w:lineRule="exact"/>
        <w:ind w:left="0" w:leftChars="0" w:right="0" w:rightChars="0" w:firstLine="562" w:firstLineChars="200"/>
        <w:jc w:val="center"/>
        <w:rPr>
          <w:b/>
          <w:bCs/>
          <w:color w:val="auto"/>
          <w:sz w:val="28"/>
          <w:szCs w:val="28"/>
        </w:rPr>
      </w:pPr>
    </w:p>
    <w:p w14:paraId="5C88D25E">
      <w:pPr>
        <w:pStyle w:val="8"/>
        <w:pageBreakBefore w:val="0"/>
        <w:topLinePunct w:val="0"/>
        <w:bidi w:val="0"/>
        <w:spacing w:line="500" w:lineRule="exact"/>
        <w:ind w:right="0" w:rightChars="0"/>
        <w:rPr>
          <w:color w:val="auto"/>
        </w:rPr>
      </w:pPr>
    </w:p>
    <w:p w14:paraId="2281861C">
      <w:pPr>
        <w:pageBreakBefore w:val="0"/>
        <w:topLinePunct w:val="0"/>
        <w:bidi w:val="0"/>
        <w:spacing w:line="500" w:lineRule="exact"/>
        <w:ind w:left="0" w:leftChars="0" w:right="0" w:rightChars="0" w:firstLine="562" w:firstLineChars="200"/>
        <w:jc w:val="center"/>
        <w:rPr>
          <w:b/>
          <w:bCs/>
          <w:color w:val="auto"/>
          <w:sz w:val="28"/>
          <w:szCs w:val="28"/>
        </w:rPr>
      </w:pPr>
      <w:r>
        <w:rPr>
          <w:rFonts w:hint="eastAsia"/>
          <w:b/>
          <w:bCs/>
          <w:color w:val="auto"/>
          <w:sz w:val="28"/>
          <w:szCs w:val="28"/>
          <w:lang w:val="en-US" w:eastAsia="zh-CN"/>
        </w:rPr>
        <w:t>6.3</w:t>
      </w:r>
      <w:r>
        <w:rPr>
          <w:rFonts w:hint="eastAsia"/>
          <w:b/>
          <w:bCs/>
          <w:color w:val="auto"/>
          <w:sz w:val="28"/>
          <w:szCs w:val="28"/>
          <w:lang w:val="en-US"/>
        </w:rPr>
        <w:t xml:space="preserve"> </w:t>
      </w:r>
      <w:r>
        <w:rPr>
          <w:rFonts w:hint="eastAsia"/>
          <w:b/>
          <w:bCs/>
          <w:color w:val="auto"/>
          <w:sz w:val="28"/>
          <w:szCs w:val="28"/>
        </w:rPr>
        <w:t>残疾人福利性单位声明函（格式）</w:t>
      </w:r>
    </w:p>
    <w:p w14:paraId="1DD851C0">
      <w:pPr>
        <w:pageBreakBefore w:val="0"/>
        <w:topLinePunct w:val="0"/>
        <w:bidi w:val="0"/>
        <w:spacing w:line="500" w:lineRule="exact"/>
        <w:ind w:left="0" w:leftChars="0" w:right="0" w:rightChars="0" w:firstLine="480" w:firstLineChars="200"/>
        <w:rPr>
          <w:color w:val="auto"/>
          <w:sz w:val="24"/>
        </w:rPr>
      </w:pPr>
    </w:p>
    <w:p w14:paraId="526F4FED">
      <w:pPr>
        <w:pageBreakBefore w:val="0"/>
        <w:topLinePunct w:val="0"/>
        <w:bidi w:val="0"/>
        <w:spacing w:line="500" w:lineRule="exact"/>
        <w:ind w:left="0" w:leftChars="0" w:right="0" w:rightChars="0" w:firstLine="480" w:firstLineChars="200"/>
        <w:rPr>
          <w:color w:val="auto"/>
          <w:sz w:val="24"/>
        </w:rPr>
      </w:pPr>
      <w:r>
        <w:rPr>
          <w:rFonts w:hint="eastAsia"/>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u w:val="single"/>
        </w:rPr>
        <w:t xml:space="preserve">           </w:t>
      </w:r>
      <w:r>
        <w:rPr>
          <w:rFonts w:hint="eastAsia"/>
          <w:color w:val="auto"/>
          <w:sz w:val="24"/>
        </w:rPr>
        <w:t>单位的</w:t>
      </w:r>
      <w:r>
        <w:rPr>
          <w:rFonts w:hint="eastAsia"/>
          <w:color w:val="auto"/>
          <w:sz w:val="24"/>
          <w:u w:val="single"/>
        </w:rPr>
        <w:t xml:space="preserve">           </w:t>
      </w:r>
      <w:r>
        <w:rPr>
          <w:rFonts w:hint="eastAsia"/>
          <w:color w:val="auto"/>
          <w:sz w:val="24"/>
        </w:rPr>
        <w:t>项目采购活动提供本单位制造的货物（由本单位承担工程/提供服务），或者提供其他残疾人福利性单位制造的货物（不包括使用非残疾人福利性单位注册商标的货物）。</w:t>
      </w:r>
    </w:p>
    <w:p w14:paraId="69D4A6A0">
      <w:pPr>
        <w:pageBreakBefore w:val="0"/>
        <w:topLinePunct w:val="0"/>
        <w:bidi w:val="0"/>
        <w:spacing w:line="500" w:lineRule="exact"/>
        <w:ind w:left="0" w:leftChars="0" w:right="0" w:rightChars="0" w:firstLine="480" w:firstLineChars="200"/>
        <w:rPr>
          <w:color w:val="auto"/>
          <w:sz w:val="24"/>
        </w:rPr>
      </w:pPr>
      <w:r>
        <w:rPr>
          <w:rFonts w:hint="eastAsia"/>
          <w:color w:val="auto"/>
          <w:sz w:val="24"/>
        </w:rPr>
        <w:t>本单位对上述声明的真实性负责。如有虚假，将依法承担相应责任。</w:t>
      </w:r>
    </w:p>
    <w:p w14:paraId="55702486">
      <w:pPr>
        <w:pageBreakBefore w:val="0"/>
        <w:topLinePunct w:val="0"/>
        <w:bidi w:val="0"/>
        <w:spacing w:line="500" w:lineRule="exact"/>
        <w:ind w:left="0" w:leftChars="0" w:right="0" w:rightChars="0" w:firstLine="560" w:firstLineChars="200"/>
        <w:rPr>
          <w:color w:val="auto"/>
          <w:sz w:val="28"/>
          <w:szCs w:val="28"/>
        </w:rPr>
      </w:pPr>
    </w:p>
    <w:p w14:paraId="32831CA3">
      <w:pPr>
        <w:pageBreakBefore w:val="0"/>
        <w:topLinePunct w:val="0"/>
        <w:bidi w:val="0"/>
        <w:spacing w:line="500" w:lineRule="exact"/>
        <w:ind w:left="0" w:leftChars="0" w:right="0" w:rightChars="0" w:firstLine="480" w:firstLineChars="200"/>
        <w:rPr>
          <w:color w:val="auto"/>
          <w:sz w:val="24"/>
        </w:rPr>
      </w:pPr>
      <w:r>
        <w:rPr>
          <w:rFonts w:hint="eastAsia"/>
          <w:color w:val="auto"/>
          <w:sz w:val="24"/>
        </w:rPr>
        <w:t>单位名称（盖章）：</w:t>
      </w:r>
    </w:p>
    <w:p w14:paraId="6660F904">
      <w:pPr>
        <w:pageBreakBefore w:val="0"/>
        <w:topLinePunct w:val="0"/>
        <w:bidi w:val="0"/>
        <w:spacing w:line="500" w:lineRule="exact"/>
        <w:ind w:left="0" w:leftChars="0" w:right="0" w:rightChars="0" w:firstLine="480" w:firstLineChars="200"/>
        <w:rPr>
          <w:color w:val="auto"/>
          <w:sz w:val="24"/>
        </w:rPr>
      </w:pPr>
      <w:r>
        <w:rPr>
          <w:rFonts w:hint="eastAsia"/>
          <w:color w:val="auto"/>
          <w:sz w:val="24"/>
        </w:rPr>
        <w:t>日  期：</w:t>
      </w:r>
    </w:p>
    <w:p w14:paraId="4D1C978C">
      <w:pPr>
        <w:pageBreakBefore w:val="0"/>
        <w:topLinePunct w:val="0"/>
        <w:bidi w:val="0"/>
        <w:spacing w:line="500" w:lineRule="exact"/>
        <w:ind w:left="0" w:leftChars="0" w:right="0" w:rightChars="0" w:firstLine="560" w:firstLineChars="200"/>
        <w:rPr>
          <w:color w:val="auto"/>
          <w:sz w:val="28"/>
          <w:szCs w:val="28"/>
        </w:rPr>
      </w:pPr>
    </w:p>
    <w:p w14:paraId="18B1DEDF">
      <w:pPr>
        <w:pageBreakBefore w:val="0"/>
        <w:topLinePunct w:val="0"/>
        <w:bidi w:val="0"/>
        <w:spacing w:line="500" w:lineRule="exact"/>
        <w:ind w:left="0" w:leftChars="0" w:right="0" w:rightChars="0" w:firstLine="482" w:firstLineChars="200"/>
        <w:rPr>
          <w:b/>
          <w:bCs/>
          <w:color w:val="auto"/>
          <w:sz w:val="24"/>
        </w:rPr>
      </w:pPr>
      <w:r>
        <w:rPr>
          <w:rFonts w:hint="eastAsia"/>
          <w:b/>
          <w:bCs/>
          <w:color w:val="auto"/>
          <w:sz w:val="24"/>
        </w:rPr>
        <w:t>注：1.</w:t>
      </w:r>
      <w:r>
        <w:rPr>
          <w:rFonts w:hint="eastAsia"/>
          <w:b/>
          <w:bCs/>
          <w:color w:val="auto"/>
          <w:sz w:val="24"/>
          <w:lang w:eastAsia="zh-CN"/>
        </w:rPr>
        <w:t>供应商</w:t>
      </w:r>
      <w:r>
        <w:rPr>
          <w:rFonts w:hint="eastAsia"/>
          <w:b/>
          <w:bCs/>
          <w:color w:val="auto"/>
          <w:sz w:val="24"/>
        </w:rPr>
        <w:t>应仔细阅读《财政部 民政部 中国残疾人联合会关于促进残疾人就业政府采购政策的通知》，并如实填写本表，符合条件的</w:t>
      </w:r>
      <w:r>
        <w:rPr>
          <w:rFonts w:hint="eastAsia"/>
          <w:b/>
          <w:bCs/>
          <w:color w:val="auto"/>
          <w:sz w:val="24"/>
          <w:lang w:eastAsia="zh-CN"/>
        </w:rPr>
        <w:t>供应商</w:t>
      </w:r>
      <w:r>
        <w:rPr>
          <w:rFonts w:hint="eastAsia"/>
          <w:b/>
          <w:bCs/>
          <w:color w:val="auto"/>
          <w:sz w:val="24"/>
        </w:rPr>
        <w:t>未按上述要求提供、填写的，评审时不予以考虑。</w:t>
      </w:r>
    </w:p>
    <w:p w14:paraId="35DFC933">
      <w:pPr>
        <w:pageBreakBefore w:val="0"/>
        <w:topLinePunct w:val="0"/>
        <w:bidi w:val="0"/>
        <w:spacing w:line="500" w:lineRule="exact"/>
        <w:ind w:left="0" w:leftChars="0" w:right="0" w:rightChars="0" w:firstLine="482" w:firstLineChars="200"/>
        <w:rPr>
          <w:b/>
          <w:bCs/>
          <w:color w:val="auto"/>
          <w:sz w:val="24"/>
        </w:rPr>
      </w:pPr>
      <w:r>
        <w:rPr>
          <w:rFonts w:hint="eastAsia"/>
          <w:b/>
          <w:bCs/>
          <w:color w:val="auto"/>
          <w:sz w:val="24"/>
        </w:rPr>
        <w:t>2.如不是该类企业则不需提供此声明函（可删除此页）。</w:t>
      </w:r>
    </w:p>
    <w:p w14:paraId="33A51E1F">
      <w:pPr>
        <w:rPr>
          <w:rFonts w:hint="eastAsia"/>
          <w:color w:val="auto"/>
          <w:lang w:val="en-US" w:eastAsia="zh-CN"/>
        </w:rPr>
      </w:pPr>
    </w:p>
    <w:p w14:paraId="0F24E1D2">
      <w:pPr>
        <w:rPr>
          <w:rFonts w:hint="eastAsia"/>
          <w:color w:val="auto"/>
          <w:lang w:val="en-US" w:eastAsia="zh-CN"/>
        </w:rPr>
      </w:pPr>
    </w:p>
    <w:p w14:paraId="3CA7E71B">
      <w:pPr>
        <w:rPr>
          <w:rFonts w:hint="eastAsia"/>
          <w:color w:val="auto"/>
          <w:lang w:val="en-US" w:eastAsia="zh-CN"/>
        </w:rPr>
      </w:pPr>
    </w:p>
    <w:p w14:paraId="4C2E6FAE">
      <w:pPr>
        <w:rPr>
          <w:rFonts w:hint="eastAsia"/>
          <w:color w:val="auto"/>
          <w:lang w:val="en-US" w:eastAsia="zh-CN"/>
        </w:rPr>
      </w:pPr>
    </w:p>
    <w:p w14:paraId="62900BF2">
      <w:pPr>
        <w:rPr>
          <w:rFonts w:hint="eastAsia"/>
          <w:color w:val="auto"/>
          <w:lang w:val="en-US" w:eastAsia="zh-CN"/>
        </w:rPr>
      </w:pPr>
    </w:p>
    <w:p w14:paraId="76E7B551">
      <w:pPr>
        <w:rPr>
          <w:rFonts w:hint="eastAsia"/>
          <w:color w:val="auto"/>
          <w:lang w:val="en-US" w:eastAsia="zh-CN"/>
        </w:rPr>
      </w:pPr>
    </w:p>
    <w:p w14:paraId="3F1EF106">
      <w:pPr>
        <w:rPr>
          <w:rFonts w:hint="eastAsia"/>
          <w:color w:val="auto"/>
          <w:lang w:val="en-US" w:eastAsia="zh-CN"/>
        </w:rPr>
      </w:pPr>
    </w:p>
    <w:p w14:paraId="232FE16E">
      <w:pPr>
        <w:rPr>
          <w:rFonts w:hint="eastAsia"/>
          <w:color w:val="auto"/>
          <w:lang w:val="en-US" w:eastAsia="zh-CN"/>
        </w:rPr>
      </w:pPr>
    </w:p>
    <w:p w14:paraId="5658A0FD">
      <w:pPr>
        <w:rPr>
          <w:rFonts w:hint="eastAsia"/>
          <w:color w:val="auto"/>
          <w:lang w:val="en-US" w:eastAsia="zh-CN"/>
        </w:rPr>
      </w:pPr>
    </w:p>
    <w:p w14:paraId="717E0518">
      <w:pPr>
        <w:rPr>
          <w:rFonts w:hint="eastAsia"/>
          <w:color w:val="auto"/>
          <w:lang w:val="en-US" w:eastAsia="zh-CN"/>
        </w:rPr>
      </w:pPr>
    </w:p>
    <w:p w14:paraId="6374C833">
      <w:pPr>
        <w:rPr>
          <w:rFonts w:hint="eastAsia"/>
          <w:color w:val="auto"/>
          <w:lang w:val="en-US" w:eastAsia="zh-CN"/>
        </w:rPr>
      </w:pPr>
    </w:p>
    <w:p w14:paraId="3BD2CC47">
      <w:pPr>
        <w:rPr>
          <w:rFonts w:hint="eastAsia"/>
          <w:color w:val="auto"/>
          <w:lang w:val="en-US" w:eastAsia="zh-CN"/>
        </w:rPr>
      </w:pPr>
    </w:p>
    <w:p w14:paraId="7071FFB4">
      <w:pPr>
        <w:rPr>
          <w:rFonts w:hint="eastAsia"/>
          <w:color w:val="auto"/>
          <w:lang w:val="en-US" w:eastAsia="zh-CN"/>
        </w:rPr>
      </w:pPr>
    </w:p>
    <w:p w14:paraId="1FAF6CAE">
      <w:pPr>
        <w:rPr>
          <w:rFonts w:hint="eastAsia"/>
          <w:color w:val="auto"/>
          <w:lang w:val="en-US" w:eastAsia="zh-CN"/>
        </w:rPr>
      </w:pPr>
    </w:p>
    <w:p w14:paraId="102FB148">
      <w:pPr>
        <w:rPr>
          <w:rFonts w:hint="eastAsia"/>
          <w:color w:val="auto"/>
          <w:lang w:val="en-US" w:eastAsia="zh-CN"/>
        </w:rPr>
      </w:pPr>
    </w:p>
    <w:p w14:paraId="193688F6">
      <w:pPr>
        <w:rPr>
          <w:rFonts w:hint="eastAsia"/>
          <w:color w:val="auto"/>
          <w:lang w:val="en-US" w:eastAsia="zh-CN"/>
        </w:rPr>
      </w:pPr>
    </w:p>
    <w:p w14:paraId="4F4CB4E0">
      <w:pPr>
        <w:rPr>
          <w:rFonts w:hint="eastAsia"/>
          <w:color w:val="auto"/>
          <w:lang w:val="en-US" w:eastAsia="zh-CN"/>
        </w:rPr>
      </w:pPr>
    </w:p>
    <w:p w14:paraId="4098CF09">
      <w:pPr>
        <w:pStyle w:val="12"/>
        <w:pageBreakBefore w:val="0"/>
        <w:topLinePunct w:val="0"/>
        <w:bidi w:val="0"/>
        <w:spacing w:line="500" w:lineRule="exact"/>
        <w:ind w:left="0" w:leftChars="0" w:right="0" w:rightChars="0" w:firstLine="440" w:firstLineChars="200"/>
        <w:rPr>
          <w:bCs/>
          <w:color w:val="auto"/>
          <w:sz w:val="22"/>
          <w:szCs w:val="20"/>
          <w:lang w:val="en-US"/>
        </w:rPr>
      </w:pPr>
    </w:p>
    <w:p w14:paraId="07C72F5F">
      <w:pPr>
        <w:pStyle w:val="12"/>
        <w:pageBreakBefore w:val="0"/>
        <w:topLinePunct w:val="0"/>
        <w:bidi w:val="0"/>
        <w:spacing w:line="500" w:lineRule="exact"/>
        <w:ind w:right="0" w:rightChars="0" w:firstLine="2240" w:firstLineChars="800"/>
        <w:jc w:val="both"/>
        <w:rPr>
          <w:rFonts w:hint="eastAsia"/>
          <w:bCs/>
          <w:color w:val="auto"/>
          <w:sz w:val="28"/>
          <w:szCs w:val="28"/>
          <w:lang w:val="en-US" w:eastAsia="zh-CN"/>
        </w:rPr>
      </w:pPr>
    </w:p>
    <w:p w14:paraId="60EE3BD6">
      <w:pPr>
        <w:pStyle w:val="12"/>
        <w:pageBreakBefore w:val="0"/>
        <w:topLinePunct w:val="0"/>
        <w:bidi w:val="0"/>
        <w:spacing w:line="500" w:lineRule="exact"/>
        <w:ind w:right="0" w:rightChars="0" w:firstLine="2240" w:firstLineChars="800"/>
        <w:jc w:val="both"/>
        <w:rPr>
          <w:rFonts w:hint="eastAsia" w:eastAsia="宋体"/>
          <w:bCs/>
          <w:color w:val="auto"/>
          <w:sz w:val="22"/>
          <w:szCs w:val="20"/>
          <w:lang w:val="en-US" w:eastAsia="zh-CN"/>
        </w:rPr>
      </w:pPr>
      <w:r>
        <w:rPr>
          <w:rFonts w:hint="eastAsia"/>
          <w:bCs/>
          <w:color w:val="auto"/>
          <w:sz w:val="28"/>
          <w:szCs w:val="28"/>
          <w:lang w:val="en-US" w:eastAsia="zh-CN"/>
        </w:rPr>
        <w:t>2、供应商</w:t>
      </w:r>
      <w:r>
        <w:rPr>
          <w:rFonts w:hint="eastAsia"/>
          <w:bCs/>
          <w:color w:val="auto"/>
          <w:sz w:val="28"/>
          <w:szCs w:val="28"/>
          <w:lang w:val="en-US"/>
        </w:rPr>
        <w:t>认为需要说明的其他事项</w:t>
      </w:r>
    </w:p>
    <w:p w14:paraId="35CCC6A8">
      <w:pPr>
        <w:pStyle w:val="12"/>
        <w:pageBreakBefore w:val="0"/>
        <w:topLinePunct w:val="0"/>
        <w:bidi w:val="0"/>
        <w:spacing w:line="500" w:lineRule="exact"/>
        <w:ind w:right="0" w:rightChars="0" w:firstLine="2200" w:firstLineChars="1000"/>
        <w:jc w:val="both"/>
        <w:rPr>
          <w:rFonts w:hint="eastAsia" w:eastAsia="宋体"/>
          <w:bCs/>
          <w:color w:val="auto"/>
          <w:sz w:val="22"/>
          <w:szCs w:val="20"/>
          <w:lang w:val="en-US" w:eastAsia="zh-CN"/>
        </w:rPr>
      </w:pPr>
    </w:p>
    <w:sectPr>
      <w:pgSz w:w="11910" w:h="16840"/>
      <w:pgMar w:top="1360" w:right="660" w:bottom="1200" w:left="1340" w:header="872" w:footer="1005"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BF02477-6A26-4A48-B075-A9CD07367656}"/>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2" w:fontKey="{C18305CC-616C-4FDE-8D29-80FF2D4396F9}"/>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方正小标宋简体">
    <w:panose1 w:val="02000000000000000000"/>
    <w:charset w:val="86"/>
    <w:family w:val="auto"/>
    <w:pitch w:val="default"/>
    <w:sig w:usb0="00000001" w:usb1="08000000" w:usb2="00000000" w:usb3="00000000" w:csb0="00040000" w:csb1="00000000"/>
    <w:embedRegular r:id="rId3" w:fontKey="{3D19CD25-276D-4C5A-80A8-F7A6B755CCD6}"/>
  </w:font>
  <w:font w:name="仿宋">
    <w:panose1 w:val="02010609060101010101"/>
    <w:charset w:val="86"/>
    <w:family w:val="auto"/>
    <w:pitch w:val="default"/>
    <w:sig w:usb0="800002BF" w:usb1="38CF7CFA" w:usb2="00000016" w:usb3="00000000" w:csb0="00040001" w:csb1="00000000"/>
    <w:embedRegular r:id="rId4" w:fontKey="{154F0477-B4C3-4283-8CDF-933428086E70}"/>
  </w:font>
  <w:font w:name="新宋体">
    <w:panose1 w:val="02010609030101010101"/>
    <w:charset w:val="86"/>
    <w:family w:val="modern"/>
    <w:pitch w:val="default"/>
    <w:sig w:usb0="00000283" w:usb1="288F0000" w:usb2="00000006" w:usb3="00000000" w:csb0="00040001" w:csb1="00000000"/>
    <w:embedRegular r:id="rId5" w:fontKey="{2BC088B1-FAFD-4093-A76B-E3EE213C1265}"/>
  </w:font>
  <w:font w:name="WPSEMBED1">
    <w:panose1 w:val="02010609030101010101"/>
    <w:charset w:val="86"/>
    <w:family w:val="auto"/>
    <w:pitch w:val="default"/>
    <w:sig w:usb0="00000001" w:usb1="080E0000" w:usb2="00000000" w:usb3="00000000" w:csb0="00040000" w:csb1="00000000"/>
  </w:font>
  <w:font w:name="WPSEMBED2">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98273">
    <w:pPr>
      <w:pStyle w:val="16"/>
      <w:framePr w:wrap="auto" w:vAnchor="margin" w:hAnchor="text" w:xAlign="left" w:yAlign="inli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DA282">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35A44">
    <w:pPr>
      <w:pStyle w:val="12"/>
      <w:spacing w:line="14" w:lineRule="auto"/>
      <w:rPr>
        <w:sz w:val="20"/>
      </w:rPr>
    </w:pPr>
    <w:r>
      <w:rPr>
        <w:sz w:val="24"/>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BCCA03">
                          <w:pPr>
                            <w:pStyle w:val="16"/>
                            <w:jc w:val="both"/>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07BCCA03">
                    <w:pPr>
                      <w:pStyle w:val="16"/>
                      <w:jc w:val="both"/>
                    </w:pPr>
                  </w:p>
                </w:txbxContent>
              </v:textbox>
            </v:shape>
          </w:pict>
        </mc:Fallback>
      </mc:AlternateContent>
    </w:r>
    <w:r>
      <w:rPr>
        <w:lang w:val="en-US" w:bidi="ar-SA"/>
      </w:rPr>
      <mc:AlternateContent>
        <mc:Choice Requires="wps">
          <w:drawing>
            <wp:anchor distT="0" distB="0" distL="114300" distR="114300" simplePos="0" relativeHeight="251659264" behindDoc="1" locked="0" layoutInCell="1" allowOverlap="1">
              <wp:simplePos x="0" y="0"/>
              <wp:positionH relativeFrom="page">
                <wp:posOffset>1130300</wp:posOffset>
              </wp:positionH>
              <wp:positionV relativeFrom="page">
                <wp:posOffset>9918700</wp:posOffset>
              </wp:positionV>
              <wp:extent cx="1854200" cy="139700"/>
              <wp:effectExtent l="0" t="0" r="0" b="0"/>
              <wp:wrapNone/>
              <wp:docPr id="20" name="文本框 4"/>
              <wp:cNvGraphicFramePr/>
              <a:graphic xmlns:a="http://schemas.openxmlformats.org/drawingml/2006/main">
                <a:graphicData uri="http://schemas.microsoft.com/office/word/2010/wordprocessingShape">
                  <wps:wsp>
                    <wps:cNvSpPr txBox="1"/>
                    <wps:spPr>
                      <a:xfrm>
                        <a:off x="0" y="0"/>
                        <a:ext cx="1854200" cy="139700"/>
                      </a:xfrm>
                      <a:prstGeom prst="rect">
                        <a:avLst/>
                      </a:prstGeom>
                      <a:noFill/>
                      <a:ln>
                        <a:noFill/>
                      </a:ln>
                    </wps:spPr>
                    <wps:txbx>
                      <w:txbxContent>
                        <w:p w14:paraId="138F3347">
                          <w:pPr>
                            <w:spacing w:line="220" w:lineRule="exact"/>
                            <w:rPr>
                              <w:sz w:val="18"/>
                            </w:rPr>
                          </w:pPr>
                        </w:p>
                      </w:txbxContent>
                    </wps:txbx>
                    <wps:bodyPr lIns="0" tIns="0" rIns="0" bIns="0" upright="1"/>
                  </wps:wsp>
                </a:graphicData>
              </a:graphic>
            </wp:anchor>
          </w:drawing>
        </mc:Choice>
        <mc:Fallback>
          <w:pict>
            <v:shape id="文本框 4" o:spid="_x0000_s1026" o:spt="202" type="#_x0000_t202" style="position:absolute;left:0pt;margin-left:89pt;margin-top:781pt;height:11pt;width:146pt;mso-position-horizontal-relative:page;mso-position-vertical-relative:page;z-index:-251657216;mso-width-relative:page;mso-height-relative:page;" filled="f" stroked="f" coordsize="21600,21600" o:gfxdata="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kh8yEdgAAAANAQAADwAAAAAAAAABACAAAAAiAAAAZHJzL2Rvd25yZXYueG1sUEsBAhQA&#10;FAAAAAgAh07iQBveoay5AQAAcwMAAA4AAAAAAAAAAQAgAAAAJwEAAGRycy9lMm9Eb2MueG1sUEsF&#10;BgAAAAAGAAYAWQEAAFIFAAAAAA==&#10;">
              <v:fill on="f" focussize="0,0"/>
              <v:stroke on="f"/>
              <v:imagedata o:title=""/>
              <o:lock v:ext="edit" aspectratio="f"/>
              <v:textbox inset="0mm,0mm,0mm,0mm">
                <w:txbxContent>
                  <w:p w14:paraId="138F3347">
                    <w:pPr>
                      <w:spacing w:line="220" w:lineRule="exact"/>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ACF38">
    <w:pPr>
      <w:pStyle w:val="12"/>
      <w:spacing w:line="14" w:lineRule="auto"/>
      <w:rPr>
        <w:sz w:val="20"/>
      </w:rPr>
    </w:pPr>
    <w:r>
      <w:rPr>
        <w:sz w:val="24"/>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4387E5">
                          <w:pPr>
                            <w:pStyle w:val="16"/>
                            <w:jc w:val="both"/>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A4387E5">
                    <w:pPr>
                      <w:pStyle w:val="16"/>
                      <w:jc w:val="both"/>
                    </w:pPr>
                  </w:p>
                </w:txbxContent>
              </v:textbox>
            </v:shape>
          </w:pict>
        </mc:Fallback>
      </mc:AlternateContent>
    </w:r>
    <w:r>
      <w:rPr>
        <w:lang w:val="en-US" w:bidi="ar-SA"/>
      </w:rPr>
      <mc:AlternateContent>
        <mc:Choice Requires="wps">
          <w:drawing>
            <wp:anchor distT="0" distB="0" distL="114300" distR="114300" simplePos="0" relativeHeight="251676672" behindDoc="1" locked="0" layoutInCell="1" allowOverlap="1">
              <wp:simplePos x="0" y="0"/>
              <wp:positionH relativeFrom="page">
                <wp:posOffset>1130300</wp:posOffset>
              </wp:positionH>
              <wp:positionV relativeFrom="page">
                <wp:posOffset>9918700</wp:posOffset>
              </wp:positionV>
              <wp:extent cx="1854200" cy="139700"/>
              <wp:effectExtent l="0" t="0" r="0" b="0"/>
              <wp:wrapNone/>
              <wp:docPr id="11" name="文本框 4"/>
              <wp:cNvGraphicFramePr/>
              <a:graphic xmlns:a="http://schemas.openxmlformats.org/drawingml/2006/main">
                <a:graphicData uri="http://schemas.microsoft.com/office/word/2010/wordprocessingShape">
                  <wps:wsp>
                    <wps:cNvSpPr txBox="1"/>
                    <wps:spPr>
                      <a:xfrm>
                        <a:off x="0" y="0"/>
                        <a:ext cx="1854200" cy="139700"/>
                      </a:xfrm>
                      <a:prstGeom prst="rect">
                        <a:avLst/>
                      </a:prstGeom>
                      <a:noFill/>
                      <a:ln>
                        <a:noFill/>
                      </a:ln>
                    </wps:spPr>
                    <wps:txbx>
                      <w:txbxContent>
                        <w:p w14:paraId="1891605B">
                          <w:pPr>
                            <w:spacing w:line="220" w:lineRule="exact"/>
                            <w:rPr>
                              <w:sz w:val="18"/>
                            </w:rPr>
                          </w:pPr>
                        </w:p>
                      </w:txbxContent>
                    </wps:txbx>
                    <wps:bodyPr lIns="0" tIns="0" rIns="0" bIns="0" upright="1"/>
                  </wps:wsp>
                </a:graphicData>
              </a:graphic>
            </wp:anchor>
          </w:drawing>
        </mc:Choice>
        <mc:Fallback>
          <w:pict>
            <v:shape id="文本框 4" o:spid="_x0000_s1026" o:spt="202" type="#_x0000_t202" style="position:absolute;left:0pt;margin-left:89pt;margin-top:781pt;height:11pt;width:146pt;mso-position-horizontal-relative:page;mso-position-vertical-relative:page;z-index:-251639808;mso-width-relative:page;mso-height-relative:page;" filled="f" stroked="f" coordsize="21600,21600" o:gfxdata="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JIfMhHYAAAADQEAAA8AAAAAAAAAAQAgAAAAIgAAAGRycy9kb3ducmV2LnhtbFBLAQIU&#10;ABQAAAAIAIdO4kBvJR4JugEAAHMDAAAOAAAAAAAAAAEAIAAAACcBAABkcnMvZTJvRG9jLnhtbFBL&#10;BQYAAAAABgAGAFkBAABTBQAAAAA=&#10;">
              <v:fill on="f" focussize="0,0"/>
              <v:stroke on="f"/>
              <v:imagedata o:title=""/>
              <o:lock v:ext="edit" aspectratio="f"/>
              <v:textbox inset="0mm,0mm,0mm,0mm">
                <w:txbxContent>
                  <w:p w14:paraId="1891605B">
                    <w:pPr>
                      <w:spacing w:line="220" w:lineRule="exact"/>
                      <w:rPr>
                        <w:sz w:val="18"/>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CB3CA">
    <w:pPr>
      <w:pStyle w:val="12"/>
      <w:spacing w:line="14" w:lineRule="auto"/>
      <w:rPr>
        <w:sz w:val="20"/>
      </w:rPr>
    </w:pPr>
    <w:r>
      <w:rPr>
        <w:sz w:val="24"/>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745D07">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6745D07">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v:textbox>
            </v:shape>
          </w:pict>
        </mc:Fallback>
      </mc:AlternateContent>
    </w:r>
    <w:r>
      <w:rPr>
        <w:lang w:val="en-US" w:bidi="ar-SA"/>
      </w:rPr>
      <mc:AlternateContent>
        <mc:Choice Requires="wps">
          <w:drawing>
            <wp:anchor distT="0" distB="0" distL="114300" distR="114300" simplePos="0" relativeHeight="251667456" behindDoc="1" locked="0" layoutInCell="1" allowOverlap="1">
              <wp:simplePos x="0" y="0"/>
              <wp:positionH relativeFrom="page">
                <wp:posOffset>1130300</wp:posOffset>
              </wp:positionH>
              <wp:positionV relativeFrom="page">
                <wp:posOffset>9918700</wp:posOffset>
              </wp:positionV>
              <wp:extent cx="1854200" cy="139700"/>
              <wp:effectExtent l="0" t="0" r="0" b="0"/>
              <wp:wrapNone/>
              <wp:docPr id="52" name="文本框 48"/>
              <wp:cNvGraphicFramePr/>
              <a:graphic xmlns:a="http://schemas.openxmlformats.org/drawingml/2006/main">
                <a:graphicData uri="http://schemas.microsoft.com/office/word/2010/wordprocessingShape">
                  <wps:wsp>
                    <wps:cNvSpPr txBox="1"/>
                    <wps:spPr>
                      <a:xfrm>
                        <a:off x="0" y="0"/>
                        <a:ext cx="1854200" cy="139700"/>
                      </a:xfrm>
                      <a:prstGeom prst="rect">
                        <a:avLst/>
                      </a:prstGeom>
                      <a:noFill/>
                      <a:ln>
                        <a:noFill/>
                      </a:ln>
                    </wps:spPr>
                    <wps:txbx>
                      <w:txbxContent>
                        <w:p w14:paraId="76B1ECCE">
                          <w:pPr>
                            <w:spacing w:line="220" w:lineRule="exact"/>
                            <w:ind w:left="20"/>
                            <w:rPr>
                              <w:sz w:val="18"/>
                            </w:rPr>
                          </w:pPr>
                        </w:p>
                      </w:txbxContent>
                    </wps:txbx>
                    <wps:bodyPr lIns="0" tIns="0" rIns="0" bIns="0" upright="1"/>
                  </wps:wsp>
                </a:graphicData>
              </a:graphic>
            </wp:anchor>
          </w:drawing>
        </mc:Choice>
        <mc:Fallback>
          <w:pict>
            <v:shape id="文本框 48" o:spid="_x0000_s1026" o:spt="202" type="#_x0000_t202" style="position:absolute;left:0pt;margin-left:89pt;margin-top:781pt;height:11pt;width:146pt;mso-position-horizontal-relative:page;mso-position-vertical-relative:page;z-index:-251649024;mso-width-relative:page;mso-height-relative:page;" filled="f" stroked="f" coordsize="21600,21600" o:gfxdata="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kh8yEdgAAAANAQAADwAAAAAAAAABACAAAAAiAAAAZHJzL2Rvd25yZXYueG1sUEsB&#10;AhQAFAAAAAgAh07iQFut/uS8AQAAdAMAAA4AAAAAAAAAAQAgAAAAJwEAAGRycy9lMm9Eb2MueG1s&#10;UEsFBgAAAAAGAAYAWQEAAFUFAAAAAA==&#10;">
              <v:fill on="f" focussize="0,0"/>
              <v:stroke on="f"/>
              <v:imagedata o:title=""/>
              <o:lock v:ext="edit" aspectratio="f"/>
              <v:textbox inset="0mm,0mm,0mm,0mm">
                <w:txbxContent>
                  <w:p w14:paraId="76B1ECCE">
                    <w:pPr>
                      <w:spacing w:line="220" w:lineRule="exact"/>
                      <w:ind w:left="20"/>
                      <w:rPr>
                        <w:sz w:val="18"/>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828EA">
    <w:pPr>
      <w:pStyle w:val="12"/>
      <w:spacing w:line="14" w:lineRule="auto"/>
      <w:rPr>
        <w:sz w:val="20"/>
      </w:rPr>
    </w:pPr>
    <w:r>
      <w:rPr>
        <w:sz w:val="24"/>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C38BE4">
                          <w:pPr>
                            <w:pStyle w:val="16"/>
                          </w:pPr>
                          <w:r>
                            <w:t xml:space="preserve">第 </w:t>
                          </w:r>
                          <w:r>
                            <w:fldChar w:fldCharType="begin"/>
                          </w:r>
                          <w:r>
                            <w:instrText xml:space="preserve"> PAGE  \* MERGEFORMAT </w:instrText>
                          </w:r>
                          <w:r>
                            <w:fldChar w:fldCharType="separate"/>
                          </w:r>
                          <w:r>
                            <w:t>113</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4BC38BE4">
                    <w:pPr>
                      <w:pStyle w:val="16"/>
                    </w:pPr>
                    <w:r>
                      <w:t xml:space="preserve">第 </w:t>
                    </w:r>
                    <w:r>
                      <w:fldChar w:fldCharType="begin"/>
                    </w:r>
                    <w:r>
                      <w:instrText xml:space="preserve"> PAGE  \* MERGEFORMAT </w:instrText>
                    </w:r>
                    <w:r>
                      <w:fldChar w:fldCharType="separate"/>
                    </w:r>
                    <w:r>
                      <w:t>113</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v:textbox>
            </v:shape>
          </w:pict>
        </mc:Fallback>
      </mc:AlternateContent>
    </w:r>
    <w:r>
      <w:rPr>
        <w:lang w:val="en-US" w:bidi="ar-SA"/>
      </w:rPr>
      <mc:AlternateContent>
        <mc:Choice Requires="wps">
          <w:drawing>
            <wp:anchor distT="0" distB="0" distL="114300" distR="114300" simplePos="0" relativeHeight="251671552" behindDoc="1" locked="0" layoutInCell="1" allowOverlap="1">
              <wp:simplePos x="0" y="0"/>
              <wp:positionH relativeFrom="page">
                <wp:posOffset>8577580</wp:posOffset>
              </wp:positionH>
              <wp:positionV relativeFrom="page">
                <wp:posOffset>6781800</wp:posOffset>
              </wp:positionV>
              <wp:extent cx="998220" cy="152400"/>
              <wp:effectExtent l="0" t="0" r="0" b="0"/>
              <wp:wrapNone/>
              <wp:docPr id="40" name="文本框 33"/>
              <wp:cNvGraphicFramePr/>
              <a:graphic xmlns:a="http://schemas.openxmlformats.org/drawingml/2006/main">
                <a:graphicData uri="http://schemas.microsoft.com/office/word/2010/wordprocessingShape">
                  <wps:wsp>
                    <wps:cNvSpPr txBox="1"/>
                    <wps:spPr>
                      <a:xfrm>
                        <a:off x="0" y="0"/>
                        <a:ext cx="998220" cy="152400"/>
                      </a:xfrm>
                      <a:prstGeom prst="rect">
                        <a:avLst/>
                      </a:prstGeom>
                      <a:noFill/>
                      <a:ln>
                        <a:noFill/>
                      </a:ln>
                    </wps:spPr>
                    <wps:txbx>
                      <w:txbxContent>
                        <w:p w14:paraId="7C5CA494"/>
                      </w:txbxContent>
                    </wps:txbx>
                    <wps:bodyPr lIns="0" tIns="0" rIns="0" bIns="0" upright="1"/>
                  </wps:wsp>
                </a:graphicData>
              </a:graphic>
            </wp:anchor>
          </w:drawing>
        </mc:Choice>
        <mc:Fallback>
          <w:pict>
            <v:shape id="文本框 33" o:spid="_x0000_s1026" o:spt="202" type="#_x0000_t202" style="position:absolute;left:0pt;margin-left:675.4pt;margin-top:534pt;height:12pt;width:78.6pt;mso-position-horizontal-relative:page;mso-position-vertical-relative:page;z-index:-251644928;mso-width-relative:page;mso-height-relative:page;" filled="f" stroked="f" coordsize="21600,21600" o:gfxdata="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aYRavNgAAAAPAQAADwAAAAAAAAABACAAAAAiAAAAZHJzL2Rvd25yZXYueG1sUEsB&#10;AhQAFAAAAAgAh07iQHl9Rxu8AQAAcwMAAA4AAAAAAAAAAQAgAAAAJwEAAGRycy9lMm9Eb2MueG1s&#10;UEsFBgAAAAAGAAYAWQEAAFUFAAAAAA==&#10;">
              <v:fill on="f" focussize="0,0"/>
              <v:stroke on="f"/>
              <v:imagedata o:title=""/>
              <o:lock v:ext="edit" aspectratio="f"/>
              <v:textbox inset="0mm,0mm,0mm,0mm">
                <w:txbxContent>
                  <w:p w14:paraId="7C5CA494"/>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9C1AF">
    <w:pPr>
      <w:pStyle w:val="12"/>
      <w:spacing w:line="14" w:lineRule="auto"/>
      <w:rPr>
        <w:sz w:val="20"/>
      </w:rPr>
    </w:pPr>
    <w:r>
      <w:rPr>
        <w:sz w:val="20"/>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BB934B">
                          <w:pPr>
                            <w:pStyle w:val="16"/>
                          </w:pPr>
                          <w:r>
                            <w:t xml:space="preserve">第 </w:t>
                          </w:r>
                          <w:r>
                            <w:fldChar w:fldCharType="begin"/>
                          </w:r>
                          <w:r>
                            <w:instrText xml:space="preserve"> PAGE  \* MERGEFORMAT </w:instrText>
                          </w:r>
                          <w:r>
                            <w:fldChar w:fldCharType="separate"/>
                          </w:r>
                          <w:r>
                            <w:t>114</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2CBB934B">
                    <w:pPr>
                      <w:pStyle w:val="16"/>
                    </w:pPr>
                    <w:r>
                      <w:t xml:space="preserve">第 </w:t>
                    </w:r>
                    <w:r>
                      <w:fldChar w:fldCharType="begin"/>
                    </w:r>
                    <w:r>
                      <w:instrText xml:space="preserve"> PAGE  \* MERGEFORMAT </w:instrText>
                    </w:r>
                    <w:r>
                      <w:fldChar w:fldCharType="separate"/>
                    </w:r>
                    <w:r>
                      <w:t>114</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94E21">
    <w:pPr>
      <w:pStyle w:val="12"/>
      <w:spacing w:line="14" w:lineRule="auto"/>
      <w:rPr>
        <w:sz w:val="20"/>
      </w:rPr>
    </w:pPr>
    <w:r>
      <w:rPr>
        <w:sz w:val="20"/>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74012D">
                          <w:pPr>
                            <w:pStyle w:val="16"/>
                          </w:pPr>
                          <w:r>
                            <w:t xml:space="preserve">第 </w:t>
                          </w:r>
                          <w:r>
                            <w:fldChar w:fldCharType="begin"/>
                          </w:r>
                          <w:r>
                            <w:instrText xml:space="preserve"> PAGE  \* MERGEFORMAT </w:instrText>
                          </w:r>
                          <w:r>
                            <w:fldChar w:fldCharType="separate"/>
                          </w:r>
                          <w:r>
                            <w:t>116</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874012D">
                    <w:pPr>
                      <w:pStyle w:val="16"/>
                    </w:pPr>
                    <w:r>
                      <w:t xml:space="preserve">第 </w:t>
                    </w:r>
                    <w:r>
                      <w:fldChar w:fldCharType="begin"/>
                    </w:r>
                    <w:r>
                      <w:instrText xml:space="preserve"> PAGE  \* MERGEFORMAT </w:instrText>
                    </w:r>
                    <w:r>
                      <w:fldChar w:fldCharType="separate"/>
                    </w:r>
                    <w:r>
                      <w:t>116</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61B44">
    <w:pPr>
      <w:pStyle w:val="1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4A41A">
    <w:pPr>
      <w:pStyle w:val="12"/>
      <w:pBdr>
        <w:bottom w:val="none" w:color="auto" w:sz="0" w:space="0"/>
      </w:pBdr>
      <w:spacing w:line="14" w:lineRule="auto"/>
      <w:rPr>
        <w:sz w:val="20"/>
      </w:rPr>
    </w:pPr>
    <w:r>
      <w:rPr>
        <w:lang w:val="en-US" w:bidi="ar-SA"/>
      </w:rPr>
      <mc:AlternateContent>
        <mc:Choice Requires="wps">
          <w:drawing>
            <wp:anchor distT="0" distB="0" distL="114300" distR="114300" simplePos="0" relativeHeight="251660288" behindDoc="1" locked="0" layoutInCell="1" allowOverlap="1">
              <wp:simplePos x="0" y="0"/>
              <wp:positionH relativeFrom="page">
                <wp:posOffset>1122680</wp:posOffset>
              </wp:positionH>
              <wp:positionV relativeFrom="page">
                <wp:posOffset>1205230</wp:posOffset>
              </wp:positionV>
              <wp:extent cx="776605" cy="109220"/>
              <wp:effectExtent l="0" t="0" r="0" b="0"/>
              <wp:wrapNone/>
              <wp:docPr id="17" name="文本框 1"/>
              <wp:cNvGraphicFramePr/>
              <a:graphic xmlns:a="http://schemas.openxmlformats.org/drawingml/2006/main">
                <a:graphicData uri="http://schemas.microsoft.com/office/word/2010/wordprocessingShape">
                  <wps:wsp>
                    <wps:cNvSpPr txBox="1"/>
                    <wps:spPr>
                      <a:xfrm>
                        <a:off x="0" y="0"/>
                        <a:ext cx="776605" cy="109220"/>
                      </a:xfrm>
                      <a:prstGeom prst="rect">
                        <a:avLst/>
                      </a:prstGeom>
                      <a:noFill/>
                      <a:ln>
                        <a:noFill/>
                      </a:ln>
                    </wps:spPr>
                    <wps:txbx>
                      <w:txbxContent>
                        <w:p w14:paraId="254898FE">
                          <w:pPr>
                            <w:rPr>
                              <w:sz w:val="18"/>
                            </w:rPr>
                          </w:pPr>
                        </w:p>
                      </w:txbxContent>
                    </wps:txbx>
                    <wps:bodyPr lIns="0" tIns="0" rIns="0" bIns="0" upright="1"/>
                  </wps:wsp>
                </a:graphicData>
              </a:graphic>
            </wp:anchor>
          </w:drawing>
        </mc:Choice>
        <mc:Fallback>
          <w:pict>
            <v:shape id="文本框 1" o:spid="_x0000_s1026" o:spt="202" type="#_x0000_t202" style="position:absolute;left:0pt;margin-left:88.4pt;margin-top:94.9pt;height:8.6pt;width:61.15pt;mso-position-horizontal-relative:page;mso-position-vertical-relative:page;z-index:-251656192;mso-width-relative:page;mso-height-relative:page;" filled="f" stroked="f" coordsize="21600,21600" o:gfxdata="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6wYTXAAAACwEAAA8AAAAAAAAAAQAgAAAAIgAAAGRycy9kb3ducmV2LnhtbFBLAQIU&#10;ABQAAAAIAIdO4kDonveHuwEAAHIDAAAOAAAAAAAAAAEAIAAAACYBAABkcnMvZTJvRG9jLnhtbFBL&#10;BQYAAAAABgAGAFkBAABTBQAAAAA=&#10;">
              <v:fill on="f" focussize="0,0"/>
              <v:stroke on="f"/>
              <v:imagedata o:title=""/>
              <o:lock v:ext="edit" aspectratio="f"/>
              <v:textbox inset="0mm,0mm,0mm,0mm">
                <w:txbxContent>
                  <w:p w14:paraId="254898FE">
                    <w:pPr>
                      <w:rPr>
                        <w:sz w:val="18"/>
                      </w:rPr>
                    </w:pPr>
                  </w:p>
                </w:txbxContent>
              </v:textbox>
            </v:shape>
          </w:pict>
        </mc:Fallback>
      </mc:AlternateContent>
    </w:r>
    <w:r>
      <w:rPr>
        <w:lang w:val="en-US" w:bidi="ar-SA"/>
      </w:rPr>
      <mc:AlternateContent>
        <mc:Choice Requires="wps">
          <w:drawing>
            <wp:anchor distT="0" distB="0" distL="114300" distR="114300" simplePos="0" relativeHeight="251661312" behindDoc="1" locked="0" layoutInCell="1" allowOverlap="1">
              <wp:simplePos x="0" y="0"/>
              <wp:positionH relativeFrom="page">
                <wp:posOffset>5910580</wp:posOffset>
              </wp:positionH>
              <wp:positionV relativeFrom="page">
                <wp:posOffset>544830</wp:posOffset>
              </wp:positionV>
              <wp:extent cx="482600" cy="139700"/>
              <wp:effectExtent l="0" t="0" r="0" b="0"/>
              <wp:wrapNone/>
              <wp:docPr id="18" name="文本框 2"/>
              <wp:cNvGraphicFramePr/>
              <a:graphic xmlns:a="http://schemas.openxmlformats.org/drawingml/2006/main">
                <a:graphicData uri="http://schemas.microsoft.com/office/word/2010/wordprocessingShape">
                  <wps:wsp>
                    <wps:cNvSpPr txBox="1"/>
                    <wps:spPr>
                      <a:xfrm>
                        <a:off x="0" y="0"/>
                        <a:ext cx="482600" cy="139700"/>
                      </a:xfrm>
                      <a:prstGeom prst="rect">
                        <a:avLst/>
                      </a:prstGeom>
                      <a:noFill/>
                      <a:ln>
                        <a:noFill/>
                      </a:ln>
                    </wps:spPr>
                    <wps:txbx>
                      <w:txbxContent>
                        <w:p w14:paraId="19C8EBF1">
                          <w:pPr>
                            <w:spacing w:line="220" w:lineRule="exact"/>
                            <w:rPr>
                              <w:sz w:val="18"/>
                            </w:rPr>
                          </w:pPr>
                        </w:p>
                      </w:txbxContent>
                    </wps:txbx>
                    <wps:bodyPr lIns="0" tIns="0" rIns="0" bIns="0" upright="1"/>
                  </wps:wsp>
                </a:graphicData>
              </a:graphic>
            </wp:anchor>
          </w:drawing>
        </mc:Choice>
        <mc:Fallback>
          <w:pict>
            <v:shape id="文本框 2" o:spid="_x0000_s1026" o:spt="202" type="#_x0000_t202" style="position:absolute;left:0pt;margin-left:465.4pt;margin-top:42.9pt;height:11pt;width:38pt;mso-position-horizontal-relative:page;mso-position-vertical-relative:page;z-index:-251655168;mso-width-relative:page;mso-height-relative:page;" filled="f" stroked="f" coordsize="21600,21600" o:gfxdata="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swqvl1wAAAAsBAAAPAAAAAAAAAAEAIAAAACIAAABkcnMvZG93bnJldi54bWxQSwECFAAU&#10;AAAACACHTuJAuSYQ4bkBAAByAwAADgAAAAAAAAABACAAAAAmAQAAZHJzL2Uyb0RvYy54bWxQSwUG&#10;AAAAAAYABgBZAQAAUQUAAAAA&#10;">
              <v:fill on="f" focussize="0,0"/>
              <v:stroke on="f"/>
              <v:imagedata o:title=""/>
              <o:lock v:ext="edit" aspectratio="f"/>
              <v:textbox inset="0mm,0mm,0mm,0mm">
                <w:txbxContent>
                  <w:p w14:paraId="19C8EBF1">
                    <w:pPr>
                      <w:spacing w:line="220" w:lineRule="exact"/>
                      <w:rPr>
                        <w:sz w:val="18"/>
                      </w:rPr>
                    </w:pP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BAEB3">
    <w:pPr>
      <w:pBdr>
        <w:bottom w:val="none" w:color="auto" w:sz="0" w:space="0"/>
      </w:pBdr>
      <w:spacing w:line="440" w:lineRule="exact"/>
      <w:ind w:firstLine="442" w:firstLineChars="200"/>
      <w:jc w:val="center"/>
      <w:rPr>
        <w:rFonts w:hint="eastAsia" w:ascii="宋体" w:hAnsi="宋体" w:eastAsia="宋体"/>
        <w:b/>
        <w:i/>
        <w:iCs/>
        <w:kern w:val="0"/>
        <w:sz w:val="18"/>
        <w:szCs w:val="18"/>
        <w:lang w:val="en-US" w:eastAsia="zh-CN" w:bidi="ar-SA"/>
      </w:rPr>
    </w:pPr>
    <w:r>
      <w:rPr>
        <w:rFonts w:hint="eastAsia" w:ascii="宋体" w:hAnsi="宋体"/>
        <w:b/>
      </w:rPr>
      <w:t xml:space="preserve">            </w:t>
    </w:r>
    <w:r>
      <w:rPr>
        <w:rFonts w:hint="eastAsia" w:ascii="宋体" w:hAnsi="宋体"/>
        <w:b/>
        <w:lang w:val="en-US" w:eastAsia="zh-CN"/>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7D7BE">
    <w:pPr>
      <w:pStyle w:val="12"/>
      <w:spacing w:line="14" w:lineRule="auto"/>
      <w:rPr>
        <w:sz w:val="20"/>
      </w:rPr>
    </w:pPr>
    <w:r>
      <w:rPr>
        <w:lang w:val="en-US" w:bidi="ar-SA"/>
      </w:rPr>
      <mc:AlternateContent>
        <mc:Choice Requires="wps">
          <w:drawing>
            <wp:anchor distT="0" distB="0" distL="114300" distR="114300" simplePos="0" relativeHeight="251662336" behindDoc="1" locked="0" layoutInCell="1" allowOverlap="1">
              <wp:simplePos x="0" y="0"/>
              <wp:positionH relativeFrom="page">
                <wp:posOffset>887730</wp:posOffset>
              </wp:positionH>
              <wp:positionV relativeFrom="page">
                <wp:posOffset>541020</wp:posOffset>
              </wp:positionV>
              <wp:extent cx="2977515" cy="152400"/>
              <wp:effectExtent l="0" t="0" r="0" b="0"/>
              <wp:wrapNone/>
              <wp:docPr id="33" name="文本框 26"/>
              <wp:cNvGraphicFramePr/>
              <a:graphic xmlns:a="http://schemas.openxmlformats.org/drawingml/2006/main">
                <a:graphicData uri="http://schemas.microsoft.com/office/word/2010/wordprocessingShape">
                  <wps:wsp>
                    <wps:cNvSpPr txBox="1"/>
                    <wps:spPr>
                      <a:xfrm>
                        <a:off x="0" y="0"/>
                        <a:ext cx="2977515" cy="152400"/>
                      </a:xfrm>
                      <a:prstGeom prst="rect">
                        <a:avLst/>
                      </a:prstGeom>
                      <a:noFill/>
                      <a:ln>
                        <a:noFill/>
                      </a:ln>
                    </wps:spPr>
                    <wps:txbx>
                      <w:txbxContent>
                        <w:p w14:paraId="3E0489EA">
                          <w:pPr>
                            <w:ind w:left="20"/>
                            <w:rPr>
                              <w:sz w:val="18"/>
                            </w:rPr>
                          </w:pPr>
                        </w:p>
                      </w:txbxContent>
                    </wps:txbx>
                    <wps:bodyPr lIns="0" tIns="0" rIns="0" bIns="0" upright="1"/>
                  </wps:wsp>
                </a:graphicData>
              </a:graphic>
            </wp:anchor>
          </w:drawing>
        </mc:Choice>
        <mc:Fallback>
          <w:pict>
            <v:shape id="文本框 26" o:spid="_x0000_s1026" o:spt="202" type="#_x0000_t202" style="position:absolute;left:0pt;margin-left:69.9pt;margin-top:42.6pt;height:12pt;width:234.45pt;mso-position-horizontal-relative:page;mso-position-vertical-relative:page;z-index:-251654144;mso-width-relative:page;mso-height-relative:page;" filled="f" stroked="f" coordsize="21600,21600" o:gfxdata="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XctHrXAAAACgEAAA8AAAAAAAAAAQAgAAAAIgAAAGRycy9kb3ducmV2LnhtbFBL&#10;AQIUABQAAAAIAIdO4kAKwiiAvgEAAHQDAAAOAAAAAAAAAAEAIAAAACYBAABkcnMvZTJvRG9jLnht&#10;bFBLBQYAAAAABgAGAFkBAABWBQAAAAA=&#10;">
              <v:fill on="f" focussize="0,0"/>
              <v:stroke on="f"/>
              <v:imagedata o:title=""/>
              <o:lock v:ext="edit" aspectratio="f"/>
              <v:textbox inset="0mm,0mm,0mm,0mm">
                <w:txbxContent>
                  <w:p w14:paraId="3E0489EA">
                    <w:pPr>
                      <w:ind w:left="20"/>
                      <w:rPr>
                        <w:sz w:val="18"/>
                      </w:rPr>
                    </w:pPr>
                  </w:p>
                </w:txbxContent>
              </v:textbox>
            </v:shape>
          </w:pict>
        </mc:Fallback>
      </mc:AlternateContent>
    </w:r>
    <w:r>
      <w:rPr>
        <w:lang w:val="en-US" w:bidi="ar-SA"/>
      </w:rPr>
      <mc:AlternateContent>
        <mc:Choice Requires="wps">
          <w:drawing>
            <wp:anchor distT="0" distB="0" distL="114300" distR="114300" simplePos="0" relativeHeight="251663360" behindDoc="1" locked="0" layoutInCell="1" allowOverlap="1">
              <wp:simplePos x="0" y="0"/>
              <wp:positionH relativeFrom="page">
                <wp:posOffset>5668645</wp:posOffset>
              </wp:positionH>
              <wp:positionV relativeFrom="page">
                <wp:posOffset>544830</wp:posOffset>
              </wp:positionV>
              <wp:extent cx="482600" cy="139700"/>
              <wp:effectExtent l="0" t="0" r="0" b="0"/>
              <wp:wrapNone/>
              <wp:docPr id="34" name="文本框 27"/>
              <wp:cNvGraphicFramePr/>
              <a:graphic xmlns:a="http://schemas.openxmlformats.org/drawingml/2006/main">
                <a:graphicData uri="http://schemas.microsoft.com/office/word/2010/wordprocessingShape">
                  <wps:wsp>
                    <wps:cNvSpPr txBox="1"/>
                    <wps:spPr>
                      <a:xfrm>
                        <a:off x="0" y="0"/>
                        <a:ext cx="482600" cy="139700"/>
                      </a:xfrm>
                      <a:prstGeom prst="rect">
                        <a:avLst/>
                      </a:prstGeom>
                      <a:noFill/>
                      <a:ln>
                        <a:noFill/>
                      </a:ln>
                    </wps:spPr>
                    <wps:txbx>
                      <w:txbxContent>
                        <w:p w14:paraId="3AFD2C71">
                          <w:pPr>
                            <w:spacing w:line="220" w:lineRule="exact"/>
                            <w:rPr>
                              <w:sz w:val="18"/>
                            </w:rPr>
                          </w:pPr>
                        </w:p>
                      </w:txbxContent>
                    </wps:txbx>
                    <wps:bodyPr lIns="0" tIns="0" rIns="0" bIns="0" upright="1"/>
                  </wps:wsp>
                </a:graphicData>
              </a:graphic>
            </wp:anchor>
          </w:drawing>
        </mc:Choice>
        <mc:Fallback>
          <w:pict>
            <v:shape id="文本框 27" o:spid="_x0000_s1026" o:spt="202" type="#_x0000_t202" style="position:absolute;left:0pt;margin-left:446.35pt;margin-top:42.9pt;height:11pt;width:38pt;mso-position-horizontal-relative:page;mso-position-vertical-relative:page;z-index:-251653120;mso-width-relative:page;mso-height-relative:page;" filled="f" stroked="f" coordsize="21600,21600" o:gfxdata="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bqiHi2AAAAAoBAAAPAAAAAAAAAAEAIAAAACIAAABkcnMvZG93bnJldi54bWxQSwEC&#10;FAAUAAAACACHTuJAktTWn7sBAABzAwAADgAAAAAAAAABACAAAAAnAQAAZHJzL2Uyb0RvYy54bWxQ&#10;SwUGAAAAAAYABgBZAQAAVAUAAAAA&#10;">
              <v:fill on="f" focussize="0,0"/>
              <v:stroke on="f"/>
              <v:imagedata o:title=""/>
              <o:lock v:ext="edit" aspectratio="f"/>
              <v:textbox inset="0mm,0mm,0mm,0mm">
                <w:txbxContent>
                  <w:p w14:paraId="3AFD2C71">
                    <w:pPr>
                      <w:spacing w:line="220" w:lineRule="exact"/>
                      <w:rPr>
                        <w:sz w:val="18"/>
                      </w:rPr>
                    </w:pP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19B90">
    <w:pPr>
      <w:pStyle w:val="12"/>
      <w:spacing w:line="14" w:lineRule="auto"/>
      <w:rPr>
        <w:sz w:val="20"/>
      </w:rPr>
    </w:pPr>
    <w:r>
      <w:rPr>
        <w:lang w:val="en-US" w:bidi="ar-SA"/>
      </w:rPr>
      <mc:AlternateContent>
        <mc:Choice Requires="wps">
          <w:drawing>
            <wp:anchor distT="0" distB="0" distL="114300" distR="114300" simplePos="0" relativeHeight="251673600" behindDoc="1" locked="0" layoutInCell="1" allowOverlap="1">
              <wp:simplePos x="0" y="0"/>
              <wp:positionH relativeFrom="page">
                <wp:posOffset>887730</wp:posOffset>
              </wp:positionH>
              <wp:positionV relativeFrom="page">
                <wp:posOffset>541020</wp:posOffset>
              </wp:positionV>
              <wp:extent cx="2977515" cy="152400"/>
              <wp:effectExtent l="0" t="0" r="0" b="0"/>
              <wp:wrapNone/>
              <wp:docPr id="5" name="文本框 26"/>
              <wp:cNvGraphicFramePr/>
              <a:graphic xmlns:a="http://schemas.openxmlformats.org/drawingml/2006/main">
                <a:graphicData uri="http://schemas.microsoft.com/office/word/2010/wordprocessingShape">
                  <wps:wsp>
                    <wps:cNvSpPr txBox="1"/>
                    <wps:spPr>
                      <a:xfrm>
                        <a:off x="0" y="0"/>
                        <a:ext cx="2977515" cy="152400"/>
                      </a:xfrm>
                      <a:prstGeom prst="rect">
                        <a:avLst/>
                      </a:prstGeom>
                      <a:noFill/>
                      <a:ln>
                        <a:noFill/>
                      </a:ln>
                    </wps:spPr>
                    <wps:txbx>
                      <w:txbxContent>
                        <w:p w14:paraId="5C4B75E5">
                          <w:pPr>
                            <w:ind w:left="20"/>
                            <w:rPr>
                              <w:sz w:val="18"/>
                            </w:rPr>
                          </w:pPr>
                        </w:p>
                      </w:txbxContent>
                    </wps:txbx>
                    <wps:bodyPr lIns="0" tIns="0" rIns="0" bIns="0" upright="1"/>
                  </wps:wsp>
                </a:graphicData>
              </a:graphic>
            </wp:anchor>
          </w:drawing>
        </mc:Choice>
        <mc:Fallback>
          <w:pict>
            <v:shape id="文本框 26" o:spid="_x0000_s1026" o:spt="202" type="#_x0000_t202" style="position:absolute;left:0pt;margin-left:69.9pt;margin-top:42.6pt;height:12pt;width:234.45pt;mso-position-horizontal-relative:page;mso-position-vertical-relative:page;z-index:-251642880;mso-width-relative:page;mso-height-relative:page;" filled="f" stroked="f" coordsize="21600,21600" o:gfxdata="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13LR61wAAAAoBAAAPAAAAAAAAAAEAIAAAACIAAABkcnMvZG93bnJldi54bWxQSwEC&#10;FAAUAAAACACHTuJAYO3ayrwBAABzAwAADgAAAAAAAAABACAAAAAmAQAAZHJzL2Uyb0RvYy54bWxQ&#10;SwUGAAAAAAYABgBZAQAAVAUAAAAA&#10;">
              <v:fill on="f" focussize="0,0"/>
              <v:stroke on="f"/>
              <v:imagedata o:title=""/>
              <o:lock v:ext="edit" aspectratio="f"/>
              <v:textbox inset="0mm,0mm,0mm,0mm">
                <w:txbxContent>
                  <w:p w14:paraId="5C4B75E5">
                    <w:pPr>
                      <w:ind w:left="20"/>
                      <w:rPr>
                        <w:sz w:val="18"/>
                      </w:rPr>
                    </w:pPr>
                  </w:p>
                </w:txbxContent>
              </v:textbox>
            </v:shape>
          </w:pict>
        </mc:Fallback>
      </mc:AlternateContent>
    </w:r>
    <w:r>
      <w:rPr>
        <w:lang w:val="en-US" w:bidi="ar-SA"/>
      </w:rPr>
      <mc:AlternateContent>
        <mc:Choice Requires="wps">
          <w:drawing>
            <wp:anchor distT="0" distB="0" distL="114300" distR="114300" simplePos="0" relativeHeight="251674624" behindDoc="1" locked="0" layoutInCell="1" allowOverlap="1">
              <wp:simplePos x="0" y="0"/>
              <wp:positionH relativeFrom="page">
                <wp:posOffset>5668645</wp:posOffset>
              </wp:positionH>
              <wp:positionV relativeFrom="page">
                <wp:posOffset>544830</wp:posOffset>
              </wp:positionV>
              <wp:extent cx="482600" cy="139700"/>
              <wp:effectExtent l="0" t="0" r="0" b="0"/>
              <wp:wrapNone/>
              <wp:docPr id="7" name="文本框 27"/>
              <wp:cNvGraphicFramePr/>
              <a:graphic xmlns:a="http://schemas.openxmlformats.org/drawingml/2006/main">
                <a:graphicData uri="http://schemas.microsoft.com/office/word/2010/wordprocessingShape">
                  <wps:wsp>
                    <wps:cNvSpPr txBox="1"/>
                    <wps:spPr>
                      <a:xfrm>
                        <a:off x="0" y="0"/>
                        <a:ext cx="482600" cy="139700"/>
                      </a:xfrm>
                      <a:prstGeom prst="rect">
                        <a:avLst/>
                      </a:prstGeom>
                      <a:noFill/>
                      <a:ln>
                        <a:noFill/>
                      </a:ln>
                    </wps:spPr>
                    <wps:txbx>
                      <w:txbxContent>
                        <w:p w14:paraId="01005FB3">
                          <w:pPr>
                            <w:spacing w:line="220" w:lineRule="exact"/>
                            <w:rPr>
                              <w:sz w:val="18"/>
                            </w:rPr>
                          </w:pPr>
                        </w:p>
                      </w:txbxContent>
                    </wps:txbx>
                    <wps:bodyPr lIns="0" tIns="0" rIns="0" bIns="0" upright="1"/>
                  </wps:wsp>
                </a:graphicData>
              </a:graphic>
            </wp:anchor>
          </w:drawing>
        </mc:Choice>
        <mc:Fallback>
          <w:pict>
            <v:shape id="文本框 27" o:spid="_x0000_s1026" o:spt="202" type="#_x0000_t202" style="position:absolute;left:0pt;margin-left:446.35pt;margin-top:42.9pt;height:11pt;width:38pt;mso-position-horizontal-relative:page;mso-position-vertical-relative:page;z-index:-251641856;mso-width-relative:page;mso-height-relative:page;" filled="f" stroked="f" coordsize="21600,21600" o:gfxdata="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JuqIeLYAAAACgEAAA8AAAAAAAAAAQAgAAAAIgAAAGRycy9kb3ducmV2LnhtbFBLAQIU&#10;ABQAAAAIAIdO4kCylwp/ugEAAHIDAAAOAAAAAAAAAAEAIAAAACcBAABkcnMvZTJvRG9jLnhtbFBL&#10;BQYAAAAABgAGAFkBAABTBQAAAAA=&#10;">
              <v:fill on="f" focussize="0,0"/>
              <v:stroke on="f"/>
              <v:imagedata o:title=""/>
              <o:lock v:ext="edit" aspectratio="f"/>
              <v:textbox inset="0mm,0mm,0mm,0mm">
                <w:txbxContent>
                  <w:p w14:paraId="01005FB3">
                    <w:pPr>
                      <w:spacing w:line="220" w:lineRule="exact"/>
                      <w:rPr>
                        <w:sz w:val="18"/>
                      </w:rPr>
                    </w:pPr>
                  </w:p>
                </w:txbxContent>
              </v:textbox>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96058">
    <w:pPr>
      <w:pStyle w:val="12"/>
      <w:spacing w:line="14" w:lineRule="auto"/>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03806">
    <w:pPr>
      <w:pStyle w:val="12"/>
      <w:spacing w:line="14" w:lineRule="auto"/>
      <w:rPr>
        <w:sz w:val="20"/>
      </w:rPr>
    </w:pPr>
    <w:r>
      <w:rPr>
        <w:lang w:val="en-US" w:bidi="ar-SA"/>
      </w:rPr>
      <mc:AlternateContent>
        <mc:Choice Requires="wps">
          <w:drawing>
            <wp:anchor distT="0" distB="0" distL="114300" distR="114300" simplePos="0" relativeHeight="251668480" behindDoc="1" locked="0" layoutInCell="1" allowOverlap="1">
              <wp:simplePos x="0" y="0"/>
              <wp:positionH relativeFrom="page">
                <wp:posOffset>887730</wp:posOffset>
              </wp:positionH>
              <wp:positionV relativeFrom="page">
                <wp:posOffset>541020</wp:posOffset>
              </wp:positionV>
              <wp:extent cx="2977515" cy="152400"/>
              <wp:effectExtent l="0" t="0" r="0" b="0"/>
              <wp:wrapNone/>
              <wp:docPr id="54" name="文本框 34"/>
              <wp:cNvGraphicFramePr/>
              <a:graphic xmlns:a="http://schemas.openxmlformats.org/drawingml/2006/main">
                <a:graphicData uri="http://schemas.microsoft.com/office/word/2010/wordprocessingShape">
                  <wps:wsp>
                    <wps:cNvSpPr txBox="1"/>
                    <wps:spPr>
                      <a:xfrm>
                        <a:off x="0" y="0"/>
                        <a:ext cx="2977515" cy="152400"/>
                      </a:xfrm>
                      <a:prstGeom prst="rect">
                        <a:avLst/>
                      </a:prstGeom>
                      <a:noFill/>
                      <a:ln>
                        <a:noFill/>
                      </a:ln>
                    </wps:spPr>
                    <wps:txbx>
                      <w:txbxContent>
                        <w:p w14:paraId="6836486E">
                          <w:pPr>
                            <w:rPr>
                              <w:sz w:val="18"/>
                            </w:rPr>
                          </w:pPr>
                        </w:p>
                      </w:txbxContent>
                    </wps:txbx>
                    <wps:bodyPr lIns="0" tIns="0" rIns="0" bIns="0" upright="1"/>
                  </wps:wsp>
                </a:graphicData>
              </a:graphic>
            </wp:anchor>
          </w:drawing>
        </mc:Choice>
        <mc:Fallback>
          <w:pict>
            <v:shape id="文本框 34" o:spid="_x0000_s1026" o:spt="202" type="#_x0000_t202" style="position:absolute;left:0pt;margin-left:69.9pt;margin-top:42.6pt;height:12pt;width:234.45pt;mso-position-horizontal-relative:page;mso-position-vertical-relative:page;z-index:-251648000;mso-width-relative:page;mso-height-relative:page;" filled="f" stroked="f" coordsize="21600,21600" o:gfxdata="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XctHrXAAAACgEAAA8AAAAAAAAAAQAgAAAAIgAAAGRycy9kb3ducmV2LnhtbFBL&#10;AQIUABQAAAAIAIdO4kCU10nevgEAAHQDAAAOAAAAAAAAAAEAIAAAACYBAABkcnMvZTJvRG9jLnht&#10;bFBLBQYAAAAABgAGAFkBAABWBQAAAAA=&#10;">
              <v:fill on="f" focussize="0,0"/>
              <v:stroke on="f"/>
              <v:imagedata o:title=""/>
              <o:lock v:ext="edit" aspectratio="f"/>
              <v:textbox inset="0mm,0mm,0mm,0mm">
                <w:txbxContent>
                  <w:p w14:paraId="6836486E">
                    <w:pPr>
                      <w:rPr>
                        <w:sz w:val="18"/>
                      </w:rPr>
                    </w:pPr>
                  </w:p>
                </w:txbxContent>
              </v:textbox>
            </v:shape>
          </w:pict>
        </mc:Fallback>
      </mc:AlternateContent>
    </w:r>
    <w:r>
      <w:rPr>
        <w:lang w:val="en-US" w:bidi="ar-SA"/>
      </w:rPr>
      <mc:AlternateContent>
        <mc:Choice Requires="wps">
          <w:drawing>
            <wp:anchor distT="0" distB="0" distL="114300" distR="114300" simplePos="0" relativeHeight="251669504" behindDoc="1" locked="0" layoutInCell="1" allowOverlap="1">
              <wp:simplePos x="0" y="0"/>
              <wp:positionH relativeFrom="page">
                <wp:posOffset>5668645</wp:posOffset>
              </wp:positionH>
              <wp:positionV relativeFrom="page">
                <wp:posOffset>544830</wp:posOffset>
              </wp:positionV>
              <wp:extent cx="482600" cy="139700"/>
              <wp:effectExtent l="0" t="0" r="0" b="0"/>
              <wp:wrapNone/>
              <wp:docPr id="55" name="文本框 35"/>
              <wp:cNvGraphicFramePr/>
              <a:graphic xmlns:a="http://schemas.openxmlformats.org/drawingml/2006/main">
                <a:graphicData uri="http://schemas.microsoft.com/office/word/2010/wordprocessingShape">
                  <wps:wsp>
                    <wps:cNvSpPr txBox="1"/>
                    <wps:spPr>
                      <a:xfrm>
                        <a:off x="0" y="0"/>
                        <a:ext cx="482600" cy="139700"/>
                      </a:xfrm>
                      <a:prstGeom prst="rect">
                        <a:avLst/>
                      </a:prstGeom>
                      <a:noFill/>
                      <a:ln>
                        <a:noFill/>
                      </a:ln>
                    </wps:spPr>
                    <wps:txbx>
                      <w:txbxContent>
                        <w:p w14:paraId="02E349FD">
                          <w:pPr>
                            <w:spacing w:line="220" w:lineRule="exact"/>
                            <w:ind w:left="20"/>
                            <w:rPr>
                              <w:sz w:val="18"/>
                            </w:rPr>
                          </w:pPr>
                        </w:p>
                      </w:txbxContent>
                    </wps:txbx>
                    <wps:bodyPr lIns="0" tIns="0" rIns="0" bIns="0" upright="1"/>
                  </wps:wsp>
                </a:graphicData>
              </a:graphic>
            </wp:anchor>
          </w:drawing>
        </mc:Choice>
        <mc:Fallback>
          <w:pict>
            <v:shape id="文本框 35" o:spid="_x0000_s1026" o:spt="202" type="#_x0000_t202" style="position:absolute;left:0pt;margin-left:446.35pt;margin-top:42.9pt;height:11pt;width:38pt;mso-position-horizontal-relative:page;mso-position-vertical-relative:page;z-index:-251646976;mso-width-relative:page;mso-height-relative:page;" filled="f" stroked="f" coordsize="21600,21600" o:gfxdata="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bqiHi2AAAAAoBAAAPAAAAAAAAAAEAIAAAACIAAABkcnMvZG93bnJldi54bWxQSwEC&#10;FAAUAAAACACHTuJAkvShqbsBAABzAwAADgAAAAAAAAABACAAAAAnAQAAZHJzL2Uyb0RvYy54bWxQ&#10;SwUGAAAAAAYABgBZAQAAVAUAAAAA&#10;">
              <v:fill on="f" focussize="0,0"/>
              <v:stroke on="f"/>
              <v:imagedata o:title=""/>
              <o:lock v:ext="edit" aspectratio="f"/>
              <v:textbox inset="0mm,0mm,0mm,0mm">
                <w:txbxContent>
                  <w:p w14:paraId="02E349FD">
                    <w:pPr>
                      <w:spacing w:line="220" w:lineRule="exact"/>
                      <w:ind w:left="20"/>
                      <w:rPr>
                        <w:sz w:val="18"/>
                      </w:rPr>
                    </w:pPr>
                  </w:p>
                </w:txbxContent>
              </v:textbox>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2B915">
    <w:pPr>
      <w:pStyle w:val="12"/>
      <w:spacing w:line="14" w:lineRule="auto"/>
      <w:rPr>
        <w:sz w:val="20"/>
      </w:rPr>
    </w:pPr>
    <w:r>
      <w:rPr>
        <w:lang w:val="en-US" w:bidi="ar-SA"/>
      </w:rPr>
      <mc:AlternateContent>
        <mc:Choice Requires="wps">
          <w:drawing>
            <wp:anchor distT="0" distB="0" distL="114300" distR="114300" simplePos="0" relativeHeight="251664384" behindDoc="1" locked="0" layoutInCell="1" allowOverlap="1">
              <wp:simplePos x="0" y="0"/>
              <wp:positionH relativeFrom="page">
                <wp:posOffset>887730</wp:posOffset>
              </wp:positionH>
              <wp:positionV relativeFrom="page">
                <wp:posOffset>541020</wp:posOffset>
              </wp:positionV>
              <wp:extent cx="2977515" cy="152400"/>
              <wp:effectExtent l="0" t="0" r="0" b="0"/>
              <wp:wrapNone/>
              <wp:docPr id="41" name="文本框 34"/>
              <wp:cNvGraphicFramePr/>
              <a:graphic xmlns:a="http://schemas.openxmlformats.org/drawingml/2006/main">
                <a:graphicData uri="http://schemas.microsoft.com/office/word/2010/wordprocessingShape">
                  <wps:wsp>
                    <wps:cNvSpPr txBox="1"/>
                    <wps:spPr>
                      <a:xfrm>
                        <a:off x="0" y="0"/>
                        <a:ext cx="2977515" cy="152400"/>
                      </a:xfrm>
                      <a:prstGeom prst="rect">
                        <a:avLst/>
                      </a:prstGeom>
                      <a:noFill/>
                      <a:ln>
                        <a:noFill/>
                      </a:ln>
                    </wps:spPr>
                    <wps:txbx>
                      <w:txbxContent>
                        <w:p w14:paraId="3E9D31DE">
                          <w:pPr>
                            <w:ind w:left="20"/>
                            <w:rPr>
                              <w:sz w:val="18"/>
                            </w:rPr>
                          </w:pPr>
                        </w:p>
                      </w:txbxContent>
                    </wps:txbx>
                    <wps:bodyPr lIns="0" tIns="0" rIns="0" bIns="0" upright="1"/>
                  </wps:wsp>
                </a:graphicData>
              </a:graphic>
            </wp:anchor>
          </w:drawing>
        </mc:Choice>
        <mc:Fallback>
          <w:pict>
            <v:shape id="文本框 34" o:spid="_x0000_s1026" o:spt="202" type="#_x0000_t202" style="position:absolute;left:0pt;margin-left:69.9pt;margin-top:42.6pt;height:12pt;width:234.45pt;mso-position-horizontal-relative:page;mso-position-vertical-relative:page;z-index:-251652096;mso-width-relative:page;mso-height-relative:page;" filled="f" stroked="f" coordsize="21600,21600" o:gfxdata="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XctHrXAAAACgEAAA8AAAAAAAAAAQAgAAAAIgAAAGRycy9kb3ducmV2LnhtbFBL&#10;AQIUABQAAAAIAIdO4kAG20xPvgEAAHQDAAAOAAAAAAAAAAEAIAAAACYBAABkcnMvZTJvRG9jLnht&#10;bFBLBQYAAAAABgAGAFkBAABWBQAAAAA=&#10;">
              <v:fill on="f" focussize="0,0"/>
              <v:stroke on="f"/>
              <v:imagedata o:title=""/>
              <o:lock v:ext="edit" aspectratio="f"/>
              <v:textbox inset="0mm,0mm,0mm,0mm">
                <w:txbxContent>
                  <w:p w14:paraId="3E9D31DE">
                    <w:pPr>
                      <w:ind w:left="20"/>
                      <w:rPr>
                        <w:sz w:val="18"/>
                      </w:rPr>
                    </w:pPr>
                  </w:p>
                </w:txbxContent>
              </v:textbox>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36645">
    <w:pPr>
      <w:pStyle w:val="12"/>
      <w:spacing w:line="14" w:lineRule="auto"/>
      <w:rPr>
        <w:sz w:val="20"/>
      </w:rPr>
    </w:pPr>
    <w:r>
      <w:rPr>
        <w:lang w:val="en-US" w:bidi="ar-SA"/>
      </w:rPr>
      <mc:AlternateContent>
        <mc:Choice Requires="wps">
          <w:drawing>
            <wp:anchor distT="0" distB="0" distL="114300" distR="114300" simplePos="0" relativeHeight="251665408" behindDoc="1" locked="0" layoutInCell="1" allowOverlap="1">
              <wp:simplePos x="0" y="0"/>
              <wp:positionH relativeFrom="page">
                <wp:posOffset>1130300</wp:posOffset>
              </wp:positionH>
              <wp:positionV relativeFrom="page">
                <wp:posOffset>483235</wp:posOffset>
              </wp:positionV>
              <wp:extent cx="2977515" cy="76200"/>
              <wp:effectExtent l="0" t="0" r="0" b="0"/>
              <wp:wrapNone/>
              <wp:docPr id="45" name="文本框 38"/>
              <wp:cNvGraphicFramePr/>
              <a:graphic xmlns:a="http://schemas.openxmlformats.org/drawingml/2006/main">
                <a:graphicData uri="http://schemas.microsoft.com/office/word/2010/wordprocessingShape">
                  <wps:wsp>
                    <wps:cNvSpPr txBox="1"/>
                    <wps:spPr>
                      <a:xfrm flipV="1">
                        <a:off x="0" y="0"/>
                        <a:ext cx="2977515" cy="76200"/>
                      </a:xfrm>
                      <a:prstGeom prst="rect">
                        <a:avLst/>
                      </a:prstGeom>
                      <a:noFill/>
                      <a:ln>
                        <a:noFill/>
                      </a:ln>
                    </wps:spPr>
                    <wps:txbx>
                      <w:txbxContent>
                        <w:p w14:paraId="70947A4C">
                          <w:pPr>
                            <w:rPr>
                              <w:sz w:val="18"/>
                            </w:rPr>
                          </w:pPr>
                        </w:p>
                      </w:txbxContent>
                    </wps:txbx>
                    <wps:bodyPr lIns="0" tIns="0" rIns="0" bIns="0" upright="1"/>
                  </wps:wsp>
                </a:graphicData>
              </a:graphic>
            </wp:anchor>
          </w:drawing>
        </mc:Choice>
        <mc:Fallback>
          <w:pict>
            <v:shape id="文本框 38" o:spid="_x0000_s1026" o:spt="202" type="#_x0000_t202" style="position:absolute;left:0pt;flip:y;margin-left:89pt;margin-top:38.05pt;height:6pt;width:234.45pt;mso-position-horizontal-relative:page;mso-position-vertical-relative:page;z-index:-251651072;mso-width-relative:page;mso-height-relative:page;" filled="f" stroked="f" coordsize="21600,21600" o:gfxdata="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0r1uwdgAAAAJAQAADwAAAAAAAAABACAAAAAiAAAAZHJzL2Rvd25yZXYu&#10;eG1sUEsBAhQAFAAAAAgAh07iQGMfVADCAQAAfQMAAA4AAAAAAAAAAQAgAAAAJwEAAGRycy9lMm9E&#10;b2MueG1sUEsFBgAAAAAGAAYAWQEAAFsFAAAAAA==&#10;">
              <v:fill on="f" focussize="0,0"/>
              <v:stroke on="f"/>
              <v:imagedata o:title=""/>
              <o:lock v:ext="edit" aspectratio="f"/>
              <v:textbox inset="0mm,0mm,0mm,0mm">
                <w:txbxContent>
                  <w:p w14:paraId="70947A4C">
                    <w:pPr>
                      <w:rPr>
                        <w:sz w:val="18"/>
                      </w:rPr>
                    </w:pPr>
                  </w:p>
                </w:txbxContent>
              </v:textbox>
            </v:shape>
          </w:pict>
        </mc:Fallback>
      </mc:AlternateContent>
    </w:r>
    <w:r>
      <w:rPr>
        <w:lang w:val="en-US" w:bidi="ar-SA"/>
      </w:rPr>
      <mc:AlternateContent>
        <mc:Choice Requires="wps">
          <w:drawing>
            <wp:anchor distT="0" distB="0" distL="114300" distR="114300" simplePos="0" relativeHeight="251666432" behindDoc="1" locked="0" layoutInCell="1" allowOverlap="1">
              <wp:simplePos x="0" y="0"/>
              <wp:positionH relativeFrom="page">
                <wp:posOffset>5910580</wp:posOffset>
              </wp:positionH>
              <wp:positionV relativeFrom="page">
                <wp:posOffset>544830</wp:posOffset>
              </wp:positionV>
              <wp:extent cx="482600" cy="139700"/>
              <wp:effectExtent l="0" t="0" r="0" b="0"/>
              <wp:wrapNone/>
              <wp:docPr id="46" name="文本框 39"/>
              <wp:cNvGraphicFramePr/>
              <a:graphic xmlns:a="http://schemas.openxmlformats.org/drawingml/2006/main">
                <a:graphicData uri="http://schemas.microsoft.com/office/word/2010/wordprocessingShape">
                  <wps:wsp>
                    <wps:cNvSpPr txBox="1"/>
                    <wps:spPr>
                      <a:xfrm>
                        <a:off x="0" y="0"/>
                        <a:ext cx="482600" cy="139700"/>
                      </a:xfrm>
                      <a:prstGeom prst="rect">
                        <a:avLst/>
                      </a:prstGeom>
                      <a:noFill/>
                      <a:ln>
                        <a:noFill/>
                      </a:ln>
                    </wps:spPr>
                    <wps:txbx>
                      <w:txbxContent>
                        <w:p w14:paraId="6F5CBE3D">
                          <w:pPr>
                            <w:spacing w:line="220" w:lineRule="exact"/>
                            <w:rPr>
                              <w:sz w:val="18"/>
                            </w:rPr>
                          </w:pPr>
                        </w:p>
                      </w:txbxContent>
                    </wps:txbx>
                    <wps:bodyPr lIns="0" tIns="0" rIns="0" bIns="0" upright="1"/>
                  </wps:wsp>
                </a:graphicData>
              </a:graphic>
            </wp:anchor>
          </w:drawing>
        </mc:Choice>
        <mc:Fallback>
          <w:pict>
            <v:shape id="文本框 39" o:spid="_x0000_s1026" o:spt="202" type="#_x0000_t202" style="position:absolute;left:0pt;margin-left:465.4pt;margin-top:42.9pt;height:11pt;width:38pt;mso-position-horizontal-relative:page;mso-position-vertical-relative:page;z-index:-251650048;mso-width-relative:page;mso-height-relative:page;" filled="f" stroked="f" coordsize="21600,21600" o:gfxdata="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OzCq+XXAAAACwEAAA8AAAAAAAAAAQAgAAAAIgAAAGRycy9kb3ducmV2LnhtbFBLAQIU&#10;ABQAAAAIAIdO4kDuIUEouwEAAHMDAAAOAAAAAAAAAAEAIAAAACYBAABkcnMvZTJvRG9jLnhtbFBL&#10;BQYAAAAABgAGAFkBAABTBQAAAAA=&#10;">
              <v:fill on="f" focussize="0,0"/>
              <v:stroke on="f"/>
              <v:imagedata o:title=""/>
              <o:lock v:ext="edit" aspectratio="f"/>
              <v:textbox inset="0mm,0mm,0mm,0mm">
                <w:txbxContent>
                  <w:p w14:paraId="6F5CBE3D">
                    <w:pPr>
                      <w:spacing w:line="220" w:lineRule="exact"/>
                      <w:rPr>
                        <w:sz w:val="18"/>
                      </w:rPr>
                    </w:pPr>
                  </w:p>
                </w:txbxContent>
              </v:textbox>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22807">
    <w:pPr>
      <w:spacing w:before="13" w:line="179" w:lineRule="auto"/>
      <w:ind w:left="27"/>
      <w:rPr>
        <w:rFonts w:ascii="仿宋" w:hAnsi="仿宋" w:eastAsia="仿宋" w:cs="仿宋"/>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9B7453"/>
    <w:multiLevelType w:val="singleLevel"/>
    <w:tmpl w:val="909B7453"/>
    <w:lvl w:ilvl="0" w:tentative="0">
      <w:start w:val="1"/>
      <w:numFmt w:val="decimal"/>
      <w:lvlText w:val="%1."/>
      <w:lvlJc w:val="left"/>
      <w:pPr>
        <w:tabs>
          <w:tab w:val="left" w:pos="312"/>
        </w:tabs>
      </w:pPr>
    </w:lvl>
  </w:abstractNum>
  <w:abstractNum w:abstractNumId="1">
    <w:nsid w:val="9C7FEC6C"/>
    <w:multiLevelType w:val="singleLevel"/>
    <w:tmpl w:val="9C7FEC6C"/>
    <w:lvl w:ilvl="0" w:tentative="0">
      <w:start w:val="4"/>
      <w:numFmt w:val="chineseCounting"/>
      <w:lvlText w:val="第%1部分"/>
      <w:lvlJc w:val="left"/>
      <w:rPr>
        <w:rFonts w:hint="eastAsia"/>
      </w:rPr>
    </w:lvl>
  </w:abstractNum>
  <w:abstractNum w:abstractNumId="2">
    <w:nsid w:val="B486FE6D"/>
    <w:multiLevelType w:val="singleLevel"/>
    <w:tmpl w:val="B486FE6D"/>
    <w:lvl w:ilvl="0" w:tentative="0">
      <w:start w:val="5"/>
      <w:numFmt w:val="chineseCounting"/>
      <w:suff w:val="nothing"/>
      <w:lvlText w:val="（%1）"/>
      <w:lvlJc w:val="left"/>
      <w:rPr>
        <w:rFonts w:hint="eastAsia"/>
      </w:rPr>
    </w:lvl>
  </w:abstractNum>
  <w:abstractNum w:abstractNumId="3">
    <w:nsid w:val="B868D0F2"/>
    <w:multiLevelType w:val="singleLevel"/>
    <w:tmpl w:val="B868D0F2"/>
    <w:lvl w:ilvl="0" w:tentative="0">
      <w:start w:val="1"/>
      <w:numFmt w:val="decimal"/>
      <w:lvlText w:val="%1."/>
      <w:lvlJc w:val="left"/>
      <w:pPr>
        <w:tabs>
          <w:tab w:val="left" w:pos="312"/>
        </w:tabs>
      </w:pPr>
    </w:lvl>
  </w:abstractNum>
  <w:abstractNum w:abstractNumId="4">
    <w:nsid w:val="C6E285E2"/>
    <w:multiLevelType w:val="singleLevel"/>
    <w:tmpl w:val="C6E285E2"/>
    <w:lvl w:ilvl="0" w:tentative="0">
      <w:start w:val="1"/>
      <w:numFmt w:val="decimal"/>
      <w:suff w:val="nothing"/>
      <w:lvlText w:val="（%1）"/>
      <w:lvlJc w:val="left"/>
    </w:lvl>
  </w:abstractNum>
  <w:abstractNum w:abstractNumId="5">
    <w:nsid w:val="C995162C"/>
    <w:multiLevelType w:val="singleLevel"/>
    <w:tmpl w:val="C995162C"/>
    <w:lvl w:ilvl="0" w:tentative="0">
      <w:start w:val="1"/>
      <w:numFmt w:val="decimal"/>
      <w:lvlText w:val="%1."/>
      <w:lvlJc w:val="left"/>
      <w:pPr>
        <w:tabs>
          <w:tab w:val="left" w:pos="312"/>
        </w:tabs>
      </w:pPr>
    </w:lvl>
  </w:abstractNum>
  <w:abstractNum w:abstractNumId="6">
    <w:nsid w:val="DA1092C4"/>
    <w:multiLevelType w:val="singleLevel"/>
    <w:tmpl w:val="DA1092C4"/>
    <w:lvl w:ilvl="0" w:tentative="0">
      <w:start w:val="1"/>
      <w:numFmt w:val="decimal"/>
      <w:suff w:val="nothing"/>
      <w:lvlText w:val="（%1）"/>
      <w:lvlJc w:val="left"/>
    </w:lvl>
  </w:abstractNum>
  <w:abstractNum w:abstractNumId="7">
    <w:nsid w:val="E0AD904D"/>
    <w:multiLevelType w:val="singleLevel"/>
    <w:tmpl w:val="E0AD904D"/>
    <w:lvl w:ilvl="0" w:tentative="0">
      <w:start w:val="1"/>
      <w:numFmt w:val="decimal"/>
      <w:lvlText w:val="%1."/>
      <w:lvlJc w:val="left"/>
      <w:pPr>
        <w:tabs>
          <w:tab w:val="left" w:pos="312"/>
        </w:tabs>
      </w:pPr>
    </w:lvl>
  </w:abstractNum>
  <w:abstractNum w:abstractNumId="8">
    <w:nsid w:val="E4BF864B"/>
    <w:multiLevelType w:val="singleLevel"/>
    <w:tmpl w:val="E4BF864B"/>
    <w:lvl w:ilvl="0" w:tentative="0">
      <w:start w:val="1"/>
      <w:numFmt w:val="decimal"/>
      <w:lvlText w:val="%1."/>
      <w:lvlJc w:val="left"/>
      <w:pPr>
        <w:tabs>
          <w:tab w:val="left" w:pos="312"/>
        </w:tabs>
      </w:pPr>
    </w:lvl>
  </w:abstractNum>
  <w:abstractNum w:abstractNumId="9">
    <w:nsid w:val="ECC6847A"/>
    <w:multiLevelType w:val="singleLevel"/>
    <w:tmpl w:val="ECC6847A"/>
    <w:lvl w:ilvl="0" w:tentative="0">
      <w:start w:val="5"/>
      <w:numFmt w:val="chineseCounting"/>
      <w:suff w:val="nothing"/>
      <w:lvlText w:val="%1、"/>
      <w:lvlJc w:val="left"/>
      <w:rPr>
        <w:rFonts w:hint="eastAsia"/>
      </w:rPr>
    </w:lvl>
  </w:abstractNum>
  <w:abstractNum w:abstractNumId="10">
    <w:nsid w:val="F5AFE466"/>
    <w:multiLevelType w:val="singleLevel"/>
    <w:tmpl w:val="F5AFE466"/>
    <w:lvl w:ilvl="0" w:tentative="0">
      <w:start w:val="1"/>
      <w:numFmt w:val="decimal"/>
      <w:lvlText w:val="%1."/>
      <w:lvlJc w:val="left"/>
      <w:pPr>
        <w:tabs>
          <w:tab w:val="left" w:pos="312"/>
        </w:tabs>
      </w:pPr>
    </w:lvl>
  </w:abstractNum>
  <w:abstractNum w:abstractNumId="11">
    <w:nsid w:val="0291FA5C"/>
    <w:multiLevelType w:val="singleLevel"/>
    <w:tmpl w:val="0291FA5C"/>
    <w:lvl w:ilvl="0" w:tentative="0">
      <w:start w:val="1"/>
      <w:numFmt w:val="decimal"/>
      <w:suff w:val="nothing"/>
      <w:lvlText w:val="（%1）"/>
      <w:lvlJc w:val="left"/>
    </w:lvl>
  </w:abstractNum>
  <w:abstractNum w:abstractNumId="12">
    <w:nsid w:val="04DDF3D7"/>
    <w:multiLevelType w:val="singleLevel"/>
    <w:tmpl w:val="04DDF3D7"/>
    <w:lvl w:ilvl="0" w:tentative="0">
      <w:start w:val="1"/>
      <w:numFmt w:val="chineseCounting"/>
      <w:suff w:val="nothing"/>
      <w:lvlText w:val="%1、"/>
      <w:lvlJc w:val="left"/>
      <w:rPr>
        <w:rFonts w:hint="eastAsia"/>
      </w:rPr>
    </w:lvl>
  </w:abstractNum>
  <w:abstractNum w:abstractNumId="13">
    <w:nsid w:val="0754A55E"/>
    <w:multiLevelType w:val="singleLevel"/>
    <w:tmpl w:val="0754A55E"/>
    <w:lvl w:ilvl="0" w:tentative="0">
      <w:start w:val="1"/>
      <w:numFmt w:val="decimal"/>
      <w:lvlText w:val="%1."/>
      <w:lvlJc w:val="left"/>
      <w:pPr>
        <w:tabs>
          <w:tab w:val="left" w:pos="312"/>
        </w:tabs>
      </w:pPr>
    </w:lvl>
  </w:abstractNum>
  <w:abstractNum w:abstractNumId="14">
    <w:nsid w:val="0B992FF7"/>
    <w:multiLevelType w:val="singleLevel"/>
    <w:tmpl w:val="0B992FF7"/>
    <w:lvl w:ilvl="0" w:tentative="0">
      <w:start w:val="1"/>
      <w:numFmt w:val="decimal"/>
      <w:suff w:val="nothing"/>
      <w:lvlText w:val="（%1）"/>
      <w:lvlJc w:val="left"/>
    </w:lvl>
  </w:abstractNum>
  <w:abstractNum w:abstractNumId="15">
    <w:nsid w:val="0FCD68FB"/>
    <w:multiLevelType w:val="singleLevel"/>
    <w:tmpl w:val="0FCD68FB"/>
    <w:lvl w:ilvl="0" w:tentative="0">
      <w:start w:val="1"/>
      <w:numFmt w:val="decimal"/>
      <w:lvlText w:val="%1."/>
      <w:lvlJc w:val="left"/>
      <w:pPr>
        <w:tabs>
          <w:tab w:val="left" w:pos="312"/>
        </w:tabs>
      </w:pPr>
    </w:lvl>
  </w:abstractNum>
  <w:abstractNum w:abstractNumId="16">
    <w:nsid w:val="1214F22A"/>
    <w:multiLevelType w:val="singleLevel"/>
    <w:tmpl w:val="1214F22A"/>
    <w:lvl w:ilvl="0" w:tentative="0">
      <w:start w:val="1"/>
      <w:numFmt w:val="decimal"/>
      <w:lvlText w:val="%1."/>
      <w:lvlJc w:val="left"/>
      <w:pPr>
        <w:tabs>
          <w:tab w:val="left" w:pos="312"/>
        </w:tabs>
      </w:pPr>
    </w:lvl>
  </w:abstractNum>
  <w:abstractNum w:abstractNumId="17">
    <w:nsid w:val="1A10FFA9"/>
    <w:multiLevelType w:val="singleLevel"/>
    <w:tmpl w:val="1A10FFA9"/>
    <w:lvl w:ilvl="0" w:tentative="0">
      <w:start w:val="1"/>
      <w:numFmt w:val="decimal"/>
      <w:lvlText w:val="%1."/>
      <w:lvlJc w:val="left"/>
      <w:pPr>
        <w:tabs>
          <w:tab w:val="left" w:pos="312"/>
        </w:tabs>
      </w:pPr>
    </w:lvl>
  </w:abstractNum>
  <w:abstractNum w:abstractNumId="18">
    <w:nsid w:val="47610549"/>
    <w:multiLevelType w:val="singleLevel"/>
    <w:tmpl w:val="47610549"/>
    <w:lvl w:ilvl="0" w:tentative="0">
      <w:start w:val="1"/>
      <w:numFmt w:val="decimal"/>
      <w:suff w:val="nothing"/>
      <w:lvlText w:val="（%1）"/>
      <w:lvlJc w:val="left"/>
    </w:lvl>
  </w:abstractNum>
  <w:abstractNum w:abstractNumId="19">
    <w:nsid w:val="4CE891E5"/>
    <w:multiLevelType w:val="singleLevel"/>
    <w:tmpl w:val="4CE891E5"/>
    <w:lvl w:ilvl="0" w:tentative="0">
      <w:start w:val="1"/>
      <w:numFmt w:val="decimal"/>
      <w:suff w:val="nothing"/>
      <w:lvlText w:val="（%1）"/>
      <w:lvlJc w:val="left"/>
    </w:lvl>
  </w:abstractNum>
  <w:abstractNum w:abstractNumId="20">
    <w:nsid w:val="53C2D8A2"/>
    <w:multiLevelType w:val="singleLevel"/>
    <w:tmpl w:val="53C2D8A2"/>
    <w:lvl w:ilvl="0" w:tentative="0">
      <w:start w:val="1"/>
      <w:numFmt w:val="decimal"/>
      <w:lvlText w:val="%1."/>
      <w:lvlJc w:val="left"/>
      <w:pPr>
        <w:tabs>
          <w:tab w:val="left" w:pos="312"/>
        </w:tabs>
      </w:pPr>
    </w:lvl>
  </w:abstractNum>
  <w:abstractNum w:abstractNumId="21">
    <w:nsid w:val="5EDB3828"/>
    <w:multiLevelType w:val="singleLevel"/>
    <w:tmpl w:val="5EDB3828"/>
    <w:lvl w:ilvl="0" w:tentative="0">
      <w:start w:val="1"/>
      <w:numFmt w:val="decimal"/>
      <w:lvlText w:val="%1."/>
      <w:lvlJc w:val="left"/>
      <w:pPr>
        <w:tabs>
          <w:tab w:val="left" w:pos="312"/>
        </w:tabs>
      </w:pPr>
    </w:lvl>
  </w:abstractNum>
  <w:abstractNum w:abstractNumId="22">
    <w:nsid w:val="6C402E4E"/>
    <w:multiLevelType w:val="singleLevel"/>
    <w:tmpl w:val="6C402E4E"/>
    <w:lvl w:ilvl="0" w:tentative="0">
      <w:start w:val="1"/>
      <w:numFmt w:val="decimal"/>
      <w:lvlText w:val="%1."/>
      <w:lvlJc w:val="left"/>
      <w:pPr>
        <w:tabs>
          <w:tab w:val="left" w:pos="312"/>
        </w:tabs>
      </w:pPr>
    </w:lvl>
  </w:abstractNum>
  <w:abstractNum w:abstractNumId="23">
    <w:nsid w:val="737B95F4"/>
    <w:multiLevelType w:val="singleLevel"/>
    <w:tmpl w:val="737B95F4"/>
    <w:lvl w:ilvl="0" w:tentative="0">
      <w:start w:val="3"/>
      <w:numFmt w:val="chineseCounting"/>
      <w:suff w:val="nothing"/>
      <w:lvlText w:val="%1、"/>
      <w:lvlJc w:val="left"/>
      <w:rPr>
        <w:rFonts w:hint="eastAsia"/>
      </w:rPr>
    </w:lvl>
  </w:abstractNum>
  <w:abstractNum w:abstractNumId="24">
    <w:nsid w:val="7DC031BB"/>
    <w:multiLevelType w:val="singleLevel"/>
    <w:tmpl w:val="7DC031BB"/>
    <w:lvl w:ilvl="0" w:tentative="0">
      <w:start w:val="1"/>
      <w:numFmt w:val="chineseCounting"/>
      <w:suff w:val="nothing"/>
      <w:lvlText w:val="%1、"/>
      <w:lvlJc w:val="left"/>
      <w:rPr>
        <w:rFonts w:hint="eastAsia"/>
      </w:rPr>
    </w:lvl>
  </w:abstractNum>
  <w:num w:numId="1">
    <w:abstractNumId w:val="11"/>
  </w:num>
  <w:num w:numId="2">
    <w:abstractNumId w:val="6"/>
  </w:num>
  <w:num w:numId="3">
    <w:abstractNumId w:val="18"/>
  </w:num>
  <w:num w:numId="4">
    <w:abstractNumId w:val="4"/>
  </w:num>
  <w:num w:numId="5">
    <w:abstractNumId w:val="14"/>
  </w:num>
  <w:num w:numId="6">
    <w:abstractNumId w:val="19"/>
  </w:num>
  <w:num w:numId="7">
    <w:abstractNumId w:val="9"/>
  </w:num>
  <w:num w:numId="8">
    <w:abstractNumId w:val="8"/>
  </w:num>
  <w:num w:numId="9">
    <w:abstractNumId w:val="20"/>
  </w:num>
  <w:num w:numId="10">
    <w:abstractNumId w:val="0"/>
  </w:num>
  <w:num w:numId="11">
    <w:abstractNumId w:val="15"/>
  </w:num>
  <w:num w:numId="12">
    <w:abstractNumId w:val="13"/>
  </w:num>
  <w:num w:numId="13">
    <w:abstractNumId w:val="21"/>
  </w:num>
  <w:num w:numId="14">
    <w:abstractNumId w:val="22"/>
  </w:num>
  <w:num w:numId="15">
    <w:abstractNumId w:val="10"/>
  </w:num>
  <w:num w:numId="16">
    <w:abstractNumId w:val="5"/>
  </w:num>
  <w:num w:numId="17">
    <w:abstractNumId w:val="7"/>
  </w:num>
  <w:num w:numId="18">
    <w:abstractNumId w:val="3"/>
  </w:num>
  <w:num w:numId="19">
    <w:abstractNumId w:val="16"/>
  </w:num>
  <w:num w:numId="20">
    <w:abstractNumId w:val="23"/>
  </w:num>
  <w:num w:numId="21">
    <w:abstractNumId w:val="17"/>
  </w:num>
  <w:num w:numId="22">
    <w:abstractNumId w:val="12"/>
  </w:num>
  <w:num w:numId="23">
    <w:abstractNumId w:val="24"/>
  </w:num>
  <w:num w:numId="24">
    <w:abstractNumId w:val="2"/>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TrueTypeFonts/>
  <w:saveSubsetFonts/>
  <w:bordersDoNotSurroundHeader w:val="0"/>
  <w:bordersDoNotSurroundFooter w:val="0"/>
  <w:hideSpellingErrors/>
  <w:documentProtection w:enforcement="0"/>
  <w:defaultTabStop w:val="720"/>
  <w:drawingGridHorizontalSpacing w:val="220"/>
  <w:drawingGridVerticalSpacing w:val="1"/>
  <w:displayHorizontalDrawingGridEvery w:val="1"/>
  <w:displayVerticalDrawingGridEvery w:val="1"/>
  <w:noPunctuationKerning w:val="1"/>
  <w:characterSpacingControl w:val="doNotCompress"/>
  <w:hdrShapeDefaults>
    <o:shapelayout v:ext="edit">
      <o:idmap v:ext="edit" data="2"/>
    </o:shapelayout>
  </w:hdrShapeDefaults>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IxZDk1OGU5ZWM3MTI5NGJjMTg1OWFiNDk1NGY5NzEifQ=="/>
  </w:docVars>
  <w:rsids>
    <w:rsidRoot w:val="00302047"/>
    <w:rsid w:val="0000075C"/>
    <w:rsid w:val="00027D02"/>
    <w:rsid w:val="000A53CD"/>
    <w:rsid w:val="000B0E91"/>
    <w:rsid w:val="00110593"/>
    <w:rsid w:val="00131335"/>
    <w:rsid w:val="00142247"/>
    <w:rsid w:val="00151B4E"/>
    <w:rsid w:val="002E2CA9"/>
    <w:rsid w:val="002E7F71"/>
    <w:rsid w:val="00302047"/>
    <w:rsid w:val="00327CB1"/>
    <w:rsid w:val="003A6B66"/>
    <w:rsid w:val="003B4057"/>
    <w:rsid w:val="003D447F"/>
    <w:rsid w:val="0044146C"/>
    <w:rsid w:val="004672B9"/>
    <w:rsid w:val="00492C34"/>
    <w:rsid w:val="00597B39"/>
    <w:rsid w:val="005D1948"/>
    <w:rsid w:val="00670E62"/>
    <w:rsid w:val="006940E8"/>
    <w:rsid w:val="007A2EDF"/>
    <w:rsid w:val="007C6C0C"/>
    <w:rsid w:val="008039B0"/>
    <w:rsid w:val="00817766"/>
    <w:rsid w:val="00895211"/>
    <w:rsid w:val="00920750"/>
    <w:rsid w:val="0092676E"/>
    <w:rsid w:val="00A40E51"/>
    <w:rsid w:val="00A43006"/>
    <w:rsid w:val="00A83AD0"/>
    <w:rsid w:val="00AB47D7"/>
    <w:rsid w:val="00AE14F3"/>
    <w:rsid w:val="00AF3F3B"/>
    <w:rsid w:val="00B60D72"/>
    <w:rsid w:val="00B677F4"/>
    <w:rsid w:val="00B71C97"/>
    <w:rsid w:val="00BA32FA"/>
    <w:rsid w:val="00BD620C"/>
    <w:rsid w:val="00CC39AF"/>
    <w:rsid w:val="00D526CC"/>
    <w:rsid w:val="00DB5DA4"/>
    <w:rsid w:val="00EF764C"/>
    <w:rsid w:val="00F46B0C"/>
    <w:rsid w:val="00F84FFD"/>
    <w:rsid w:val="0100390C"/>
    <w:rsid w:val="01050F22"/>
    <w:rsid w:val="010A08C5"/>
    <w:rsid w:val="010C525A"/>
    <w:rsid w:val="010D7BA5"/>
    <w:rsid w:val="0111506B"/>
    <w:rsid w:val="01130434"/>
    <w:rsid w:val="011C3381"/>
    <w:rsid w:val="01211AD4"/>
    <w:rsid w:val="015B6D94"/>
    <w:rsid w:val="01660F88"/>
    <w:rsid w:val="0178495D"/>
    <w:rsid w:val="0186212B"/>
    <w:rsid w:val="01A21FEF"/>
    <w:rsid w:val="01C04E49"/>
    <w:rsid w:val="01D94A0C"/>
    <w:rsid w:val="02076F1C"/>
    <w:rsid w:val="020A2D13"/>
    <w:rsid w:val="021948B2"/>
    <w:rsid w:val="021A6D68"/>
    <w:rsid w:val="023F0541"/>
    <w:rsid w:val="02557C87"/>
    <w:rsid w:val="025617BA"/>
    <w:rsid w:val="027D2D3A"/>
    <w:rsid w:val="028735C4"/>
    <w:rsid w:val="02A225F6"/>
    <w:rsid w:val="02BA21E0"/>
    <w:rsid w:val="02DB6C21"/>
    <w:rsid w:val="03574A9D"/>
    <w:rsid w:val="03690A50"/>
    <w:rsid w:val="036F2FCB"/>
    <w:rsid w:val="038A3960"/>
    <w:rsid w:val="038D3451"/>
    <w:rsid w:val="038F054D"/>
    <w:rsid w:val="03904FD5"/>
    <w:rsid w:val="03933EAF"/>
    <w:rsid w:val="03A23D55"/>
    <w:rsid w:val="03A34A22"/>
    <w:rsid w:val="03B12EF4"/>
    <w:rsid w:val="03BB0808"/>
    <w:rsid w:val="03DE0FD8"/>
    <w:rsid w:val="03E312C3"/>
    <w:rsid w:val="03E53491"/>
    <w:rsid w:val="03E56E68"/>
    <w:rsid w:val="03F37758"/>
    <w:rsid w:val="03F51863"/>
    <w:rsid w:val="040354C1"/>
    <w:rsid w:val="0433190D"/>
    <w:rsid w:val="04390EE3"/>
    <w:rsid w:val="044E0E32"/>
    <w:rsid w:val="04587B9F"/>
    <w:rsid w:val="045B05FD"/>
    <w:rsid w:val="045C4D47"/>
    <w:rsid w:val="04C67B25"/>
    <w:rsid w:val="04DC4690"/>
    <w:rsid w:val="04EB6681"/>
    <w:rsid w:val="05015EA4"/>
    <w:rsid w:val="050339CA"/>
    <w:rsid w:val="05087233"/>
    <w:rsid w:val="051B52B2"/>
    <w:rsid w:val="05200A68"/>
    <w:rsid w:val="05246A17"/>
    <w:rsid w:val="05393890"/>
    <w:rsid w:val="053F69CD"/>
    <w:rsid w:val="05427170"/>
    <w:rsid w:val="0543026B"/>
    <w:rsid w:val="054F7EC0"/>
    <w:rsid w:val="056621AB"/>
    <w:rsid w:val="05681A7F"/>
    <w:rsid w:val="05793C8D"/>
    <w:rsid w:val="057B7B58"/>
    <w:rsid w:val="05890712"/>
    <w:rsid w:val="05CA0C00"/>
    <w:rsid w:val="05E479D8"/>
    <w:rsid w:val="05ED2A31"/>
    <w:rsid w:val="05EF379D"/>
    <w:rsid w:val="05F20121"/>
    <w:rsid w:val="060774EA"/>
    <w:rsid w:val="06333C97"/>
    <w:rsid w:val="06485ED3"/>
    <w:rsid w:val="065D1364"/>
    <w:rsid w:val="06621133"/>
    <w:rsid w:val="06734B80"/>
    <w:rsid w:val="06801F65"/>
    <w:rsid w:val="068028AC"/>
    <w:rsid w:val="069468A4"/>
    <w:rsid w:val="069A65B0"/>
    <w:rsid w:val="069C3D91"/>
    <w:rsid w:val="06BE51E4"/>
    <w:rsid w:val="06CC603E"/>
    <w:rsid w:val="06D21DBA"/>
    <w:rsid w:val="06D5091C"/>
    <w:rsid w:val="06D875D4"/>
    <w:rsid w:val="06F91958"/>
    <w:rsid w:val="071A50D7"/>
    <w:rsid w:val="071B6D6B"/>
    <w:rsid w:val="071F6AB6"/>
    <w:rsid w:val="07325C9A"/>
    <w:rsid w:val="073D6510"/>
    <w:rsid w:val="074E3773"/>
    <w:rsid w:val="07517A97"/>
    <w:rsid w:val="075F780C"/>
    <w:rsid w:val="07723F2E"/>
    <w:rsid w:val="07784552"/>
    <w:rsid w:val="079E29B3"/>
    <w:rsid w:val="07AC2024"/>
    <w:rsid w:val="07B23F36"/>
    <w:rsid w:val="07CA4BAC"/>
    <w:rsid w:val="07CA6A21"/>
    <w:rsid w:val="07E04497"/>
    <w:rsid w:val="07E757DD"/>
    <w:rsid w:val="07F339F1"/>
    <w:rsid w:val="08044B22"/>
    <w:rsid w:val="0808579C"/>
    <w:rsid w:val="082A6FA6"/>
    <w:rsid w:val="083B2549"/>
    <w:rsid w:val="083B54B3"/>
    <w:rsid w:val="084717DD"/>
    <w:rsid w:val="086764AE"/>
    <w:rsid w:val="0874698D"/>
    <w:rsid w:val="087921F6"/>
    <w:rsid w:val="0881017B"/>
    <w:rsid w:val="089561EE"/>
    <w:rsid w:val="08BC63BA"/>
    <w:rsid w:val="08C019D0"/>
    <w:rsid w:val="08E2106C"/>
    <w:rsid w:val="09265E14"/>
    <w:rsid w:val="093F4603"/>
    <w:rsid w:val="09565C33"/>
    <w:rsid w:val="09711581"/>
    <w:rsid w:val="09730C3B"/>
    <w:rsid w:val="09736C45"/>
    <w:rsid w:val="09911343"/>
    <w:rsid w:val="0994437F"/>
    <w:rsid w:val="09B259BF"/>
    <w:rsid w:val="09B86762"/>
    <w:rsid w:val="09BA3CA5"/>
    <w:rsid w:val="0A0106F5"/>
    <w:rsid w:val="0A357BFF"/>
    <w:rsid w:val="0A4F320E"/>
    <w:rsid w:val="0A522BE9"/>
    <w:rsid w:val="0A546A76"/>
    <w:rsid w:val="0A697445"/>
    <w:rsid w:val="0A8F3F52"/>
    <w:rsid w:val="0AC47F30"/>
    <w:rsid w:val="0ADA3568"/>
    <w:rsid w:val="0AF5228F"/>
    <w:rsid w:val="0AF85ED6"/>
    <w:rsid w:val="0AF86C03"/>
    <w:rsid w:val="0AFA761E"/>
    <w:rsid w:val="0B077F8D"/>
    <w:rsid w:val="0B0B160A"/>
    <w:rsid w:val="0B0B6648"/>
    <w:rsid w:val="0B0E38F7"/>
    <w:rsid w:val="0B2B5A29"/>
    <w:rsid w:val="0B325009"/>
    <w:rsid w:val="0B4233D9"/>
    <w:rsid w:val="0B4A0248"/>
    <w:rsid w:val="0B5E2F85"/>
    <w:rsid w:val="0B6B4077"/>
    <w:rsid w:val="0B701D7B"/>
    <w:rsid w:val="0B8D4752"/>
    <w:rsid w:val="0B983AD3"/>
    <w:rsid w:val="0B9F6417"/>
    <w:rsid w:val="0BAA77D3"/>
    <w:rsid w:val="0BAB6B6A"/>
    <w:rsid w:val="0BAE37D8"/>
    <w:rsid w:val="0BB64F58"/>
    <w:rsid w:val="0BBE124B"/>
    <w:rsid w:val="0BC974A1"/>
    <w:rsid w:val="0BD7170D"/>
    <w:rsid w:val="0BE927A1"/>
    <w:rsid w:val="0BEF6A57"/>
    <w:rsid w:val="0C0369A6"/>
    <w:rsid w:val="0C2506CA"/>
    <w:rsid w:val="0C27489D"/>
    <w:rsid w:val="0C2D57D1"/>
    <w:rsid w:val="0C2F4ADD"/>
    <w:rsid w:val="0C405504"/>
    <w:rsid w:val="0C656D19"/>
    <w:rsid w:val="0C703C39"/>
    <w:rsid w:val="0C721436"/>
    <w:rsid w:val="0C811679"/>
    <w:rsid w:val="0C8A677F"/>
    <w:rsid w:val="0C90429E"/>
    <w:rsid w:val="0C9E6979"/>
    <w:rsid w:val="0CA830A9"/>
    <w:rsid w:val="0CCA3020"/>
    <w:rsid w:val="0CDE220B"/>
    <w:rsid w:val="0CE357A1"/>
    <w:rsid w:val="0D1B2698"/>
    <w:rsid w:val="0D337136"/>
    <w:rsid w:val="0D4B23B2"/>
    <w:rsid w:val="0D570F1D"/>
    <w:rsid w:val="0D7A28E3"/>
    <w:rsid w:val="0D9773A6"/>
    <w:rsid w:val="0DD57ECE"/>
    <w:rsid w:val="0E0959C4"/>
    <w:rsid w:val="0E0D7668"/>
    <w:rsid w:val="0E10782F"/>
    <w:rsid w:val="0E2A6A57"/>
    <w:rsid w:val="0E2D7D0A"/>
    <w:rsid w:val="0E4139AB"/>
    <w:rsid w:val="0E59465B"/>
    <w:rsid w:val="0E5E6115"/>
    <w:rsid w:val="0E8A6F0A"/>
    <w:rsid w:val="0EA24254"/>
    <w:rsid w:val="0EB83A78"/>
    <w:rsid w:val="0EC8358F"/>
    <w:rsid w:val="0ED63EFE"/>
    <w:rsid w:val="0ED90C88"/>
    <w:rsid w:val="0EE505E5"/>
    <w:rsid w:val="0EF600FC"/>
    <w:rsid w:val="0EF95E3E"/>
    <w:rsid w:val="0F013582"/>
    <w:rsid w:val="0F064478"/>
    <w:rsid w:val="0F2F76D2"/>
    <w:rsid w:val="0F3B1FB3"/>
    <w:rsid w:val="0F3C4630"/>
    <w:rsid w:val="0F4C5F6E"/>
    <w:rsid w:val="0F5372FC"/>
    <w:rsid w:val="0F786D63"/>
    <w:rsid w:val="0F787C1A"/>
    <w:rsid w:val="0F84395A"/>
    <w:rsid w:val="0F903F10"/>
    <w:rsid w:val="0F975694"/>
    <w:rsid w:val="0FB56209"/>
    <w:rsid w:val="0FBD0C1A"/>
    <w:rsid w:val="0FBF74CB"/>
    <w:rsid w:val="0FCC12A0"/>
    <w:rsid w:val="0FDC101C"/>
    <w:rsid w:val="0FE8213B"/>
    <w:rsid w:val="0FE91A0F"/>
    <w:rsid w:val="0FF57A69"/>
    <w:rsid w:val="10030D1D"/>
    <w:rsid w:val="100761DF"/>
    <w:rsid w:val="10164738"/>
    <w:rsid w:val="10190546"/>
    <w:rsid w:val="101F18D4"/>
    <w:rsid w:val="1025513D"/>
    <w:rsid w:val="102B2027"/>
    <w:rsid w:val="102B64CB"/>
    <w:rsid w:val="103E61FE"/>
    <w:rsid w:val="104329D5"/>
    <w:rsid w:val="10435705"/>
    <w:rsid w:val="105C0433"/>
    <w:rsid w:val="1068327B"/>
    <w:rsid w:val="107A13EE"/>
    <w:rsid w:val="107C6A49"/>
    <w:rsid w:val="10953823"/>
    <w:rsid w:val="109965D0"/>
    <w:rsid w:val="10A12CF7"/>
    <w:rsid w:val="10AD0C8E"/>
    <w:rsid w:val="10C83D1A"/>
    <w:rsid w:val="10D56199"/>
    <w:rsid w:val="10DF50E6"/>
    <w:rsid w:val="10F1736F"/>
    <w:rsid w:val="110B3CFD"/>
    <w:rsid w:val="111016B8"/>
    <w:rsid w:val="11437F75"/>
    <w:rsid w:val="11553CC7"/>
    <w:rsid w:val="11567578"/>
    <w:rsid w:val="1158509E"/>
    <w:rsid w:val="11663029"/>
    <w:rsid w:val="118C2F9A"/>
    <w:rsid w:val="11A007F3"/>
    <w:rsid w:val="11A16A45"/>
    <w:rsid w:val="11D54941"/>
    <w:rsid w:val="11EA14D5"/>
    <w:rsid w:val="120E7D43"/>
    <w:rsid w:val="1211524D"/>
    <w:rsid w:val="122338FE"/>
    <w:rsid w:val="123122E5"/>
    <w:rsid w:val="123B6E3D"/>
    <w:rsid w:val="124E45D6"/>
    <w:rsid w:val="126857B5"/>
    <w:rsid w:val="1272218F"/>
    <w:rsid w:val="127E0B34"/>
    <w:rsid w:val="12850115"/>
    <w:rsid w:val="12AD4816"/>
    <w:rsid w:val="12B87ABD"/>
    <w:rsid w:val="12C24A5D"/>
    <w:rsid w:val="12D7004A"/>
    <w:rsid w:val="12EA2516"/>
    <w:rsid w:val="12EC7208"/>
    <w:rsid w:val="12F232D0"/>
    <w:rsid w:val="12F56BF0"/>
    <w:rsid w:val="12F72695"/>
    <w:rsid w:val="13160D6D"/>
    <w:rsid w:val="13180F89"/>
    <w:rsid w:val="131A0ADC"/>
    <w:rsid w:val="131B6383"/>
    <w:rsid w:val="131D659F"/>
    <w:rsid w:val="133F3E4B"/>
    <w:rsid w:val="13527E94"/>
    <w:rsid w:val="13566593"/>
    <w:rsid w:val="136C6BDF"/>
    <w:rsid w:val="13833F28"/>
    <w:rsid w:val="138D16CA"/>
    <w:rsid w:val="13A40B58"/>
    <w:rsid w:val="13BA364B"/>
    <w:rsid w:val="13C66E0B"/>
    <w:rsid w:val="13CE7899"/>
    <w:rsid w:val="13D824C6"/>
    <w:rsid w:val="14027543"/>
    <w:rsid w:val="14052A0B"/>
    <w:rsid w:val="142474B9"/>
    <w:rsid w:val="142E0516"/>
    <w:rsid w:val="14693CF2"/>
    <w:rsid w:val="146A4AEC"/>
    <w:rsid w:val="14704925"/>
    <w:rsid w:val="14753119"/>
    <w:rsid w:val="147A0B6B"/>
    <w:rsid w:val="148000B2"/>
    <w:rsid w:val="148A5903"/>
    <w:rsid w:val="14915D48"/>
    <w:rsid w:val="14AD5701"/>
    <w:rsid w:val="14AF6907"/>
    <w:rsid w:val="14B00D4D"/>
    <w:rsid w:val="14C35CD5"/>
    <w:rsid w:val="14EF3F6B"/>
    <w:rsid w:val="14F22EE3"/>
    <w:rsid w:val="14F41582"/>
    <w:rsid w:val="15347BD0"/>
    <w:rsid w:val="156A675F"/>
    <w:rsid w:val="15AD2F88"/>
    <w:rsid w:val="15DF5D8E"/>
    <w:rsid w:val="15E163F4"/>
    <w:rsid w:val="15E81324"/>
    <w:rsid w:val="15F726A2"/>
    <w:rsid w:val="164B2AA4"/>
    <w:rsid w:val="164E6563"/>
    <w:rsid w:val="16534086"/>
    <w:rsid w:val="16726E74"/>
    <w:rsid w:val="168E3310"/>
    <w:rsid w:val="169F6CF2"/>
    <w:rsid w:val="16A01BC7"/>
    <w:rsid w:val="16A62408"/>
    <w:rsid w:val="16BE525F"/>
    <w:rsid w:val="16C6575D"/>
    <w:rsid w:val="16FB58D6"/>
    <w:rsid w:val="173B6FF4"/>
    <w:rsid w:val="175F4579"/>
    <w:rsid w:val="17667DE9"/>
    <w:rsid w:val="17692DE2"/>
    <w:rsid w:val="17824C23"/>
    <w:rsid w:val="178766DD"/>
    <w:rsid w:val="17971CC1"/>
    <w:rsid w:val="179C5B78"/>
    <w:rsid w:val="17A259AB"/>
    <w:rsid w:val="17A30945"/>
    <w:rsid w:val="17CF598E"/>
    <w:rsid w:val="17E458DD"/>
    <w:rsid w:val="17F02BDE"/>
    <w:rsid w:val="18043D9B"/>
    <w:rsid w:val="180F21C0"/>
    <w:rsid w:val="181D7DC8"/>
    <w:rsid w:val="18281E61"/>
    <w:rsid w:val="185C5241"/>
    <w:rsid w:val="18610E55"/>
    <w:rsid w:val="186557AD"/>
    <w:rsid w:val="18694FC7"/>
    <w:rsid w:val="187C5B16"/>
    <w:rsid w:val="187F39CE"/>
    <w:rsid w:val="188E75F7"/>
    <w:rsid w:val="188F1F1C"/>
    <w:rsid w:val="1890511D"/>
    <w:rsid w:val="1893521B"/>
    <w:rsid w:val="18B056A5"/>
    <w:rsid w:val="18BA7652"/>
    <w:rsid w:val="18DA6CE0"/>
    <w:rsid w:val="190855FC"/>
    <w:rsid w:val="19094ED0"/>
    <w:rsid w:val="193C20F4"/>
    <w:rsid w:val="1941466A"/>
    <w:rsid w:val="195233DE"/>
    <w:rsid w:val="19704F4F"/>
    <w:rsid w:val="19746E49"/>
    <w:rsid w:val="19751AC7"/>
    <w:rsid w:val="198E05B6"/>
    <w:rsid w:val="19940C3D"/>
    <w:rsid w:val="19AE26F1"/>
    <w:rsid w:val="19B117EF"/>
    <w:rsid w:val="19C01025"/>
    <w:rsid w:val="19C86A61"/>
    <w:rsid w:val="19CC2678"/>
    <w:rsid w:val="19D438B0"/>
    <w:rsid w:val="19DB4ABE"/>
    <w:rsid w:val="19E51499"/>
    <w:rsid w:val="19FB25CA"/>
    <w:rsid w:val="1A0427EC"/>
    <w:rsid w:val="1A08600D"/>
    <w:rsid w:val="1A0933D9"/>
    <w:rsid w:val="1A0F2D6F"/>
    <w:rsid w:val="1A2A3350"/>
    <w:rsid w:val="1A385A6D"/>
    <w:rsid w:val="1A4A57A0"/>
    <w:rsid w:val="1A4B2280"/>
    <w:rsid w:val="1A6415CB"/>
    <w:rsid w:val="1A653B41"/>
    <w:rsid w:val="1A9A6727"/>
    <w:rsid w:val="1AA94BBC"/>
    <w:rsid w:val="1AB85319"/>
    <w:rsid w:val="1AD556B8"/>
    <w:rsid w:val="1AE259D8"/>
    <w:rsid w:val="1AE3068F"/>
    <w:rsid w:val="1AF57CE1"/>
    <w:rsid w:val="1B024833"/>
    <w:rsid w:val="1B1569B1"/>
    <w:rsid w:val="1B2026F6"/>
    <w:rsid w:val="1B247AD2"/>
    <w:rsid w:val="1B2C7301"/>
    <w:rsid w:val="1B312D98"/>
    <w:rsid w:val="1B321FD3"/>
    <w:rsid w:val="1B3D4E88"/>
    <w:rsid w:val="1B4B17D0"/>
    <w:rsid w:val="1B620AA8"/>
    <w:rsid w:val="1B917B2A"/>
    <w:rsid w:val="1B9E3FF5"/>
    <w:rsid w:val="1BA84E74"/>
    <w:rsid w:val="1BAC7578"/>
    <w:rsid w:val="1BC53D65"/>
    <w:rsid w:val="1BC6137E"/>
    <w:rsid w:val="1BEC4D61"/>
    <w:rsid w:val="1BED2887"/>
    <w:rsid w:val="1C254C58"/>
    <w:rsid w:val="1C2B3E0A"/>
    <w:rsid w:val="1C5172BA"/>
    <w:rsid w:val="1C8E7BC6"/>
    <w:rsid w:val="1CA05B4B"/>
    <w:rsid w:val="1CB82E95"/>
    <w:rsid w:val="1CC950A2"/>
    <w:rsid w:val="1CED00B5"/>
    <w:rsid w:val="1D170C36"/>
    <w:rsid w:val="1D28626C"/>
    <w:rsid w:val="1D3E0F5E"/>
    <w:rsid w:val="1D5D053C"/>
    <w:rsid w:val="1D74500E"/>
    <w:rsid w:val="1D757AD7"/>
    <w:rsid w:val="1D7E5EDF"/>
    <w:rsid w:val="1D84721B"/>
    <w:rsid w:val="1D881C45"/>
    <w:rsid w:val="1DA94E86"/>
    <w:rsid w:val="1DC70BAF"/>
    <w:rsid w:val="1DD91315"/>
    <w:rsid w:val="1DE63A32"/>
    <w:rsid w:val="1DFD2910"/>
    <w:rsid w:val="1E18008F"/>
    <w:rsid w:val="1E3B1FCF"/>
    <w:rsid w:val="1E444579"/>
    <w:rsid w:val="1E562965"/>
    <w:rsid w:val="1E565853"/>
    <w:rsid w:val="1E622728"/>
    <w:rsid w:val="1E9516DF"/>
    <w:rsid w:val="1E991C68"/>
    <w:rsid w:val="1EA27958"/>
    <w:rsid w:val="1EB666C3"/>
    <w:rsid w:val="1EB83620"/>
    <w:rsid w:val="1EC45B21"/>
    <w:rsid w:val="1EDA4625"/>
    <w:rsid w:val="1EE56711"/>
    <w:rsid w:val="1EE937D9"/>
    <w:rsid w:val="1F0D4DFF"/>
    <w:rsid w:val="1F114ADE"/>
    <w:rsid w:val="1F1D1485"/>
    <w:rsid w:val="1F1D3483"/>
    <w:rsid w:val="1F314857"/>
    <w:rsid w:val="1F676EA6"/>
    <w:rsid w:val="1F721A21"/>
    <w:rsid w:val="1F841754"/>
    <w:rsid w:val="1FA45086"/>
    <w:rsid w:val="1FA85442"/>
    <w:rsid w:val="1FAD0CAB"/>
    <w:rsid w:val="1FC95AE7"/>
    <w:rsid w:val="1FEE40BC"/>
    <w:rsid w:val="2006110C"/>
    <w:rsid w:val="200D2BA8"/>
    <w:rsid w:val="2014371F"/>
    <w:rsid w:val="201E137B"/>
    <w:rsid w:val="20587C8B"/>
    <w:rsid w:val="206B6024"/>
    <w:rsid w:val="206F1A9B"/>
    <w:rsid w:val="207215AC"/>
    <w:rsid w:val="20887022"/>
    <w:rsid w:val="20B16579"/>
    <w:rsid w:val="20B47C2B"/>
    <w:rsid w:val="20B8098C"/>
    <w:rsid w:val="20D34741"/>
    <w:rsid w:val="20DA787E"/>
    <w:rsid w:val="20E24984"/>
    <w:rsid w:val="20EA6E99"/>
    <w:rsid w:val="21002E86"/>
    <w:rsid w:val="21145650"/>
    <w:rsid w:val="21147179"/>
    <w:rsid w:val="211A5ECC"/>
    <w:rsid w:val="213D1BBA"/>
    <w:rsid w:val="21470BBA"/>
    <w:rsid w:val="215A09BE"/>
    <w:rsid w:val="215D3838"/>
    <w:rsid w:val="216929EC"/>
    <w:rsid w:val="216C0969"/>
    <w:rsid w:val="21A06E31"/>
    <w:rsid w:val="21B46321"/>
    <w:rsid w:val="21CC22B0"/>
    <w:rsid w:val="21DA1310"/>
    <w:rsid w:val="22197D38"/>
    <w:rsid w:val="2221274D"/>
    <w:rsid w:val="223B3EEA"/>
    <w:rsid w:val="223E2CF8"/>
    <w:rsid w:val="223E574C"/>
    <w:rsid w:val="22511B43"/>
    <w:rsid w:val="22532046"/>
    <w:rsid w:val="22877591"/>
    <w:rsid w:val="2289320A"/>
    <w:rsid w:val="22916BF6"/>
    <w:rsid w:val="229B22A3"/>
    <w:rsid w:val="22A05303"/>
    <w:rsid w:val="22B1460E"/>
    <w:rsid w:val="22F25414"/>
    <w:rsid w:val="231B5F2B"/>
    <w:rsid w:val="231C3A8C"/>
    <w:rsid w:val="232A11A3"/>
    <w:rsid w:val="23502079"/>
    <w:rsid w:val="236A792E"/>
    <w:rsid w:val="237C2E6E"/>
    <w:rsid w:val="238276FC"/>
    <w:rsid w:val="23947470"/>
    <w:rsid w:val="239C52BE"/>
    <w:rsid w:val="23AE0B4E"/>
    <w:rsid w:val="23B4085A"/>
    <w:rsid w:val="23E9602A"/>
    <w:rsid w:val="24003C3F"/>
    <w:rsid w:val="240F79BA"/>
    <w:rsid w:val="241444CF"/>
    <w:rsid w:val="2415559D"/>
    <w:rsid w:val="243674C1"/>
    <w:rsid w:val="243F4853"/>
    <w:rsid w:val="24424E18"/>
    <w:rsid w:val="245F009A"/>
    <w:rsid w:val="246102B6"/>
    <w:rsid w:val="24681544"/>
    <w:rsid w:val="247A057C"/>
    <w:rsid w:val="248B51D1"/>
    <w:rsid w:val="248D7C75"/>
    <w:rsid w:val="24961512"/>
    <w:rsid w:val="249917FE"/>
    <w:rsid w:val="24A00E3D"/>
    <w:rsid w:val="24C820E3"/>
    <w:rsid w:val="24CC572F"/>
    <w:rsid w:val="24DC7CF6"/>
    <w:rsid w:val="24FC22B0"/>
    <w:rsid w:val="24FE78B3"/>
    <w:rsid w:val="25121BAC"/>
    <w:rsid w:val="251826C1"/>
    <w:rsid w:val="252012DB"/>
    <w:rsid w:val="25205A7B"/>
    <w:rsid w:val="252F0262"/>
    <w:rsid w:val="252F5FEA"/>
    <w:rsid w:val="25496D80"/>
    <w:rsid w:val="254F706B"/>
    <w:rsid w:val="255120D8"/>
    <w:rsid w:val="256E67E6"/>
    <w:rsid w:val="2573204F"/>
    <w:rsid w:val="258E6E89"/>
    <w:rsid w:val="25965927"/>
    <w:rsid w:val="259D70CC"/>
    <w:rsid w:val="25E90CC3"/>
    <w:rsid w:val="25F72C80"/>
    <w:rsid w:val="2601146C"/>
    <w:rsid w:val="26025181"/>
    <w:rsid w:val="2610165F"/>
    <w:rsid w:val="26257A6E"/>
    <w:rsid w:val="26355556"/>
    <w:rsid w:val="263B6C24"/>
    <w:rsid w:val="26867B60"/>
    <w:rsid w:val="26884108"/>
    <w:rsid w:val="268C5506"/>
    <w:rsid w:val="269A0CF3"/>
    <w:rsid w:val="26B24DF9"/>
    <w:rsid w:val="26BB1EFF"/>
    <w:rsid w:val="26C3198C"/>
    <w:rsid w:val="26C92656"/>
    <w:rsid w:val="26E13DF1"/>
    <w:rsid w:val="26E36D60"/>
    <w:rsid w:val="270E26CA"/>
    <w:rsid w:val="27125649"/>
    <w:rsid w:val="271433BD"/>
    <w:rsid w:val="27194E78"/>
    <w:rsid w:val="272D447F"/>
    <w:rsid w:val="27361586"/>
    <w:rsid w:val="27421FA7"/>
    <w:rsid w:val="274D2A19"/>
    <w:rsid w:val="277C7206"/>
    <w:rsid w:val="27850B95"/>
    <w:rsid w:val="27897907"/>
    <w:rsid w:val="278B7B24"/>
    <w:rsid w:val="27952750"/>
    <w:rsid w:val="27A41371"/>
    <w:rsid w:val="27AB1F74"/>
    <w:rsid w:val="27B06620"/>
    <w:rsid w:val="27B728DE"/>
    <w:rsid w:val="27C2106B"/>
    <w:rsid w:val="27DC2DDF"/>
    <w:rsid w:val="27FA368E"/>
    <w:rsid w:val="28165970"/>
    <w:rsid w:val="28225826"/>
    <w:rsid w:val="28397580"/>
    <w:rsid w:val="284341C7"/>
    <w:rsid w:val="284952E9"/>
    <w:rsid w:val="2858552C"/>
    <w:rsid w:val="287E0771"/>
    <w:rsid w:val="28A35B9E"/>
    <w:rsid w:val="28A6519A"/>
    <w:rsid w:val="28AC249C"/>
    <w:rsid w:val="28B058E8"/>
    <w:rsid w:val="28D41056"/>
    <w:rsid w:val="28F241D3"/>
    <w:rsid w:val="28F96CB0"/>
    <w:rsid w:val="29000B08"/>
    <w:rsid w:val="291352AD"/>
    <w:rsid w:val="29326995"/>
    <w:rsid w:val="293B7327"/>
    <w:rsid w:val="29471828"/>
    <w:rsid w:val="29793775"/>
    <w:rsid w:val="297A7E50"/>
    <w:rsid w:val="297F3131"/>
    <w:rsid w:val="2984153C"/>
    <w:rsid w:val="29875ED3"/>
    <w:rsid w:val="29934A6D"/>
    <w:rsid w:val="29AD632C"/>
    <w:rsid w:val="29B05E38"/>
    <w:rsid w:val="2A050A46"/>
    <w:rsid w:val="2A0646CB"/>
    <w:rsid w:val="2A375D41"/>
    <w:rsid w:val="2A416A43"/>
    <w:rsid w:val="2A4178F3"/>
    <w:rsid w:val="2A6308B8"/>
    <w:rsid w:val="2A697EC4"/>
    <w:rsid w:val="2A7725E1"/>
    <w:rsid w:val="2A83359C"/>
    <w:rsid w:val="2A8C359D"/>
    <w:rsid w:val="2A8F3499"/>
    <w:rsid w:val="2A9B7011"/>
    <w:rsid w:val="2A9D329F"/>
    <w:rsid w:val="2AA12629"/>
    <w:rsid w:val="2ABA7D1B"/>
    <w:rsid w:val="2ABB6316"/>
    <w:rsid w:val="2ABC650D"/>
    <w:rsid w:val="2ABC7FF4"/>
    <w:rsid w:val="2ADB73AB"/>
    <w:rsid w:val="2AE553C9"/>
    <w:rsid w:val="2AE82B97"/>
    <w:rsid w:val="2AEB08D9"/>
    <w:rsid w:val="2AFD5108"/>
    <w:rsid w:val="2B0A1054"/>
    <w:rsid w:val="2B1674B4"/>
    <w:rsid w:val="2B2F07C3"/>
    <w:rsid w:val="2B324CAE"/>
    <w:rsid w:val="2B3758CC"/>
    <w:rsid w:val="2B3C1135"/>
    <w:rsid w:val="2B3D5D38"/>
    <w:rsid w:val="2B783975"/>
    <w:rsid w:val="2B8B2199"/>
    <w:rsid w:val="2B8C4453"/>
    <w:rsid w:val="2B940F71"/>
    <w:rsid w:val="2BAB5D27"/>
    <w:rsid w:val="2BF00F33"/>
    <w:rsid w:val="2BF10171"/>
    <w:rsid w:val="2C281521"/>
    <w:rsid w:val="2C3528E5"/>
    <w:rsid w:val="2C3F303A"/>
    <w:rsid w:val="2C422438"/>
    <w:rsid w:val="2C4B019B"/>
    <w:rsid w:val="2C78619D"/>
    <w:rsid w:val="2C8C4417"/>
    <w:rsid w:val="2CB2345D"/>
    <w:rsid w:val="2CD43567"/>
    <w:rsid w:val="2CE032A2"/>
    <w:rsid w:val="2CE3384E"/>
    <w:rsid w:val="2CE33F5E"/>
    <w:rsid w:val="2CF87090"/>
    <w:rsid w:val="2D016192"/>
    <w:rsid w:val="2D032B98"/>
    <w:rsid w:val="2D173C07"/>
    <w:rsid w:val="2D190867"/>
    <w:rsid w:val="2D1D1785"/>
    <w:rsid w:val="2D1E2B13"/>
    <w:rsid w:val="2D236108"/>
    <w:rsid w:val="2D303871"/>
    <w:rsid w:val="2D340315"/>
    <w:rsid w:val="2D5E6D58"/>
    <w:rsid w:val="2D8F7C42"/>
    <w:rsid w:val="2D900A61"/>
    <w:rsid w:val="2D9214E0"/>
    <w:rsid w:val="2DCF7E03"/>
    <w:rsid w:val="2DDE38EA"/>
    <w:rsid w:val="2DE53D06"/>
    <w:rsid w:val="2E0A7941"/>
    <w:rsid w:val="2E2252B5"/>
    <w:rsid w:val="2E4B3B69"/>
    <w:rsid w:val="2E4C5B33"/>
    <w:rsid w:val="2E5753B3"/>
    <w:rsid w:val="2E5A1FFE"/>
    <w:rsid w:val="2EA3763F"/>
    <w:rsid w:val="2ECE7A2C"/>
    <w:rsid w:val="2EE8585B"/>
    <w:rsid w:val="2EFE0BDB"/>
    <w:rsid w:val="2F0B32F8"/>
    <w:rsid w:val="2F10090E"/>
    <w:rsid w:val="2F302D5E"/>
    <w:rsid w:val="2F462582"/>
    <w:rsid w:val="2F4F4B8D"/>
    <w:rsid w:val="2F57134C"/>
    <w:rsid w:val="2F5C3697"/>
    <w:rsid w:val="2F745341"/>
    <w:rsid w:val="2F7B4DDE"/>
    <w:rsid w:val="2F8135BA"/>
    <w:rsid w:val="2FB15C4D"/>
    <w:rsid w:val="2FC00586"/>
    <w:rsid w:val="2FC132ED"/>
    <w:rsid w:val="2FC31E25"/>
    <w:rsid w:val="2FC55B9D"/>
    <w:rsid w:val="2FE51D9B"/>
    <w:rsid w:val="300415AB"/>
    <w:rsid w:val="3005243D"/>
    <w:rsid w:val="300F5F7F"/>
    <w:rsid w:val="30281C88"/>
    <w:rsid w:val="30444D13"/>
    <w:rsid w:val="304E7940"/>
    <w:rsid w:val="305558AE"/>
    <w:rsid w:val="306D22D8"/>
    <w:rsid w:val="307042D3"/>
    <w:rsid w:val="307D6477"/>
    <w:rsid w:val="30B8125D"/>
    <w:rsid w:val="30C10112"/>
    <w:rsid w:val="30C61BCC"/>
    <w:rsid w:val="30CF6E33"/>
    <w:rsid w:val="30DF0EB8"/>
    <w:rsid w:val="30FF0C3A"/>
    <w:rsid w:val="31067AB6"/>
    <w:rsid w:val="310A747F"/>
    <w:rsid w:val="310F2F64"/>
    <w:rsid w:val="311A0833"/>
    <w:rsid w:val="311F12DD"/>
    <w:rsid w:val="31232B7B"/>
    <w:rsid w:val="31280191"/>
    <w:rsid w:val="313570B8"/>
    <w:rsid w:val="3138668F"/>
    <w:rsid w:val="31400EAF"/>
    <w:rsid w:val="314E5BFD"/>
    <w:rsid w:val="3156356B"/>
    <w:rsid w:val="31566188"/>
    <w:rsid w:val="31605B7D"/>
    <w:rsid w:val="31640963"/>
    <w:rsid w:val="317D639C"/>
    <w:rsid w:val="319B3EED"/>
    <w:rsid w:val="31B23EFF"/>
    <w:rsid w:val="31CA2673"/>
    <w:rsid w:val="31E72668"/>
    <w:rsid w:val="31FB3AF8"/>
    <w:rsid w:val="32316BC7"/>
    <w:rsid w:val="323D5EBE"/>
    <w:rsid w:val="323F1C36"/>
    <w:rsid w:val="325D1CB3"/>
    <w:rsid w:val="327B0795"/>
    <w:rsid w:val="3288329C"/>
    <w:rsid w:val="32AE75D6"/>
    <w:rsid w:val="32BB5035"/>
    <w:rsid w:val="32BC2AC3"/>
    <w:rsid w:val="32CE0540"/>
    <w:rsid w:val="32D87175"/>
    <w:rsid w:val="33185DDE"/>
    <w:rsid w:val="332427B2"/>
    <w:rsid w:val="33462B51"/>
    <w:rsid w:val="334B08FE"/>
    <w:rsid w:val="33531B8B"/>
    <w:rsid w:val="336F283A"/>
    <w:rsid w:val="33743B62"/>
    <w:rsid w:val="33770732"/>
    <w:rsid w:val="337D7269"/>
    <w:rsid w:val="338B0EAB"/>
    <w:rsid w:val="33AA7583"/>
    <w:rsid w:val="33B71CA0"/>
    <w:rsid w:val="33BC74CF"/>
    <w:rsid w:val="33D97E69"/>
    <w:rsid w:val="33EC61A4"/>
    <w:rsid w:val="33EC7B9C"/>
    <w:rsid w:val="34070928"/>
    <w:rsid w:val="34147658"/>
    <w:rsid w:val="341879F1"/>
    <w:rsid w:val="342B165D"/>
    <w:rsid w:val="34431F1E"/>
    <w:rsid w:val="344A041F"/>
    <w:rsid w:val="344E3819"/>
    <w:rsid w:val="346F73CA"/>
    <w:rsid w:val="347436ED"/>
    <w:rsid w:val="347E0A7F"/>
    <w:rsid w:val="348D75BC"/>
    <w:rsid w:val="34A55F9D"/>
    <w:rsid w:val="34BF35E1"/>
    <w:rsid w:val="34CA77B1"/>
    <w:rsid w:val="34D66156"/>
    <w:rsid w:val="34FD5678"/>
    <w:rsid w:val="350425F5"/>
    <w:rsid w:val="35093BF4"/>
    <w:rsid w:val="351511EB"/>
    <w:rsid w:val="3519552D"/>
    <w:rsid w:val="352B64A2"/>
    <w:rsid w:val="354C30B8"/>
    <w:rsid w:val="355E36B3"/>
    <w:rsid w:val="356A740B"/>
    <w:rsid w:val="35727C2D"/>
    <w:rsid w:val="35802258"/>
    <w:rsid w:val="35832150"/>
    <w:rsid w:val="35851066"/>
    <w:rsid w:val="35915B97"/>
    <w:rsid w:val="35916DD5"/>
    <w:rsid w:val="35A24298"/>
    <w:rsid w:val="35F5260C"/>
    <w:rsid w:val="36117FB1"/>
    <w:rsid w:val="36176A26"/>
    <w:rsid w:val="362A675A"/>
    <w:rsid w:val="362D1DA6"/>
    <w:rsid w:val="363C648D"/>
    <w:rsid w:val="36432D79"/>
    <w:rsid w:val="36436CFD"/>
    <w:rsid w:val="364E595A"/>
    <w:rsid w:val="365E6403"/>
    <w:rsid w:val="36616C3B"/>
    <w:rsid w:val="36714707"/>
    <w:rsid w:val="367307E9"/>
    <w:rsid w:val="367B5207"/>
    <w:rsid w:val="369E1D98"/>
    <w:rsid w:val="36A21211"/>
    <w:rsid w:val="36AF4EB1"/>
    <w:rsid w:val="36B359FE"/>
    <w:rsid w:val="36B44275"/>
    <w:rsid w:val="36D208AA"/>
    <w:rsid w:val="37107E19"/>
    <w:rsid w:val="373E735B"/>
    <w:rsid w:val="375717D0"/>
    <w:rsid w:val="375E4292"/>
    <w:rsid w:val="37721F5F"/>
    <w:rsid w:val="377A3279"/>
    <w:rsid w:val="37826121"/>
    <w:rsid w:val="378B76CC"/>
    <w:rsid w:val="37AE6F16"/>
    <w:rsid w:val="37B34059"/>
    <w:rsid w:val="37C80E48"/>
    <w:rsid w:val="3821204D"/>
    <w:rsid w:val="382429E5"/>
    <w:rsid w:val="38431D54"/>
    <w:rsid w:val="38433B03"/>
    <w:rsid w:val="384C3A8F"/>
    <w:rsid w:val="384C721E"/>
    <w:rsid w:val="385266C4"/>
    <w:rsid w:val="385C38A2"/>
    <w:rsid w:val="3874745E"/>
    <w:rsid w:val="38780137"/>
    <w:rsid w:val="387C7F79"/>
    <w:rsid w:val="38810944"/>
    <w:rsid w:val="38922D5C"/>
    <w:rsid w:val="38925B35"/>
    <w:rsid w:val="38B247E4"/>
    <w:rsid w:val="38CC7F9C"/>
    <w:rsid w:val="38E631EA"/>
    <w:rsid w:val="38F40C32"/>
    <w:rsid w:val="39192BBD"/>
    <w:rsid w:val="392A081F"/>
    <w:rsid w:val="395E6C0E"/>
    <w:rsid w:val="396D50E9"/>
    <w:rsid w:val="396E1053"/>
    <w:rsid w:val="39827624"/>
    <w:rsid w:val="3987490A"/>
    <w:rsid w:val="39A20905"/>
    <w:rsid w:val="39A95BE7"/>
    <w:rsid w:val="39C40B94"/>
    <w:rsid w:val="39C62C3D"/>
    <w:rsid w:val="39DD3AE3"/>
    <w:rsid w:val="39F2758E"/>
    <w:rsid w:val="39FC21BB"/>
    <w:rsid w:val="3A0177D1"/>
    <w:rsid w:val="3A0C59F1"/>
    <w:rsid w:val="3A1565DD"/>
    <w:rsid w:val="3A216747"/>
    <w:rsid w:val="3A281202"/>
    <w:rsid w:val="3A4762BF"/>
    <w:rsid w:val="3A4A116E"/>
    <w:rsid w:val="3A5244D1"/>
    <w:rsid w:val="3A5913BB"/>
    <w:rsid w:val="3A5A5BBB"/>
    <w:rsid w:val="3A740B70"/>
    <w:rsid w:val="3A7E0E22"/>
    <w:rsid w:val="3A8723CC"/>
    <w:rsid w:val="3A8A7846"/>
    <w:rsid w:val="3AAE7B52"/>
    <w:rsid w:val="3AB12912"/>
    <w:rsid w:val="3AB36841"/>
    <w:rsid w:val="3AB96352"/>
    <w:rsid w:val="3ABD6EB6"/>
    <w:rsid w:val="3AE32F3A"/>
    <w:rsid w:val="3AFD06CB"/>
    <w:rsid w:val="3B05556C"/>
    <w:rsid w:val="3B0B57EA"/>
    <w:rsid w:val="3B253993"/>
    <w:rsid w:val="3B293484"/>
    <w:rsid w:val="3B2A6F08"/>
    <w:rsid w:val="3B2B1C04"/>
    <w:rsid w:val="3B2C087E"/>
    <w:rsid w:val="3B5F6D07"/>
    <w:rsid w:val="3B704B38"/>
    <w:rsid w:val="3B800DFC"/>
    <w:rsid w:val="3B9A103C"/>
    <w:rsid w:val="3BA3569B"/>
    <w:rsid w:val="3BAC5E63"/>
    <w:rsid w:val="3BB900AC"/>
    <w:rsid w:val="3BC60CD2"/>
    <w:rsid w:val="3BC9431F"/>
    <w:rsid w:val="3BE54741"/>
    <w:rsid w:val="3BF51D03"/>
    <w:rsid w:val="3BF876BB"/>
    <w:rsid w:val="3BF9550B"/>
    <w:rsid w:val="3BFA41C9"/>
    <w:rsid w:val="3BFC1F33"/>
    <w:rsid w:val="3C1F39D9"/>
    <w:rsid w:val="3C243C4B"/>
    <w:rsid w:val="3C2854E9"/>
    <w:rsid w:val="3C300842"/>
    <w:rsid w:val="3C364B95"/>
    <w:rsid w:val="3C5F6A31"/>
    <w:rsid w:val="3C66385E"/>
    <w:rsid w:val="3C687F34"/>
    <w:rsid w:val="3C726BAD"/>
    <w:rsid w:val="3C782C68"/>
    <w:rsid w:val="3C93703A"/>
    <w:rsid w:val="3C947DA7"/>
    <w:rsid w:val="3C9D0AD8"/>
    <w:rsid w:val="3CAC2CAE"/>
    <w:rsid w:val="3CCB60B2"/>
    <w:rsid w:val="3CCC056A"/>
    <w:rsid w:val="3CD965F5"/>
    <w:rsid w:val="3CE663A5"/>
    <w:rsid w:val="3CE957CA"/>
    <w:rsid w:val="3D1F0E61"/>
    <w:rsid w:val="3D395D2D"/>
    <w:rsid w:val="3D6E488B"/>
    <w:rsid w:val="3D7804FA"/>
    <w:rsid w:val="3D840E45"/>
    <w:rsid w:val="3D9903FC"/>
    <w:rsid w:val="3DEE646D"/>
    <w:rsid w:val="3DFF04CC"/>
    <w:rsid w:val="3E104487"/>
    <w:rsid w:val="3E512524"/>
    <w:rsid w:val="3E5823AA"/>
    <w:rsid w:val="3E795E9D"/>
    <w:rsid w:val="3E7E4B6D"/>
    <w:rsid w:val="3E9C49E5"/>
    <w:rsid w:val="3EB02199"/>
    <w:rsid w:val="3EB97642"/>
    <w:rsid w:val="3EC34354"/>
    <w:rsid w:val="3EC628FF"/>
    <w:rsid w:val="3EF27647"/>
    <w:rsid w:val="3EFE0783"/>
    <w:rsid w:val="3F185CE9"/>
    <w:rsid w:val="3F3917BB"/>
    <w:rsid w:val="3F3F0A72"/>
    <w:rsid w:val="3F731171"/>
    <w:rsid w:val="3F7647BE"/>
    <w:rsid w:val="3F764E94"/>
    <w:rsid w:val="3F9C2A76"/>
    <w:rsid w:val="3FBB48C6"/>
    <w:rsid w:val="3FC14B65"/>
    <w:rsid w:val="3FDB6D16"/>
    <w:rsid w:val="3FE7622F"/>
    <w:rsid w:val="40037B49"/>
    <w:rsid w:val="40097566"/>
    <w:rsid w:val="401C35B7"/>
    <w:rsid w:val="40354679"/>
    <w:rsid w:val="405075DC"/>
    <w:rsid w:val="405079DE"/>
    <w:rsid w:val="407A208B"/>
    <w:rsid w:val="408353E4"/>
    <w:rsid w:val="40926D87"/>
    <w:rsid w:val="40A614D2"/>
    <w:rsid w:val="40D0614F"/>
    <w:rsid w:val="40EB4D37"/>
    <w:rsid w:val="40F0124C"/>
    <w:rsid w:val="40F46C99"/>
    <w:rsid w:val="410B7DCD"/>
    <w:rsid w:val="412269F4"/>
    <w:rsid w:val="41273454"/>
    <w:rsid w:val="41326E0A"/>
    <w:rsid w:val="413463FC"/>
    <w:rsid w:val="41691DE4"/>
    <w:rsid w:val="41791AD1"/>
    <w:rsid w:val="41894C7C"/>
    <w:rsid w:val="418F3165"/>
    <w:rsid w:val="41AB4770"/>
    <w:rsid w:val="41C6300E"/>
    <w:rsid w:val="41CF4659"/>
    <w:rsid w:val="41E33C60"/>
    <w:rsid w:val="4202058A"/>
    <w:rsid w:val="42024A2E"/>
    <w:rsid w:val="42044303"/>
    <w:rsid w:val="42277E78"/>
    <w:rsid w:val="4230334A"/>
    <w:rsid w:val="426024BA"/>
    <w:rsid w:val="427A6373"/>
    <w:rsid w:val="42956C7D"/>
    <w:rsid w:val="429C09DF"/>
    <w:rsid w:val="429D02B3"/>
    <w:rsid w:val="42E30A4A"/>
    <w:rsid w:val="42EA3410"/>
    <w:rsid w:val="42F20444"/>
    <w:rsid w:val="431C2037"/>
    <w:rsid w:val="43206C0A"/>
    <w:rsid w:val="43224722"/>
    <w:rsid w:val="434B3078"/>
    <w:rsid w:val="436037BB"/>
    <w:rsid w:val="43B458B4"/>
    <w:rsid w:val="43D30430"/>
    <w:rsid w:val="43E1564E"/>
    <w:rsid w:val="43E175B4"/>
    <w:rsid w:val="43FC2807"/>
    <w:rsid w:val="4404683C"/>
    <w:rsid w:val="441048D4"/>
    <w:rsid w:val="4427089F"/>
    <w:rsid w:val="44446C38"/>
    <w:rsid w:val="44486EA0"/>
    <w:rsid w:val="44817E8C"/>
    <w:rsid w:val="4488746D"/>
    <w:rsid w:val="4493196E"/>
    <w:rsid w:val="449C6F40"/>
    <w:rsid w:val="449D5E70"/>
    <w:rsid w:val="44A90D62"/>
    <w:rsid w:val="44B32AFA"/>
    <w:rsid w:val="44D75CFE"/>
    <w:rsid w:val="44EB17AA"/>
    <w:rsid w:val="44FA0728"/>
    <w:rsid w:val="44FC5765"/>
    <w:rsid w:val="451C7BB5"/>
    <w:rsid w:val="45476C7B"/>
    <w:rsid w:val="456D60B0"/>
    <w:rsid w:val="4586771A"/>
    <w:rsid w:val="458C302E"/>
    <w:rsid w:val="458D460F"/>
    <w:rsid w:val="4597020E"/>
    <w:rsid w:val="45BC0529"/>
    <w:rsid w:val="45C74BE2"/>
    <w:rsid w:val="45E35FC0"/>
    <w:rsid w:val="45EB590C"/>
    <w:rsid w:val="45FD7AA0"/>
    <w:rsid w:val="460D7CA5"/>
    <w:rsid w:val="461B60BF"/>
    <w:rsid w:val="462522B9"/>
    <w:rsid w:val="46260726"/>
    <w:rsid w:val="464070BA"/>
    <w:rsid w:val="465529F2"/>
    <w:rsid w:val="466B08CA"/>
    <w:rsid w:val="466B0DF4"/>
    <w:rsid w:val="466E2692"/>
    <w:rsid w:val="467D28D5"/>
    <w:rsid w:val="4698770F"/>
    <w:rsid w:val="46AD60E9"/>
    <w:rsid w:val="46B329B6"/>
    <w:rsid w:val="472745EF"/>
    <w:rsid w:val="473867FC"/>
    <w:rsid w:val="473F66FC"/>
    <w:rsid w:val="475278BE"/>
    <w:rsid w:val="475A066B"/>
    <w:rsid w:val="47607983"/>
    <w:rsid w:val="476B6BD2"/>
    <w:rsid w:val="477517FF"/>
    <w:rsid w:val="4780636A"/>
    <w:rsid w:val="478B4B7E"/>
    <w:rsid w:val="478D6B48"/>
    <w:rsid w:val="47B73BC5"/>
    <w:rsid w:val="47DB5734"/>
    <w:rsid w:val="47E744AA"/>
    <w:rsid w:val="47E80223"/>
    <w:rsid w:val="47EB7C61"/>
    <w:rsid w:val="47F14892"/>
    <w:rsid w:val="47FA0C3F"/>
    <w:rsid w:val="48091DA8"/>
    <w:rsid w:val="483E3131"/>
    <w:rsid w:val="484A7D6D"/>
    <w:rsid w:val="48643D4D"/>
    <w:rsid w:val="487A74C5"/>
    <w:rsid w:val="489108BA"/>
    <w:rsid w:val="489932CB"/>
    <w:rsid w:val="48A57EC2"/>
    <w:rsid w:val="48D5777C"/>
    <w:rsid w:val="48F055E1"/>
    <w:rsid w:val="49376945"/>
    <w:rsid w:val="493F0316"/>
    <w:rsid w:val="493F41BC"/>
    <w:rsid w:val="496649C8"/>
    <w:rsid w:val="49667651"/>
    <w:rsid w:val="498759FB"/>
    <w:rsid w:val="499B66D1"/>
    <w:rsid w:val="49B42D9E"/>
    <w:rsid w:val="49CA6DC7"/>
    <w:rsid w:val="4A295B69"/>
    <w:rsid w:val="4A2D43AB"/>
    <w:rsid w:val="4A477482"/>
    <w:rsid w:val="4A703CBA"/>
    <w:rsid w:val="4A745D9D"/>
    <w:rsid w:val="4A77742C"/>
    <w:rsid w:val="4A8861AA"/>
    <w:rsid w:val="4A8A736F"/>
    <w:rsid w:val="4A9106FD"/>
    <w:rsid w:val="4A932C14"/>
    <w:rsid w:val="4AC7411F"/>
    <w:rsid w:val="4ACA115E"/>
    <w:rsid w:val="4AE74670"/>
    <w:rsid w:val="4B034EF9"/>
    <w:rsid w:val="4B215F25"/>
    <w:rsid w:val="4B2C3CC2"/>
    <w:rsid w:val="4B3B68BB"/>
    <w:rsid w:val="4B542161"/>
    <w:rsid w:val="4B767524"/>
    <w:rsid w:val="4B80337E"/>
    <w:rsid w:val="4B826138"/>
    <w:rsid w:val="4B897627"/>
    <w:rsid w:val="4BBB5A2F"/>
    <w:rsid w:val="4BC62629"/>
    <w:rsid w:val="4BC66ACD"/>
    <w:rsid w:val="4BEC0E47"/>
    <w:rsid w:val="4BF74ED8"/>
    <w:rsid w:val="4C1A4352"/>
    <w:rsid w:val="4C4B2007"/>
    <w:rsid w:val="4C5A2C8D"/>
    <w:rsid w:val="4C6F2CC0"/>
    <w:rsid w:val="4C9C74D2"/>
    <w:rsid w:val="4CA43D63"/>
    <w:rsid w:val="4CAD00F8"/>
    <w:rsid w:val="4CD40560"/>
    <w:rsid w:val="4CF136D5"/>
    <w:rsid w:val="4CF77E06"/>
    <w:rsid w:val="4CFD6709"/>
    <w:rsid w:val="4CFF79A7"/>
    <w:rsid w:val="4D2B3170"/>
    <w:rsid w:val="4D3B0672"/>
    <w:rsid w:val="4D66647C"/>
    <w:rsid w:val="4D6A0797"/>
    <w:rsid w:val="4D9F0E33"/>
    <w:rsid w:val="4DA25A41"/>
    <w:rsid w:val="4DB91563"/>
    <w:rsid w:val="4DEA517A"/>
    <w:rsid w:val="4E0062C6"/>
    <w:rsid w:val="4E0737C0"/>
    <w:rsid w:val="4E105DDD"/>
    <w:rsid w:val="4E151323"/>
    <w:rsid w:val="4E2A6FA0"/>
    <w:rsid w:val="4E39781A"/>
    <w:rsid w:val="4E4571A0"/>
    <w:rsid w:val="4E4A5793"/>
    <w:rsid w:val="4E5B79A0"/>
    <w:rsid w:val="4E726054"/>
    <w:rsid w:val="4E7D0DE2"/>
    <w:rsid w:val="4E9F7546"/>
    <w:rsid w:val="4EA46E34"/>
    <w:rsid w:val="4EAB5F44"/>
    <w:rsid w:val="4EB470B0"/>
    <w:rsid w:val="4EBE56A0"/>
    <w:rsid w:val="4EC20DFB"/>
    <w:rsid w:val="4EC310A1"/>
    <w:rsid w:val="4EE35077"/>
    <w:rsid w:val="4EE96D5A"/>
    <w:rsid w:val="4EF23735"/>
    <w:rsid w:val="4EF31987"/>
    <w:rsid w:val="4EF94AC3"/>
    <w:rsid w:val="4F053468"/>
    <w:rsid w:val="4F102B4E"/>
    <w:rsid w:val="4F1338C8"/>
    <w:rsid w:val="4F2159BA"/>
    <w:rsid w:val="4F247D92"/>
    <w:rsid w:val="4F2558B8"/>
    <w:rsid w:val="4F2D0FE3"/>
    <w:rsid w:val="4F443E37"/>
    <w:rsid w:val="4F493C9D"/>
    <w:rsid w:val="4F4B17C3"/>
    <w:rsid w:val="4F5655D9"/>
    <w:rsid w:val="4F580BEC"/>
    <w:rsid w:val="4F642884"/>
    <w:rsid w:val="4F823A7E"/>
    <w:rsid w:val="4F864F33"/>
    <w:rsid w:val="4FBC446F"/>
    <w:rsid w:val="4FD53792"/>
    <w:rsid w:val="50330A02"/>
    <w:rsid w:val="503E1327"/>
    <w:rsid w:val="506C1F12"/>
    <w:rsid w:val="506D7517"/>
    <w:rsid w:val="506E4131"/>
    <w:rsid w:val="50846ED2"/>
    <w:rsid w:val="5092484F"/>
    <w:rsid w:val="50AA076B"/>
    <w:rsid w:val="50B71FFD"/>
    <w:rsid w:val="50CF3D2E"/>
    <w:rsid w:val="50E25461"/>
    <w:rsid w:val="50ED0658"/>
    <w:rsid w:val="50F6253B"/>
    <w:rsid w:val="50FD148C"/>
    <w:rsid w:val="51017D1A"/>
    <w:rsid w:val="51037E7B"/>
    <w:rsid w:val="5107142D"/>
    <w:rsid w:val="51257DF2"/>
    <w:rsid w:val="5127085A"/>
    <w:rsid w:val="516E0EDF"/>
    <w:rsid w:val="5176064D"/>
    <w:rsid w:val="518510D7"/>
    <w:rsid w:val="519E0A41"/>
    <w:rsid w:val="51A452F8"/>
    <w:rsid w:val="51B55619"/>
    <w:rsid w:val="51D1485E"/>
    <w:rsid w:val="51E8779D"/>
    <w:rsid w:val="51EE6435"/>
    <w:rsid w:val="51F04FAC"/>
    <w:rsid w:val="51F872B4"/>
    <w:rsid w:val="520B7793"/>
    <w:rsid w:val="52132340"/>
    <w:rsid w:val="5216419D"/>
    <w:rsid w:val="521A1920"/>
    <w:rsid w:val="521B1331"/>
    <w:rsid w:val="521B7236"/>
    <w:rsid w:val="52231081"/>
    <w:rsid w:val="523A5BF8"/>
    <w:rsid w:val="523F1523"/>
    <w:rsid w:val="524424F9"/>
    <w:rsid w:val="524B71BF"/>
    <w:rsid w:val="525C3CE7"/>
    <w:rsid w:val="52625B48"/>
    <w:rsid w:val="528B2681"/>
    <w:rsid w:val="529E15F5"/>
    <w:rsid w:val="52A975BB"/>
    <w:rsid w:val="52E33AC0"/>
    <w:rsid w:val="52E421BF"/>
    <w:rsid w:val="52F86769"/>
    <w:rsid w:val="52F86E8F"/>
    <w:rsid w:val="52FA15D1"/>
    <w:rsid w:val="532A5B93"/>
    <w:rsid w:val="532C2D94"/>
    <w:rsid w:val="5335644A"/>
    <w:rsid w:val="53566988"/>
    <w:rsid w:val="538104BC"/>
    <w:rsid w:val="539449DD"/>
    <w:rsid w:val="53BC4F17"/>
    <w:rsid w:val="53C03E02"/>
    <w:rsid w:val="53C673CA"/>
    <w:rsid w:val="53CA06DA"/>
    <w:rsid w:val="53D0274A"/>
    <w:rsid w:val="53DA57A8"/>
    <w:rsid w:val="53E41AB0"/>
    <w:rsid w:val="53F544B4"/>
    <w:rsid w:val="53F82140"/>
    <w:rsid w:val="54201D70"/>
    <w:rsid w:val="54556C40"/>
    <w:rsid w:val="54776AD5"/>
    <w:rsid w:val="547800D6"/>
    <w:rsid w:val="547D6C04"/>
    <w:rsid w:val="548154AA"/>
    <w:rsid w:val="54882B71"/>
    <w:rsid w:val="549B515A"/>
    <w:rsid w:val="54A83213"/>
    <w:rsid w:val="54C67EA4"/>
    <w:rsid w:val="54D70924"/>
    <w:rsid w:val="54F50963"/>
    <w:rsid w:val="550D02B1"/>
    <w:rsid w:val="552E5603"/>
    <w:rsid w:val="55344AA7"/>
    <w:rsid w:val="5554676E"/>
    <w:rsid w:val="5560589C"/>
    <w:rsid w:val="558477DD"/>
    <w:rsid w:val="558A0B81"/>
    <w:rsid w:val="55935C72"/>
    <w:rsid w:val="55A0038E"/>
    <w:rsid w:val="55CA674D"/>
    <w:rsid w:val="55E74BF1"/>
    <w:rsid w:val="56480C36"/>
    <w:rsid w:val="56505911"/>
    <w:rsid w:val="56585C96"/>
    <w:rsid w:val="567B2CC5"/>
    <w:rsid w:val="56926CEA"/>
    <w:rsid w:val="56A812A9"/>
    <w:rsid w:val="56DA4CDB"/>
    <w:rsid w:val="56E95231"/>
    <w:rsid w:val="56F0504E"/>
    <w:rsid w:val="56F3629C"/>
    <w:rsid w:val="56F91B04"/>
    <w:rsid w:val="56FB5543"/>
    <w:rsid w:val="56FE03D2"/>
    <w:rsid w:val="571678AD"/>
    <w:rsid w:val="57233025"/>
    <w:rsid w:val="573A3ECB"/>
    <w:rsid w:val="573E7E5F"/>
    <w:rsid w:val="576158FB"/>
    <w:rsid w:val="577E46FF"/>
    <w:rsid w:val="57902054"/>
    <w:rsid w:val="579072CD"/>
    <w:rsid w:val="579730CB"/>
    <w:rsid w:val="57A9177C"/>
    <w:rsid w:val="57AC2BE5"/>
    <w:rsid w:val="57BB1786"/>
    <w:rsid w:val="57E1238A"/>
    <w:rsid w:val="57E142B5"/>
    <w:rsid w:val="57F66044"/>
    <w:rsid w:val="58280254"/>
    <w:rsid w:val="582B2191"/>
    <w:rsid w:val="58591491"/>
    <w:rsid w:val="587873A1"/>
    <w:rsid w:val="587B2AC6"/>
    <w:rsid w:val="587D6765"/>
    <w:rsid w:val="58C12D05"/>
    <w:rsid w:val="58C46142"/>
    <w:rsid w:val="58C82D2D"/>
    <w:rsid w:val="58CC2FD2"/>
    <w:rsid w:val="58D46377"/>
    <w:rsid w:val="58E031F2"/>
    <w:rsid w:val="58E660B8"/>
    <w:rsid w:val="590A624B"/>
    <w:rsid w:val="59182664"/>
    <w:rsid w:val="593F5083"/>
    <w:rsid w:val="59457283"/>
    <w:rsid w:val="59503BFD"/>
    <w:rsid w:val="596B6642"/>
    <w:rsid w:val="59771406"/>
    <w:rsid w:val="597E4543"/>
    <w:rsid w:val="598D6D1A"/>
    <w:rsid w:val="5999158F"/>
    <w:rsid w:val="59A10231"/>
    <w:rsid w:val="59AF10F4"/>
    <w:rsid w:val="59B73C66"/>
    <w:rsid w:val="59CD1026"/>
    <w:rsid w:val="59DB7BE7"/>
    <w:rsid w:val="59E051FD"/>
    <w:rsid w:val="59ED5EFC"/>
    <w:rsid w:val="5A027705"/>
    <w:rsid w:val="5A217DCA"/>
    <w:rsid w:val="5A276988"/>
    <w:rsid w:val="5A33357F"/>
    <w:rsid w:val="5A386DE8"/>
    <w:rsid w:val="5A4B265F"/>
    <w:rsid w:val="5A645996"/>
    <w:rsid w:val="5A880DC1"/>
    <w:rsid w:val="5A8E4C59"/>
    <w:rsid w:val="5A985AD8"/>
    <w:rsid w:val="5AA9087F"/>
    <w:rsid w:val="5AB344EB"/>
    <w:rsid w:val="5AB741B0"/>
    <w:rsid w:val="5ABF6C57"/>
    <w:rsid w:val="5AC6073D"/>
    <w:rsid w:val="5ADA7B9F"/>
    <w:rsid w:val="5ADE0DA0"/>
    <w:rsid w:val="5AE67ED8"/>
    <w:rsid w:val="5AFE1DDF"/>
    <w:rsid w:val="5B142A15"/>
    <w:rsid w:val="5B307ABF"/>
    <w:rsid w:val="5B3835A7"/>
    <w:rsid w:val="5B4A5024"/>
    <w:rsid w:val="5B5E305F"/>
    <w:rsid w:val="5B68066B"/>
    <w:rsid w:val="5B7A3D15"/>
    <w:rsid w:val="5B9820C5"/>
    <w:rsid w:val="5B9C5154"/>
    <w:rsid w:val="5B9C6F02"/>
    <w:rsid w:val="5BB93F58"/>
    <w:rsid w:val="5BBD57F6"/>
    <w:rsid w:val="5BDA56C3"/>
    <w:rsid w:val="5BDC19F5"/>
    <w:rsid w:val="5BE15DD7"/>
    <w:rsid w:val="5BF5618B"/>
    <w:rsid w:val="5BF907F8"/>
    <w:rsid w:val="5BFB3FDB"/>
    <w:rsid w:val="5C4346D4"/>
    <w:rsid w:val="5C7E3909"/>
    <w:rsid w:val="5C8E3338"/>
    <w:rsid w:val="5C996E10"/>
    <w:rsid w:val="5CBF559E"/>
    <w:rsid w:val="5CC901CB"/>
    <w:rsid w:val="5CE822A7"/>
    <w:rsid w:val="5CFB0AC9"/>
    <w:rsid w:val="5D156F6C"/>
    <w:rsid w:val="5D16215B"/>
    <w:rsid w:val="5D1D22C5"/>
    <w:rsid w:val="5D335644"/>
    <w:rsid w:val="5D656145"/>
    <w:rsid w:val="5D8F6D1E"/>
    <w:rsid w:val="5DAD53F7"/>
    <w:rsid w:val="5DB774EC"/>
    <w:rsid w:val="5DEE0147"/>
    <w:rsid w:val="5E021BE6"/>
    <w:rsid w:val="5E1B6804"/>
    <w:rsid w:val="5E2356FE"/>
    <w:rsid w:val="5E341181"/>
    <w:rsid w:val="5E3A54A1"/>
    <w:rsid w:val="5E3B2A02"/>
    <w:rsid w:val="5E68748A"/>
    <w:rsid w:val="5E6C3504"/>
    <w:rsid w:val="5E6C65EF"/>
    <w:rsid w:val="5E7128C8"/>
    <w:rsid w:val="5E7F3237"/>
    <w:rsid w:val="5ED87808"/>
    <w:rsid w:val="5EFA694D"/>
    <w:rsid w:val="5F0545C8"/>
    <w:rsid w:val="5F121FCF"/>
    <w:rsid w:val="5F22227F"/>
    <w:rsid w:val="5F230066"/>
    <w:rsid w:val="5F2636B2"/>
    <w:rsid w:val="5F304531"/>
    <w:rsid w:val="5F361B6E"/>
    <w:rsid w:val="5F385F92"/>
    <w:rsid w:val="5F3B6A32"/>
    <w:rsid w:val="5F64322E"/>
    <w:rsid w:val="5F677827"/>
    <w:rsid w:val="5F6F783D"/>
    <w:rsid w:val="5F7A47F1"/>
    <w:rsid w:val="5F811083"/>
    <w:rsid w:val="5F97010C"/>
    <w:rsid w:val="5FA56FE4"/>
    <w:rsid w:val="5FAC1020"/>
    <w:rsid w:val="5FAD306B"/>
    <w:rsid w:val="5FF44F04"/>
    <w:rsid w:val="600E7C34"/>
    <w:rsid w:val="60110DB2"/>
    <w:rsid w:val="60196D73"/>
    <w:rsid w:val="60261490"/>
    <w:rsid w:val="604300C7"/>
    <w:rsid w:val="60550FF6"/>
    <w:rsid w:val="605A584B"/>
    <w:rsid w:val="605C5479"/>
    <w:rsid w:val="608308BF"/>
    <w:rsid w:val="60995CEB"/>
    <w:rsid w:val="60C43183"/>
    <w:rsid w:val="60E5261E"/>
    <w:rsid w:val="60F021CA"/>
    <w:rsid w:val="60FD5815"/>
    <w:rsid w:val="61021F99"/>
    <w:rsid w:val="61155001"/>
    <w:rsid w:val="612415A4"/>
    <w:rsid w:val="61270B36"/>
    <w:rsid w:val="613978E2"/>
    <w:rsid w:val="613D4CE3"/>
    <w:rsid w:val="614374E0"/>
    <w:rsid w:val="61686204"/>
    <w:rsid w:val="61774699"/>
    <w:rsid w:val="6189617B"/>
    <w:rsid w:val="618C100C"/>
    <w:rsid w:val="619D39D4"/>
    <w:rsid w:val="619F68A3"/>
    <w:rsid w:val="61B256D1"/>
    <w:rsid w:val="61C13B66"/>
    <w:rsid w:val="61C84EF5"/>
    <w:rsid w:val="61CD6067"/>
    <w:rsid w:val="61D05B58"/>
    <w:rsid w:val="61D218D0"/>
    <w:rsid w:val="61DB4C28"/>
    <w:rsid w:val="61E57855"/>
    <w:rsid w:val="61E635CD"/>
    <w:rsid w:val="61EB0BE3"/>
    <w:rsid w:val="61EE2402"/>
    <w:rsid w:val="6208407F"/>
    <w:rsid w:val="621719D8"/>
    <w:rsid w:val="622004CC"/>
    <w:rsid w:val="622A0E05"/>
    <w:rsid w:val="622B7232"/>
    <w:rsid w:val="625C2EC9"/>
    <w:rsid w:val="62665FC5"/>
    <w:rsid w:val="62675BA2"/>
    <w:rsid w:val="62881996"/>
    <w:rsid w:val="6292559B"/>
    <w:rsid w:val="62AF236A"/>
    <w:rsid w:val="62DB47B4"/>
    <w:rsid w:val="62E33669"/>
    <w:rsid w:val="62E90B9B"/>
    <w:rsid w:val="62F323C0"/>
    <w:rsid w:val="63097573"/>
    <w:rsid w:val="631A4307"/>
    <w:rsid w:val="63247579"/>
    <w:rsid w:val="63256B64"/>
    <w:rsid w:val="633A23FA"/>
    <w:rsid w:val="633D721D"/>
    <w:rsid w:val="63527395"/>
    <w:rsid w:val="636A0854"/>
    <w:rsid w:val="63724376"/>
    <w:rsid w:val="63742EAA"/>
    <w:rsid w:val="63750765"/>
    <w:rsid w:val="637E1F7D"/>
    <w:rsid w:val="63984453"/>
    <w:rsid w:val="63985CE1"/>
    <w:rsid w:val="639F57E1"/>
    <w:rsid w:val="63AF49AD"/>
    <w:rsid w:val="63B72044"/>
    <w:rsid w:val="63BE035D"/>
    <w:rsid w:val="63D400F2"/>
    <w:rsid w:val="63D7141F"/>
    <w:rsid w:val="63E30BC6"/>
    <w:rsid w:val="641038BF"/>
    <w:rsid w:val="64264155"/>
    <w:rsid w:val="642B176B"/>
    <w:rsid w:val="643728BE"/>
    <w:rsid w:val="643B6113"/>
    <w:rsid w:val="644264A6"/>
    <w:rsid w:val="644454B9"/>
    <w:rsid w:val="644B4892"/>
    <w:rsid w:val="645C45AB"/>
    <w:rsid w:val="645C7B76"/>
    <w:rsid w:val="647D6AD4"/>
    <w:rsid w:val="64A90FB9"/>
    <w:rsid w:val="64BB03DA"/>
    <w:rsid w:val="64BE6F65"/>
    <w:rsid w:val="64C179D9"/>
    <w:rsid w:val="64C33752"/>
    <w:rsid w:val="64EA231B"/>
    <w:rsid w:val="6511270F"/>
    <w:rsid w:val="653700A8"/>
    <w:rsid w:val="6541059F"/>
    <w:rsid w:val="65612EED"/>
    <w:rsid w:val="65646CE3"/>
    <w:rsid w:val="657131AE"/>
    <w:rsid w:val="657A3E7C"/>
    <w:rsid w:val="65A17F37"/>
    <w:rsid w:val="65A40D3D"/>
    <w:rsid w:val="65AB66C0"/>
    <w:rsid w:val="65B71DF4"/>
    <w:rsid w:val="65B8702E"/>
    <w:rsid w:val="65BF660F"/>
    <w:rsid w:val="65C83440"/>
    <w:rsid w:val="65D21DE8"/>
    <w:rsid w:val="65DC0C44"/>
    <w:rsid w:val="65E9368C"/>
    <w:rsid w:val="65E9543A"/>
    <w:rsid w:val="660F5BEF"/>
    <w:rsid w:val="66216982"/>
    <w:rsid w:val="663A2D5F"/>
    <w:rsid w:val="663F2978"/>
    <w:rsid w:val="664E2757"/>
    <w:rsid w:val="66580ADF"/>
    <w:rsid w:val="66711D21"/>
    <w:rsid w:val="66983372"/>
    <w:rsid w:val="66AB2F1F"/>
    <w:rsid w:val="66BD5EAD"/>
    <w:rsid w:val="66C10550"/>
    <w:rsid w:val="66C820FF"/>
    <w:rsid w:val="670E1721"/>
    <w:rsid w:val="672D5072"/>
    <w:rsid w:val="673672A3"/>
    <w:rsid w:val="67446DCC"/>
    <w:rsid w:val="67486190"/>
    <w:rsid w:val="6753700F"/>
    <w:rsid w:val="67582877"/>
    <w:rsid w:val="67642FCA"/>
    <w:rsid w:val="676A6106"/>
    <w:rsid w:val="676C00D0"/>
    <w:rsid w:val="67795BF1"/>
    <w:rsid w:val="677B47B7"/>
    <w:rsid w:val="678B628A"/>
    <w:rsid w:val="67A91325"/>
    <w:rsid w:val="67BF6452"/>
    <w:rsid w:val="67E6555D"/>
    <w:rsid w:val="67EC4804"/>
    <w:rsid w:val="67F32716"/>
    <w:rsid w:val="681A18DB"/>
    <w:rsid w:val="681A5D7E"/>
    <w:rsid w:val="681B0945"/>
    <w:rsid w:val="68232E85"/>
    <w:rsid w:val="682E182A"/>
    <w:rsid w:val="68311596"/>
    <w:rsid w:val="685874CE"/>
    <w:rsid w:val="68744B4F"/>
    <w:rsid w:val="68A63977"/>
    <w:rsid w:val="68A86D25"/>
    <w:rsid w:val="68AC66DB"/>
    <w:rsid w:val="68B0146E"/>
    <w:rsid w:val="68D95F8E"/>
    <w:rsid w:val="68F6059A"/>
    <w:rsid w:val="69132EFA"/>
    <w:rsid w:val="691D0746"/>
    <w:rsid w:val="697430AD"/>
    <w:rsid w:val="699F53F8"/>
    <w:rsid w:val="69A00505"/>
    <w:rsid w:val="69AE091A"/>
    <w:rsid w:val="69D63F27"/>
    <w:rsid w:val="69DB32EB"/>
    <w:rsid w:val="69DD7064"/>
    <w:rsid w:val="69E50157"/>
    <w:rsid w:val="69E6093C"/>
    <w:rsid w:val="69E91EAC"/>
    <w:rsid w:val="69F95421"/>
    <w:rsid w:val="6A002D52"/>
    <w:rsid w:val="6A072332"/>
    <w:rsid w:val="6A125ADB"/>
    <w:rsid w:val="6A1378BC"/>
    <w:rsid w:val="6A23552C"/>
    <w:rsid w:val="6A2B7DCF"/>
    <w:rsid w:val="6A486BD3"/>
    <w:rsid w:val="6A5B4E43"/>
    <w:rsid w:val="6A5C267E"/>
    <w:rsid w:val="6A75729C"/>
    <w:rsid w:val="6A833EAB"/>
    <w:rsid w:val="6A912744"/>
    <w:rsid w:val="6A9A4F55"/>
    <w:rsid w:val="6AC32645"/>
    <w:rsid w:val="6AC50223"/>
    <w:rsid w:val="6ACB7804"/>
    <w:rsid w:val="6ACD532A"/>
    <w:rsid w:val="6AE84539"/>
    <w:rsid w:val="6AF44665"/>
    <w:rsid w:val="6AF6662F"/>
    <w:rsid w:val="6AFA39C2"/>
    <w:rsid w:val="6B141615"/>
    <w:rsid w:val="6B254A40"/>
    <w:rsid w:val="6B2D401B"/>
    <w:rsid w:val="6B3156B9"/>
    <w:rsid w:val="6B335B41"/>
    <w:rsid w:val="6B5606B5"/>
    <w:rsid w:val="6B650DEB"/>
    <w:rsid w:val="6B6712DB"/>
    <w:rsid w:val="6B6932A5"/>
    <w:rsid w:val="6B73105E"/>
    <w:rsid w:val="6BA87BF7"/>
    <w:rsid w:val="6BAF4A30"/>
    <w:rsid w:val="6BB107A8"/>
    <w:rsid w:val="6BBE52E8"/>
    <w:rsid w:val="6BDA4DC3"/>
    <w:rsid w:val="6BE77741"/>
    <w:rsid w:val="6C11219C"/>
    <w:rsid w:val="6C134FBF"/>
    <w:rsid w:val="6C3D6BDD"/>
    <w:rsid w:val="6C6C7402"/>
    <w:rsid w:val="6C735A5D"/>
    <w:rsid w:val="6C947A30"/>
    <w:rsid w:val="6C9A123C"/>
    <w:rsid w:val="6CAD0130"/>
    <w:rsid w:val="6CBE4402"/>
    <w:rsid w:val="6CC10EBE"/>
    <w:rsid w:val="6CE05BBD"/>
    <w:rsid w:val="6CE77633"/>
    <w:rsid w:val="6CE95D1F"/>
    <w:rsid w:val="6D0F1891"/>
    <w:rsid w:val="6D110E93"/>
    <w:rsid w:val="6D7F2E3D"/>
    <w:rsid w:val="6DCB070C"/>
    <w:rsid w:val="6DD8423E"/>
    <w:rsid w:val="6DE06768"/>
    <w:rsid w:val="6DEF7365"/>
    <w:rsid w:val="6DF36E56"/>
    <w:rsid w:val="6DFC22F9"/>
    <w:rsid w:val="6DFF19A8"/>
    <w:rsid w:val="6DFF1C9E"/>
    <w:rsid w:val="6E0472B5"/>
    <w:rsid w:val="6E160D96"/>
    <w:rsid w:val="6E227FB9"/>
    <w:rsid w:val="6E2B03B0"/>
    <w:rsid w:val="6E2E03ED"/>
    <w:rsid w:val="6E7F693B"/>
    <w:rsid w:val="6E8B6326"/>
    <w:rsid w:val="6EA34013"/>
    <w:rsid w:val="6EA36ACE"/>
    <w:rsid w:val="6EA41179"/>
    <w:rsid w:val="6EB309D4"/>
    <w:rsid w:val="6EBD1AB8"/>
    <w:rsid w:val="6EBE7FFC"/>
    <w:rsid w:val="6EBF0EB7"/>
    <w:rsid w:val="6EDB7958"/>
    <w:rsid w:val="6EF73E0E"/>
    <w:rsid w:val="6F006EBE"/>
    <w:rsid w:val="6F0D03EB"/>
    <w:rsid w:val="6F2C3F7D"/>
    <w:rsid w:val="6F3C4B7D"/>
    <w:rsid w:val="6F4B209D"/>
    <w:rsid w:val="6F563B40"/>
    <w:rsid w:val="6F631F86"/>
    <w:rsid w:val="6F6F4C02"/>
    <w:rsid w:val="6F717C45"/>
    <w:rsid w:val="6F8D3F04"/>
    <w:rsid w:val="6FCD36D6"/>
    <w:rsid w:val="6FCF35D4"/>
    <w:rsid w:val="6FDB2297"/>
    <w:rsid w:val="6FEF0186"/>
    <w:rsid w:val="6FF15617"/>
    <w:rsid w:val="70025A76"/>
    <w:rsid w:val="70125B1E"/>
    <w:rsid w:val="70157679"/>
    <w:rsid w:val="703266AC"/>
    <w:rsid w:val="703674CE"/>
    <w:rsid w:val="703D58EC"/>
    <w:rsid w:val="705838E8"/>
    <w:rsid w:val="705B0CE2"/>
    <w:rsid w:val="705B5186"/>
    <w:rsid w:val="705F29B2"/>
    <w:rsid w:val="70630F01"/>
    <w:rsid w:val="70673B2B"/>
    <w:rsid w:val="70700434"/>
    <w:rsid w:val="7075123D"/>
    <w:rsid w:val="707A6EFB"/>
    <w:rsid w:val="708C3591"/>
    <w:rsid w:val="708F6BDE"/>
    <w:rsid w:val="70A55994"/>
    <w:rsid w:val="70A95C82"/>
    <w:rsid w:val="70AF2E5C"/>
    <w:rsid w:val="70BA00FF"/>
    <w:rsid w:val="70BF15CD"/>
    <w:rsid w:val="70CD5D50"/>
    <w:rsid w:val="70DA42FD"/>
    <w:rsid w:val="70E37655"/>
    <w:rsid w:val="70E707C8"/>
    <w:rsid w:val="70F44E92"/>
    <w:rsid w:val="71066EA0"/>
    <w:rsid w:val="71086226"/>
    <w:rsid w:val="711C2B67"/>
    <w:rsid w:val="712B6906"/>
    <w:rsid w:val="71333A0D"/>
    <w:rsid w:val="713546B9"/>
    <w:rsid w:val="713B1F03"/>
    <w:rsid w:val="716D5171"/>
    <w:rsid w:val="716F08DC"/>
    <w:rsid w:val="718F6E95"/>
    <w:rsid w:val="71A1306D"/>
    <w:rsid w:val="71C251A1"/>
    <w:rsid w:val="71C75085"/>
    <w:rsid w:val="71E80C9B"/>
    <w:rsid w:val="71F94C57"/>
    <w:rsid w:val="71FB452B"/>
    <w:rsid w:val="72012E5A"/>
    <w:rsid w:val="7201386A"/>
    <w:rsid w:val="72014164"/>
    <w:rsid w:val="72113D4E"/>
    <w:rsid w:val="721970A7"/>
    <w:rsid w:val="72247F25"/>
    <w:rsid w:val="722872EA"/>
    <w:rsid w:val="724D5DB4"/>
    <w:rsid w:val="72587BCF"/>
    <w:rsid w:val="72626F6D"/>
    <w:rsid w:val="726A16B0"/>
    <w:rsid w:val="72A11576"/>
    <w:rsid w:val="72A21CFF"/>
    <w:rsid w:val="72A514C9"/>
    <w:rsid w:val="72A71561"/>
    <w:rsid w:val="72AA36D7"/>
    <w:rsid w:val="72B64306"/>
    <w:rsid w:val="72C25048"/>
    <w:rsid w:val="72D65ACA"/>
    <w:rsid w:val="72E639E6"/>
    <w:rsid w:val="72F46EDD"/>
    <w:rsid w:val="72F97E76"/>
    <w:rsid w:val="732B0E40"/>
    <w:rsid w:val="732C6966"/>
    <w:rsid w:val="733028FA"/>
    <w:rsid w:val="7367523C"/>
    <w:rsid w:val="7367613B"/>
    <w:rsid w:val="736A5E0C"/>
    <w:rsid w:val="73812244"/>
    <w:rsid w:val="739509AF"/>
    <w:rsid w:val="73A44FA1"/>
    <w:rsid w:val="73A82490"/>
    <w:rsid w:val="73BF3B7C"/>
    <w:rsid w:val="73C31078"/>
    <w:rsid w:val="73CF5B6F"/>
    <w:rsid w:val="73F25E01"/>
    <w:rsid w:val="741748B5"/>
    <w:rsid w:val="742257C2"/>
    <w:rsid w:val="742F670E"/>
    <w:rsid w:val="743957DE"/>
    <w:rsid w:val="744E335C"/>
    <w:rsid w:val="744F4568"/>
    <w:rsid w:val="74582FB2"/>
    <w:rsid w:val="74634609"/>
    <w:rsid w:val="746642C7"/>
    <w:rsid w:val="74A90CCF"/>
    <w:rsid w:val="74DB0643"/>
    <w:rsid w:val="74F71921"/>
    <w:rsid w:val="74F92FE0"/>
    <w:rsid w:val="75176DDB"/>
    <w:rsid w:val="75377F70"/>
    <w:rsid w:val="7547061F"/>
    <w:rsid w:val="7568250B"/>
    <w:rsid w:val="757C3BD5"/>
    <w:rsid w:val="758E1B44"/>
    <w:rsid w:val="759727BC"/>
    <w:rsid w:val="759C77BB"/>
    <w:rsid w:val="75C31803"/>
    <w:rsid w:val="75CF63FA"/>
    <w:rsid w:val="75E83018"/>
    <w:rsid w:val="75EE213C"/>
    <w:rsid w:val="75F145C2"/>
    <w:rsid w:val="760822B8"/>
    <w:rsid w:val="760A0EAA"/>
    <w:rsid w:val="76140AC9"/>
    <w:rsid w:val="7621652A"/>
    <w:rsid w:val="762E1165"/>
    <w:rsid w:val="763A5903"/>
    <w:rsid w:val="764010A6"/>
    <w:rsid w:val="76504D7D"/>
    <w:rsid w:val="76511A04"/>
    <w:rsid w:val="76567F16"/>
    <w:rsid w:val="76733229"/>
    <w:rsid w:val="7678652D"/>
    <w:rsid w:val="76AC04E9"/>
    <w:rsid w:val="76EC08E6"/>
    <w:rsid w:val="76F141A6"/>
    <w:rsid w:val="76FF38FB"/>
    <w:rsid w:val="77177756"/>
    <w:rsid w:val="771A202E"/>
    <w:rsid w:val="772F0F36"/>
    <w:rsid w:val="773504DF"/>
    <w:rsid w:val="777A4DDF"/>
    <w:rsid w:val="779A47E6"/>
    <w:rsid w:val="77A12A17"/>
    <w:rsid w:val="77AF64E3"/>
    <w:rsid w:val="77B533CE"/>
    <w:rsid w:val="77BF5FFA"/>
    <w:rsid w:val="781E71C5"/>
    <w:rsid w:val="78314162"/>
    <w:rsid w:val="78403796"/>
    <w:rsid w:val="784C1F84"/>
    <w:rsid w:val="785903B2"/>
    <w:rsid w:val="78591FAB"/>
    <w:rsid w:val="785F594F"/>
    <w:rsid w:val="786D5A56"/>
    <w:rsid w:val="787A302B"/>
    <w:rsid w:val="78864583"/>
    <w:rsid w:val="788E1E5D"/>
    <w:rsid w:val="789631DA"/>
    <w:rsid w:val="78A34AE1"/>
    <w:rsid w:val="78B33DB1"/>
    <w:rsid w:val="78C175F0"/>
    <w:rsid w:val="78C37D6C"/>
    <w:rsid w:val="78F65769"/>
    <w:rsid w:val="78FB3321"/>
    <w:rsid w:val="79002D6F"/>
    <w:rsid w:val="79052262"/>
    <w:rsid w:val="79257C5F"/>
    <w:rsid w:val="792E51E6"/>
    <w:rsid w:val="795357AE"/>
    <w:rsid w:val="79627585"/>
    <w:rsid w:val="797C0647"/>
    <w:rsid w:val="797C23F5"/>
    <w:rsid w:val="79815591"/>
    <w:rsid w:val="7998397B"/>
    <w:rsid w:val="79A25BD4"/>
    <w:rsid w:val="79A731EA"/>
    <w:rsid w:val="79EA79AB"/>
    <w:rsid w:val="79EB063E"/>
    <w:rsid w:val="79F24465"/>
    <w:rsid w:val="79F73BFC"/>
    <w:rsid w:val="7A1B7E60"/>
    <w:rsid w:val="7A4A548B"/>
    <w:rsid w:val="7A546ECE"/>
    <w:rsid w:val="7A730ED5"/>
    <w:rsid w:val="7A8A28F0"/>
    <w:rsid w:val="7A995229"/>
    <w:rsid w:val="7AC53928"/>
    <w:rsid w:val="7AE2272C"/>
    <w:rsid w:val="7AE3135D"/>
    <w:rsid w:val="7AE91D0C"/>
    <w:rsid w:val="7B07055D"/>
    <w:rsid w:val="7B1120D2"/>
    <w:rsid w:val="7B1A0118"/>
    <w:rsid w:val="7B5F3D7C"/>
    <w:rsid w:val="7B643141"/>
    <w:rsid w:val="7B694BFB"/>
    <w:rsid w:val="7B841A35"/>
    <w:rsid w:val="7B8565BE"/>
    <w:rsid w:val="7B9A4DB4"/>
    <w:rsid w:val="7BA05BAE"/>
    <w:rsid w:val="7BA7127F"/>
    <w:rsid w:val="7BAE2FFF"/>
    <w:rsid w:val="7BBB6258"/>
    <w:rsid w:val="7BCE00B7"/>
    <w:rsid w:val="7C203139"/>
    <w:rsid w:val="7C2471BE"/>
    <w:rsid w:val="7C320365"/>
    <w:rsid w:val="7C336FB7"/>
    <w:rsid w:val="7C464F3C"/>
    <w:rsid w:val="7C492337"/>
    <w:rsid w:val="7C4E303B"/>
    <w:rsid w:val="7C5E6936"/>
    <w:rsid w:val="7C6F6241"/>
    <w:rsid w:val="7C7D510B"/>
    <w:rsid w:val="7C8E350B"/>
    <w:rsid w:val="7CAD0B17"/>
    <w:rsid w:val="7CC803FE"/>
    <w:rsid w:val="7CDA1885"/>
    <w:rsid w:val="7D032E2D"/>
    <w:rsid w:val="7D0D15B6"/>
    <w:rsid w:val="7D16490F"/>
    <w:rsid w:val="7D276B1C"/>
    <w:rsid w:val="7D350784"/>
    <w:rsid w:val="7D51187E"/>
    <w:rsid w:val="7D5B4A17"/>
    <w:rsid w:val="7D637428"/>
    <w:rsid w:val="7D7D04EA"/>
    <w:rsid w:val="7D931A9E"/>
    <w:rsid w:val="7D9D47E7"/>
    <w:rsid w:val="7DAC14BD"/>
    <w:rsid w:val="7DB51DDF"/>
    <w:rsid w:val="7DD032B5"/>
    <w:rsid w:val="7DD23948"/>
    <w:rsid w:val="7DDB1D8C"/>
    <w:rsid w:val="7DDC02C1"/>
    <w:rsid w:val="7DEE7C69"/>
    <w:rsid w:val="7DFB1735"/>
    <w:rsid w:val="7E1A5BC3"/>
    <w:rsid w:val="7E283155"/>
    <w:rsid w:val="7E3F7E95"/>
    <w:rsid w:val="7E4C7C38"/>
    <w:rsid w:val="7E561737"/>
    <w:rsid w:val="7E6B47E6"/>
    <w:rsid w:val="7E8050B8"/>
    <w:rsid w:val="7E867872"/>
    <w:rsid w:val="7E9A5185"/>
    <w:rsid w:val="7EB50157"/>
    <w:rsid w:val="7EC860DC"/>
    <w:rsid w:val="7EE60B51"/>
    <w:rsid w:val="7EEF5417"/>
    <w:rsid w:val="7EFB6737"/>
    <w:rsid w:val="7F01514B"/>
    <w:rsid w:val="7F0B64F1"/>
    <w:rsid w:val="7F2026AF"/>
    <w:rsid w:val="7F3D5C35"/>
    <w:rsid w:val="7F482D79"/>
    <w:rsid w:val="7F485D15"/>
    <w:rsid w:val="7F995383"/>
    <w:rsid w:val="7F9C1DD0"/>
    <w:rsid w:val="7FB94832"/>
    <w:rsid w:val="7FBB79EF"/>
    <w:rsid w:val="7FDD3AC7"/>
    <w:rsid w:val="7FE726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qFormat/>
    <w:uiPriority w:val="1"/>
    <w:pPr>
      <w:spacing w:before="49"/>
      <w:ind w:right="4"/>
      <w:jc w:val="center"/>
      <w:outlineLvl w:val="0"/>
    </w:pPr>
    <w:rPr>
      <w:b/>
      <w:bCs/>
      <w:sz w:val="36"/>
      <w:szCs w:val="36"/>
    </w:rPr>
  </w:style>
  <w:style w:type="paragraph" w:styleId="3">
    <w:name w:val="heading 2"/>
    <w:basedOn w:val="1"/>
    <w:next w:val="1"/>
    <w:qFormat/>
    <w:uiPriority w:val="1"/>
    <w:pPr>
      <w:ind w:left="2476"/>
      <w:outlineLvl w:val="1"/>
    </w:pPr>
    <w:rPr>
      <w:sz w:val="36"/>
      <w:szCs w:val="36"/>
    </w:rPr>
  </w:style>
  <w:style w:type="paragraph" w:styleId="4">
    <w:name w:val="heading 3"/>
    <w:basedOn w:val="1"/>
    <w:next w:val="1"/>
    <w:qFormat/>
    <w:uiPriority w:val="1"/>
    <w:pPr>
      <w:spacing w:before="54"/>
      <w:jc w:val="center"/>
      <w:outlineLvl w:val="2"/>
    </w:pPr>
    <w:rPr>
      <w:b/>
      <w:bCs/>
      <w:sz w:val="32"/>
      <w:szCs w:val="32"/>
    </w:rPr>
  </w:style>
  <w:style w:type="paragraph" w:styleId="5">
    <w:name w:val="heading 4"/>
    <w:basedOn w:val="1"/>
    <w:next w:val="1"/>
    <w:qFormat/>
    <w:uiPriority w:val="1"/>
    <w:pPr>
      <w:ind w:right="3"/>
      <w:jc w:val="center"/>
      <w:outlineLvl w:val="3"/>
    </w:pPr>
    <w:rPr>
      <w:b/>
      <w:bCs/>
      <w:sz w:val="28"/>
      <w:szCs w:val="28"/>
    </w:rPr>
  </w:style>
  <w:style w:type="paragraph" w:styleId="6">
    <w:name w:val="heading 5"/>
    <w:basedOn w:val="1"/>
    <w:next w:val="1"/>
    <w:qFormat/>
    <w:uiPriority w:val="1"/>
    <w:pPr>
      <w:ind w:left="928"/>
      <w:outlineLvl w:val="4"/>
    </w:pPr>
    <w:rPr>
      <w:sz w:val="28"/>
      <w:szCs w:val="28"/>
    </w:rPr>
  </w:style>
  <w:style w:type="paragraph" w:styleId="7">
    <w:name w:val="heading 6"/>
    <w:basedOn w:val="1"/>
    <w:next w:val="1"/>
    <w:qFormat/>
    <w:uiPriority w:val="1"/>
    <w:pPr>
      <w:ind w:left="740"/>
      <w:outlineLvl w:val="5"/>
    </w:pPr>
    <w:rPr>
      <w:b/>
      <w:bCs/>
      <w:sz w:val="24"/>
      <w:szCs w:val="24"/>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8">
    <w:name w:val="Normal Indent"/>
    <w:basedOn w:val="1"/>
    <w:qFormat/>
    <w:uiPriority w:val="0"/>
    <w:pPr>
      <w:ind w:firstLine="420" w:firstLineChars="200"/>
    </w:pPr>
    <w:rPr>
      <w:sz w:val="20"/>
      <w:szCs w:val="20"/>
    </w:rPr>
  </w:style>
  <w:style w:type="paragraph" w:styleId="9">
    <w:name w:val="toa heading"/>
    <w:basedOn w:val="1"/>
    <w:next w:val="1"/>
    <w:qFormat/>
    <w:uiPriority w:val="0"/>
    <w:pPr>
      <w:spacing w:before="120"/>
    </w:pPr>
    <w:rPr>
      <w:rFonts w:ascii="Arial" w:hAnsi="Arial"/>
      <w:sz w:val="24"/>
    </w:rPr>
  </w:style>
  <w:style w:type="paragraph" w:styleId="10">
    <w:name w:val="annotation text"/>
    <w:basedOn w:val="1"/>
    <w:qFormat/>
    <w:uiPriority w:val="0"/>
  </w:style>
  <w:style w:type="paragraph" w:styleId="11">
    <w:name w:val="Body Text 3"/>
    <w:basedOn w:val="1"/>
    <w:qFormat/>
    <w:uiPriority w:val="0"/>
    <w:rPr>
      <w:rFonts w:ascii="宋体" w:eastAsia="宋体"/>
      <w:color w:val="000000"/>
      <w:kern w:val="2"/>
      <w:sz w:val="32"/>
      <w:lang w:val="en-US" w:eastAsia="zh-CN" w:bidi="ar-SA"/>
    </w:rPr>
  </w:style>
  <w:style w:type="paragraph" w:styleId="12">
    <w:name w:val="Body Text"/>
    <w:basedOn w:val="1"/>
    <w:next w:val="1"/>
    <w:qFormat/>
    <w:uiPriority w:val="1"/>
    <w:rPr>
      <w:sz w:val="24"/>
      <w:szCs w:val="24"/>
    </w:rPr>
  </w:style>
  <w:style w:type="paragraph" w:styleId="13">
    <w:name w:val="Body Text Indent"/>
    <w:basedOn w:val="1"/>
    <w:next w:val="1"/>
    <w:qFormat/>
    <w:uiPriority w:val="0"/>
    <w:pPr>
      <w:ind w:firstLine="560" w:firstLineChars="200"/>
    </w:pPr>
  </w:style>
  <w:style w:type="paragraph" w:styleId="14">
    <w:name w:val="toc 8"/>
    <w:basedOn w:val="1"/>
    <w:next w:val="1"/>
    <w:qFormat/>
    <w:uiPriority w:val="39"/>
    <w:pPr>
      <w:ind w:left="2940" w:leftChars="1400"/>
    </w:pPr>
  </w:style>
  <w:style w:type="paragraph" w:styleId="15">
    <w:name w:val="Balloon Text"/>
    <w:basedOn w:val="1"/>
    <w:link w:val="42"/>
    <w:qFormat/>
    <w:uiPriority w:val="0"/>
    <w:rPr>
      <w:sz w:val="18"/>
      <w:szCs w:val="18"/>
    </w:rPr>
  </w:style>
  <w:style w:type="paragraph" w:styleId="16">
    <w:name w:val="footer"/>
    <w:basedOn w:val="1"/>
    <w:next w:val="14"/>
    <w:qFormat/>
    <w:uiPriority w:val="0"/>
    <w:pPr>
      <w:framePr w:wrap="around" w:vAnchor="text" w:hAnchor="page" w:x="2496" w:y="-225"/>
      <w:tabs>
        <w:tab w:val="center" w:pos="4153"/>
        <w:tab w:val="right" w:pos="8306"/>
      </w:tabs>
      <w:snapToGrid w:val="0"/>
      <w:ind w:right="360"/>
      <w:jc w:val="center"/>
    </w:pPr>
    <w:rPr>
      <w:sz w:val="18"/>
      <w:szCs w:val="18"/>
      <w:u w:val="single"/>
    </w:rPr>
  </w:style>
  <w:style w:type="paragraph" w:styleId="17">
    <w:name w:val="header"/>
    <w:basedOn w:val="1"/>
    <w:link w:val="48"/>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1"/>
    <w:pPr>
      <w:spacing w:before="421"/>
      <w:ind w:right="2"/>
      <w:jc w:val="center"/>
    </w:pPr>
    <w:rPr>
      <w:sz w:val="28"/>
      <w:szCs w:val="28"/>
    </w:rPr>
  </w:style>
  <w:style w:type="paragraph" w:styleId="19">
    <w:name w:val="Body Text 2"/>
    <w:basedOn w:val="1"/>
    <w:qFormat/>
    <w:uiPriority w:val="0"/>
    <w:pPr>
      <w:spacing w:after="120" w:line="480" w:lineRule="auto"/>
    </w:pPr>
  </w:style>
  <w:style w:type="paragraph" w:styleId="20">
    <w:name w:val="Normal (Web)"/>
    <w:basedOn w:val="1"/>
    <w:unhideWhenUsed/>
    <w:qFormat/>
    <w:uiPriority w:val="0"/>
    <w:pPr>
      <w:widowControl/>
    </w:pPr>
    <w:rPr>
      <w:sz w:val="24"/>
    </w:rPr>
  </w:style>
  <w:style w:type="paragraph" w:styleId="21">
    <w:name w:val="Body Text First Indent"/>
    <w:basedOn w:val="12"/>
    <w:next w:val="22"/>
    <w:unhideWhenUsed/>
    <w:qFormat/>
    <w:uiPriority w:val="99"/>
    <w:pPr>
      <w:ind w:firstLine="420" w:firstLineChars="100"/>
    </w:pPr>
  </w:style>
  <w:style w:type="paragraph" w:styleId="22">
    <w:name w:val="Body Text First Indent 2"/>
    <w:basedOn w:val="13"/>
    <w:next w:val="1"/>
    <w:qFormat/>
    <w:uiPriority w:val="0"/>
    <w:pPr>
      <w:ind w:firstLine="420"/>
    </w:p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bCs/>
    </w:rPr>
  </w:style>
  <w:style w:type="character" w:styleId="27">
    <w:name w:val="FollowedHyperlink"/>
    <w:basedOn w:val="25"/>
    <w:qFormat/>
    <w:uiPriority w:val="0"/>
    <w:rPr>
      <w:color w:val="800080"/>
      <w:u w:val="none"/>
    </w:rPr>
  </w:style>
  <w:style w:type="character" w:styleId="28">
    <w:name w:val="Emphasis"/>
    <w:basedOn w:val="25"/>
    <w:qFormat/>
    <w:uiPriority w:val="0"/>
    <w:rPr>
      <w:b/>
      <w:bCs/>
    </w:rPr>
  </w:style>
  <w:style w:type="character" w:styleId="29">
    <w:name w:val="HTML Definition"/>
    <w:basedOn w:val="25"/>
    <w:qFormat/>
    <w:uiPriority w:val="0"/>
  </w:style>
  <w:style w:type="character" w:styleId="30">
    <w:name w:val="HTML Typewriter"/>
    <w:basedOn w:val="25"/>
    <w:qFormat/>
    <w:uiPriority w:val="0"/>
    <w:rPr>
      <w:rFonts w:hint="default" w:ascii="monospace" w:hAnsi="monospace" w:eastAsia="monospace" w:cs="monospace"/>
      <w:sz w:val="20"/>
    </w:rPr>
  </w:style>
  <w:style w:type="character" w:styleId="31">
    <w:name w:val="HTML Acronym"/>
    <w:basedOn w:val="25"/>
    <w:qFormat/>
    <w:uiPriority w:val="0"/>
    <w:rPr>
      <w:rFonts w:ascii="微软雅黑" w:hAnsi="微软雅黑" w:eastAsia="微软雅黑" w:cs="微软雅黑"/>
      <w:color w:val="FFFFFF"/>
      <w:sz w:val="19"/>
      <w:szCs w:val="19"/>
      <w:u w:val="none"/>
      <w:shd w:val="clear" w:color="auto" w:fill="59C2E6"/>
    </w:rPr>
  </w:style>
  <w:style w:type="character" w:styleId="32">
    <w:name w:val="HTML Variable"/>
    <w:basedOn w:val="25"/>
    <w:qFormat/>
    <w:uiPriority w:val="0"/>
  </w:style>
  <w:style w:type="character" w:styleId="33">
    <w:name w:val="Hyperlink"/>
    <w:basedOn w:val="25"/>
    <w:qFormat/>
    <w:uiPriority w:val="0"/>
    <w:rPr>
      <w:color w:val="0000FF"/>
      <w:u w:val="none"/>
    </w:rPr>
  </w:style>
  <w:style w:type="character" w:styleId="34">
    <w:name w:val="HTML Code"/>
    <w:basedOn w:val="25"/>
    <w:qFormat/>
    <w:uiPriority w:val="0"/>
    <w:rPr>
      <w:rFonts w:ascii="monospace" w:hAnsi="monospace" w:eastAsia="monospace" w:cs="monospace"/>
      <w:sz w:val="20"/>
    </w:rPr>
  </w:style>
  <w:style w:type="character" w:styleId="35">
    <w:name w:val="HTML Cite"/>
    <w:basedOn w:val="25"/>
    <w:qFormat/>
    <w:uiPriority w:val="0"/>
    <w:rPr>
      <w:bdr w:val="single" w:color="9A9A9A" w:sz="6" w:space="0"/>
      <w:shd w:val="clear" w:color="auto" w:fill="DBDDE2"/>
    </w:rPr>
  </w:style>
  <w:style w:type="character" w:styleId="36">
    <w:name w:val="HTML Keyboard"/>
    <w:basedOn w:val="25"/>
    <w:qFormat/>
    <w:uiPriority w:val="0"/>
    <w:rPr>
      <w:rFonts w:hint="default" w:ascii="monospace" w:hAnsi="monospace" w:eastAsia="monospace" w:cs="monospace"/>
      <w:sz w:val="20"/>
    </w:rPr>
  </w:style>
  <w:style w:type="character" w:styleId="37">
    <w:name w:val="HTML Sample"/>
    <w:basedOn w:val="25"/>
    <w:qFormat/>
    <w:uiPriority w:val="0"/>
    <w:rPr>
      <w:rFonts w:hint="default" w:ascii="monospace" w:hAnsi="monospace" w:eastAsia="monospace" w:cs="monospace"/>
    </w:rPr>
  </w:style>
  <w:style w:type="table" w:customStyle="1" w:styleId="38">
    <w:name w:val="Table Normal"/>
    <w:semiHidden/>
    <w:unhideWhenUsed/>
    <w:qFormat/>
    <w:uiPriority w:val="2"/>
    <w:tblPr>
      <w:tblCellMar>
        <w:top w:w="0" w:type="dxa"/>
        <w:left w:w="0" w:type="dxa"/>
        <w:bottom w:w="0" w:type="dxa"/>
        <w:right w:w="0" w:type="dxa"/>
      </w:tblCellMar>
    </w:tblPr>
  </w:style>
  <w:style w:type="paragraph" w:styleId="39">
    <w:name w:val="List Paragraph"/>
    <w:basedOn w:val="1"/>
    <w:qFormat/>
    <w:uiPriority w:val="1"/>
    <w:pPr>
      <w:ind w:left="740" w:firstLine="480"/>
    </w:pPr>
  </w:style>
  <w:style w:type="paragraph" w:customStyle="1" w:styleId="40">
    <w:name w:val="Table Paragraph"/>
    <w:basedOn w:val="1"/>
    <w:qFormat/>
    <w:uiPriority w:val="1"/>
    <w:pPr>
      <w:jc w:val="center"/>
    </w:pPr>
  </w:style>
  <w:style w:type="paragraph" w:customStyle="1" w:styleId="41">
    <w:name w:val="正文缩进1"/>
    <w:basedOn w:val="1"/>
    <w:qFormat/>
    <w:uiPriority w:val="0"/>
    <w:pPr>
      <w:ind w:firstLine="420" w:firstLineChars="200"/>
    </w:pPr>
  </w:style>
  <w:style w:type="character" w:customStyle="1" w:styleId="42">
    <w:name w:val="批注框文本 字符"/>
    <w:basedOn w:val="25"/>
    <w:link w:val="15"/>
    <w:qFormat/>
    <w:uiPriority w:val="0"/>
    <w:rPr>
      <w:rFonts w:ascii="宋体" w:hAnsi="宋体" w:cs="宋体"/>
      <w:sz w:val="18"/>
      <w:szCs w:val="18"/>
      <w:lang w:val="zh-CN" w:bidi="zh-CN"/>
    </w:rPr>
  </w:style>
  <w:style w:type="character" w:customStyle="1" w:styleId="43">
    <w:name w:val="font61"/>
    <w:basedOn w:val="25"/>
    <w:qFormat/>
    <w:uiPriority w:val="0"/>
    <w:rPr>
      <w:rFonts w:ascii="仿宋_GB2312" w:eastAsia="仿宋_GB2312" w:cs="仿宋_GB2312"/>
      <w:color w:val="000000"/>
      <w:sz w:val="20"/>
      <w:szCs w:val="20"/>
      <w:u w:val="none"/>
    </w:rPr>
  </w:style>
  <w:style w:type="character" w:customStyle="1" w:styleId="44">
    <w:name w:val="font41"/>
    <w:basedOn w:val="25"/>
    <w:qFormat/>
    <w:uiPriority w:val="0"/>
    <w:rPr>
      <w:rFonts w:hint="eastAsia" w:ascii="宋体" w:hAnsi="宋体" w:eastAsia="宋体" w:cs="宋体"/>
      <w:color w:val="000000"/>
      <w:sz w:val="20"/>
      <w:szCs w:val="20"/>
      <w:u w:val="none"/>
    </w:rPr>
  </w:style>
  <w:style w:type="character" w:customStyle="1" w:styleId="45">
    <w:name w:val="articleitemtext1"/>
    <w:qFormat/>
    <w:uiPriority w:val="0"/>
    <w:rPr>
      <w:color w:val="000000"/>
      <w:sz w:val="18"/>
      <w:szCs w:val="18"/>
      <w:lang w:val="en-US" w:eastAsia="zh-CN" w:bidi="ar-SA"/>
    </w:rPr>
  </w:style>
  <w:style w:type="paragraph" w:customStyle="1" w:styleId="46">
    <w:name w:val="Table Text"/>
    <w:basedOn w:val="1"/>
    <w:semiHidden/>
    <w:qFormat/>
    <w:uiPriority w:val="0"/>
    <w:rPr>
      <w:sz w:val="20"/>
      <w:szCs w:val="20"/>
      <w:lang w:val="en-US" w:eastAsia="en-US" w:bidi="ar-SA"/>
    </w:rPr>
  </w:style>
  <w:style w:type="character" w:customStyle="1" w:styleId="47">
    <w:name w:val="font51"/>
    <w:basedOn w:val="25"/>
    <w:qFormat/>
    <w:uiPriority w:val="0"/>
    <w:rPr>
      <w:rFonts w:ascii="仿宋_GB2312" w:eastAsia="仿宋_GB2312" w:cs="仿宋_GB2312"/>
      <w:color w:val="000000"/>
      <w:sz w:val="20"/>
      <w:szCs w:val="20"/>
      <w:u w:val="none"/>
    </w:rPr>
  </w:style>
  <w:style w:type="character" w:customStyle="1" w:styleId="48">
    <w:name w:val="页眉 字符"/>
    <w:basedOn w:val="25"/>
    <w:link w:val="17"/>
    <w:qFormat/>
    <w:uiPriority w:val="0"/>
    <w:rPr>
      <w:rFonts w:ascii="宋体" w:hAnsi="宋体" w:cs="宋体"/>
      <w:sz w:val="18"/>
      <w:szCs w:val="18"/>
      <w:lang w:val="zh-CN" w:bidi="zh-CN"/>
    </w:rPr>
  </w:style>
  <w:style w:type="paragraph" w:customStyle="1" w:styleId="49">
    <w:name w:val="日期1"/>
    <w:basedOn w:val="1"/>
    <w:qFormat/>
    <w:uiPriority w:val="0"/>
    <w:rPr>
      <w:rFonts w:ascii="宋体"/>
      <w:sz w:val="24"/>
    </w:rPr>
  </w:style>
  <w:style w:type="paragraph" w:customStyle="1" w:styleId="50">
    <w:name w:val="页脚1"/>
    <w:basedOn w:val="1"/>
    <w:qFormat/>
    <w:uiPriority w:val="0"/>
    <w:pPr>
      <w:tabs>
        <w:tab w:val="center" w:pos="4153"/>
        <w:tab w:val="right" w:pos="8306"/>
      </w:tabs>
      <w:spacing w:line="240" w:lineRule="atLeast"/>
      <w:jc w:val="left"/>
    </w:pPr>
    <w:rPr>
      <w:kern w:val="0"/>
      <w:sz w:val="18"/>
    </w:rPr>
  </w:style>
  <w:style w:type="paragraph" w:customStyle="1" w:styleId="51">
    <w:name w:val="TOC 标题1"/>
    <w:basedOn w:val="2"/>
    <w:next w:val="1"/>
    <w:qFormat/>
    <w:uiPriority w:val="0"/>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customStyle="1" w:styleId="52">
    <w:name w:val="null3"/>
    <w:hidden/>
    <w:qFormat/>
    <w:uiPriority w:val="0"/>
    <w:rPr>
      <w:rFonts w:hint="eastAsia" w:asciiTheme="minorHAnsi" w:hAnsiTheme="minorHAnsi" w:eastAsiaTheme="minorEastAsia" w:cstheme="minorBidi"/>
      <w:lang w:val="en-US" w:eastAsia="zh-Hans"/>
    </w:rPr>
  </w:style>
  <w:style w:type="character" w:customStyle="1" w:styleId="53">
    <w:name w:val="font81"/>
    <w:basedOn w:val="25"/>
    <w:qFormat/>
    <w:uiPriority w:val="0"/>
    <w:rPr>
      <w:rFonts w:hint="eastAsia" w:ascii="宋体" w:hAnsi="宋体" w:eastAsia="宋体" w:cs="宋体"/>
      <w:color w:val="000000"/>
      <w:sz w:val="18"/>
      <w:szCs w:val="18"/>
      <w:u w:val="none"/>
    </w:rPr>
  </w:style>
  <w:style w:type="character" w:customStyle="1" w:styleId="54">
    <w:name w:val="font91"/>
    <w:basedOn w:val="25"/>
    <w:qFormat/>
    <w:uiPriority w:val="0"/>
    <w:rPr>
      <w:rFonts w:hint="default" w:ascii="Tahoma" w:hAnsi="Tahoma" w:eastAsia="Tahoma" w:cs="Tahoma"/>
      <w:color w:val="000000"/>
      <w:sz w:val="18"/>
      <w:szCs w:val="18"/>
      <w:u w:val="none"/>
    </w:rPr>
  </w:style>
  <w:style w:type="character" w:customStyle="1" w:styleId="55">
    <w:name w:val="font121"/>
    <w:basedOn w:val="25"/>
    <w:qFormat/>
    <w:uiPriority w:val="0"/>
    <w:rPr>
      <w:rFonts w:hint="eastAsia" w:ascii="宋体" w:hAnsi="宋体" w:eastAsia="宋体" w:cs="宋体"/>
      <w:color w:val="FF0000"/>
      <w:sz w:val="18"/>
      <w:szCs w:val="18"/>
      <w:u w:val="none"/>
    </w:rPr>
  </w:style>
  <w:style w:type="character" w:customStyle="1" w:styleId="56">
    <w:name w:val="font11"/>
    <w:basedOn w:val="25"/>
    <w:qFormat/>
    <w:uiPriority w:val="0"/>
    <w:rPr>
      <w:rFonts w:hint="eastAsia" w:ascii="宋体" w:hAnsi="宋体" w:eastAsia="宋体" w:cs="宋体"/>
      <w:color w:val="000000"/>
      <w:sz w:val="20"/>
      <w:szCs w:val="20"/>
      <w:u w:val="none"/>
    </w:rPr>
  </w:style>
  <w:style w:type="character" w:customStyle="1" w:styleId="57">
    <w:name w:val="font111"/>
    <w:basedOn w:val="25"/>
    <w:qFormat/>
    <w:uiPriority w:val="0"/>
    <w:rPr>
      <w:rFonts w:hint="eastAsia" w:ascii="宋体" w:hAnsi="宋体" w:eastAsia="宋体" w:cs="宋体"/>
      <w:color w:val="FF0000"/>
      <w:sz w:val="18"/>
      <w:szCs w:val="18"/>
      <w:u w:val="none"/>
    </w:rPr>
  </w:style>
  <w:style w:type="character" w:customStyle="1" w:styleId="58">
    <w:name w:val="font112"/>
    <w:basedOn w:val="25"/>
    <w:qFormat/>
    <w:uiPriority w:val="0"/>
    <w:rPr>
      <w:rFonts w:hint="eastAsia" w:ascii="宋体" w:hAnsi="宋体" w:eastAsia="宋体" w:cs="宋体"/>
      <w:color w:val="FF0000"/>
      <w:sz w:val="18"/>
      <w:szCs w:val="18"/>
      <w:u w:val="none"/>
    </w:rPr>
  </w:style>
  <w:style w:type="character" w:customStyle="1" w:styleId="59">
    <w:name w:val="font31"/>
    <w:basedOn w:val="25"/>
    <w:qFormat/>
    <w:uiPriority w:val="0"/>
    <w:rPr>
      <w:rFonts w:hint="eastAsia" w:ascii="宋体" w:hAnsi="宋体" w:eastAsia="宋体" w:cs="宋体"/>
      <w:color w:val="000000"/>
      <w:sz w:val="18"/>
      <w:szCs w:val="18"/>
      <w:u w:val="none"/>
    </w:rPr>
  </w:style>
  <w:style w:type="paragraph" w:customStyle="1" w:styleId="60">
    <w:name w:val="目录"/>
    <w:basedOn w:val="1"/>
    <w:qFormat/>
    <w:uiPriority w:val="0"/>
    <w:pPr>
      <w:widowControl/>
      <w:jc w:val="center"/>
    </w:pPr>
    <w:rPr>
      <w:rFonts w:hAnsi="Times New Roman"/>
      <w:b/>
      <w:sz w:val="36"/>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header" Target="header10.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130</Pages>
  <Words>6648</Words>
  <Characters>7693</Characters>
  <Lines>598</Lines>
  <Paragraphs>168</Paragraphs>
  <TotalTime>8</TotalTime>
  <ScaleCrop>false</ScaleCrop>
  <LinksUpToDate>false</LinksUpToDate>
  <CharactersWithSpaces>7756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2021-07-29T21:53:00Z</dcterms:created>
  <dc:creator>lxl</dc:creator>
  <cp:lastModifiedBy>1</cp:lastModifiedBy>
  <cp:lastPrinted>2025-08-03T11:40:00Z</cp:lastPrinted>
  <dcterms:modified xsi:type="dcterms:W3CDTF">2026-07-29T09:32:00Z</dcterms:modified>
  <dc:title>标书编号：SCZA2009-250</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2021-07-26T00:00:00Z</vt:filetime>
  </property>
  <property fmtid="{D5CDD505-2E9C-101B-9397-08002B2CF9AE}" pid="3" name="Creator">
    <vt:lpwstr>WPS 文字</vt:lpwstr>
  </property>
  <property fmtid="{D5CDD505-2E9C-101B-9397-08002B2CF9AE}" pid="4" name="LastSaved">
    <vt:filetime>2021-07-26T00:00:00Z</vt:filetime>
  </property>
  <property fmtid="{D5CDD505-2E9C-101B-9397-08002B2CF9AE}" pid="5" name="KSOProductBuildVer">
    <vt:lpwstr>2052-12.1.0.26895</vt:lpwstr>
  </property>
  <property fmtid="{D5CDD505-2E9C-101B-9397-08002B2CF9AE}" pid="6" name="ICV">
    <vt:lpwstr>951F30C2737F46E2A6BA467BF8BDD37A_13</vt:lpwstr>
  </property>
  <property fmtid="{D5CDD505-2E9C-101B-9397-08002B2CF9AE}" pid="7" name="KSOTemplateDocerSaveRecord">
    <vt:lpwstr>eyJoZGlkIjoiYTUxNGFmYWU2ZDcxYmRjNzZmOTYxZWY3MzJiN2M4MWUiLCJ1c2VySWQiOiI0MTgxNjQ0ODkifQ==</vt:lpwstr>
  </property>
</Properties>
</file>