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版本号：THHXZB-26080520260806001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汉四中(原七中)新建10KV配电工程项目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THHXZB-260805</w:t>
      </w:r>
      <w:r>
        <w:br/>
      </w:r>
      <w:r>
        <w:br/>
      </w:r>
      <w:r>
        <w:br/>
      </w:r>
    </w:p>
    <w:p>
      <w:pPr>
        <w:pStyle w:val="null3"/>
        <w:jc w:val="center"/>
        <w:outlineLvl w:val="2"/>
      </w:pPr>
      <w:r>
        <w:rPr>
          <w:rFonts w:ascii="仿宋_GB2312" w:hAnsi="仿宋_GB2312" w:cs="仿宋_GB2312" w:eastAsia="仿宋_GB2312"/>
          <w:sz w:val="28"/>
          <w:b/>
        </w:rPr>
        <w:t>汉中市第四中学</w:t>
      </w:r>
    </w:p>
    <w:p>
      <w:pPr>
        <w:pStyle w:val="null3"/>
        <w:jc w:val="center"/>
        <w:outlineLvl w:val="2"/>
      </w:pPr>
      <w:r>
        <w:rPr>
          <w:rFonts w:ascii="仿宋_GB2312" w:hAnsi="仿宋_GB2312" w:cs="仿宋_GB2312" w:eastAsia="仿宋_GB2312"/>
          <w:sz w:val="28"/>
          <w:b/>
        </w:rPr>
        <w:t>陕西天汉恒翔项目管理有限公司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陕西天汉恒翔项目管理有限公司</w:t>
      </w:r>
      <w:r>
        <w:rPr>
          <w:rFonts w:ascii="仿宋_GB2312" w:hAnsi="仿宋_GB2312" w:cs="仿宋_GB2312" w:eastAsia="仿宋_GB2312"/>
        </w:rPr>
        <w:t>（以下简称“代理机构”）受</w:t>
      </w:r>
      <w:r>
        <w:rPr>
          <w:rFonts w:ascii="仿宋_GB2312" w:hAnsi="仿宋_GB2312" w:cs="仿宋_GB2312" w:eastAsia="仿宋_GB2312"/>
        </w:rPr>
        <w:t>汉中市第四中学</w:t>
      </w:r>
      <w:r>
        <w:rPr>
          <w:rFonts w:ascii="仿宋_GB2312" w:hAnsi="仿宋_GB2312" w:cs="仿宋_GB2312" w:eastAsia="仿宋_GB2312"/>
        </w:rPr>
        <w:t>委托，拟对</w:t>
      </w:r>
      <w:r>
        <w:rPr>
          <w:rFonts w:ascii="仿宋_GB2312" w:hAnsi="仿宋_GB2312" w:cs="仿宋_GB2312" w:eastAsia="仿宋_GB2312"/>
        </w:rPr>
        <w:t>汉四中(原七中)新建10KV配电工程项目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THHXZB-260805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汉四中(原七中)新建10KV配电工程项目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成套箱式变电站 规格:ZBW-800kVA，铺设电缆，新建电缆井、箱变基础等。（详见工程量清单）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采购包1（汉四中(原七中)新建10KV配电工程项目）：属于专门面向中小企业采购。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2、供应商资质要求：投标供应商须具备建设行政主管部门核发的电力工程施工总承包三级以上（含三级）资质和承装（修、试）电力设施许可证三级及以上资质，并具有有效的安全生产许可证；</w:t>
      </w:r>
    </w:p>
    <w:p>
      <w:pPr>
        <w:pStyle w:val="null3"/>
      </w:pPr>
      <w:r>
        <w:rPr>
          <w:rFonts w:ascii="仿宋_GB2312" w:hAnsi="仿宋_GB2312" w:cs="仿宋_GB2312" w:eastAsia="仿宋_GB2312"/>
        </w:rPr>
        <w:t>3、法定代表身份证明或授权委托书：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4、项目负责人要求：拟派项目经理具备机电工程专业二级（含二级）及以上注册建造师资格，并具有有效的安全生产考核合格证（B证），且未担任其他在建工程的项目经理（出具无在建工程承诺书）；</w:t>
      </w:r>
    </w:p>
    <w:p>
      <w:pPr>
        <w:pStyle w:val="null3"/>
      </w:pPr>
      <w:r>
        <w:rPr>
          <w:rFonts w:ascii="仿宋_GB2312" w:hAnsi="仿宋_GB2312" w:cs="仿宋_GB2312" w:eastAsia="仿宋_GB2312"/>
        </w:rPr>
        <w:t>5、汉中市政府采购供应商资格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6、非联合体投标承诺函：本项目不接受联合体投标，单位负责人为同一人或者存在直接控股、管理关系的不同单位，不得同时参加本项目投标（提供书面证明材料）；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汉中市第四中学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汉中市汉台区西大街友爱路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汉中市第四中学经办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15029862851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陕西天汉恒翔项目管理有限公司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陕西省汉中市汉台区陕西省汉中市汉台区汉中路街道办事处西一环路南段西港时代公馆1号楼0101室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18591603636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采购包1：787,605.64元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开户名称：陕西天汉恒翔项目管理有限公司</w:t>
            </w:r>
          </w:p>
          <w:p>
            <w:pPr>
              <w:pStyle w:val="null3"/>
            </w:pPr>
            <w:r>
              <w:rPr>
                <w:rFonts w:ascii="仿宋_GB2312" w:hAnsi="仿宋_GB2312" w:cs="仿宋_GB2312" w:eastAsia="仿宋_GB2312"/>
              </w:rPr>
              <w:t>开户银行：陕西汉中农村商业银行股份有限公司西关支行</w:t>
            </w:r>
          </w:p>
          <w:p>
            <w:pPr>
              <w:pStyle w:val="null3"/>
            </w:pPr>
            <w:r>
              <w:rPr>
                <w:rFonts w:ascii="仿宋_GB2312" w:hAnsi="仿宋_GB2312" w:cs="仿宋_GB2312" w:eastAsia="仿宋_GB2312"/>
              </w:rPr>
              <w:t>银行账号：2706012201201000039000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发展改革委员会办公厅颁发的《关于招标代理服务收费有关问题的通知》（发改办价格[2003]857号）的有关规定执行。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汉中市第四中学</w:t>
      </w:r>
      <w:r>
        <w:rPr>
          <w:rFonts w:ascii="仿宋_GB2312" w:hAnsi="仿宋_GB2312" w:cs="仿宋_GB2312" w:eastAsia="仿宋_GB2312"/>
        </w:rPr>
        <w:t>和</w:t>
      </w:r>
      <w:r>
        <w:rPr>
          <w:rFonts w:ascii="仿宋_GB2312" w:hAnsi="仿宋_GB2312" w:cs="仿宋_GB2312" w:eastAsia="仿宋_GB2312"/>
        </w:rPr>
        <w:t>陕西天汉恒翔项目管理有限公司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汉中市第四中学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陕西天汉恒翔项目管理有限公司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汉中市第四中学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陕西天汉恒翔项目管理有限公司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达到国家及行业标准及采购人要求“合格”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陕西天汉恒翔项目管理有限公司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陕西天汉恒翔项目管理有限公司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陕西天汉恒翔项目管理有限公司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联系电话：18591603636</w:t>
      </w:r>
    </w:p>
    <w:p>
      <w:pPr>
        <w:pStyle w:val="null3"/>
      </w:pPr>
      <w:r>
        <w:rPr>
          <w:rFonts w:ascii="仿宋_GB2312" w:hAnsi="仿宋_GB2312" w:cs="仿宋_GB2312" w:eastAsia="仿宋_GB2312"/>
        </w:rPr>
        <w:t>地址：陕西省汉中市汉台区陕西省汉中市汉台区汉中路街道办事处西一环路南段西港时代公馆1号楼0101室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787,605.64</w:t>
      </w:r>
    </w:p>
    <w:p>
      <w:pPr>
        <w:pStyle w:val="null3"/>
      </w:pPr>
      <w:r>
        <w:rPr>
          <w:rFonts w:ascii="仿宋_GB2312" w:hAnsi="仿宋_GB2312" w:cs="仿宋_GB2312" w:eastAsia="仿宋_GB2312"/>
        </w:rPr>
        <w:t>采购包最高限价（元）: 787,605.64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汉四中(原七中)新建10KV配电工程项目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787,605.64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标的名称：汉四中(原七中)新建10KV配电工程项目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一、工程概况</w:t>
            </w:r>
          </w:p>
          <w:p>
            <w:pPr>
              <w:pStyle w:val="null3"/>
              <w:ind w:firstLine="560"/>
              <w:jc w:val="both"/>
            </w:pPr>
            <w:r>
              <w:rPr>
                <w:rFonts w:ascii="仿宋_GB2312" w:hAnsi="仿宋_GB2312" w:cs="仿宋_GB2312" w:eastAsia="仿宋_GB2312"/>
                <w:sz w:val="21"/>
                <w:color w:val="000000"/>
              </w:rPr>
              <w:t>本工程地处</w:t>
            </w:r>
            <w:r>
              <w:rPr>
                <w:rFonts w:ascii="仿宋_GB2312" w:hAnsi="仿宋_GB2312" w:cs="仿宋_GB2312" w:eastAsia="仿宋_GB2312"/>
                <w:sz w:val="21"/>
                <w:color w:val="000000"/>
              </w:rPr>
              <w:t>于陕西省汉中市汉台区第四中学，主要工程内容为：</w:t>
            </w:r>
            <w:r>
              <w:rPr>
                <w:rFonts w:ascii="仿宋_GB2312" w:hAnsi="仿宋_GB2312" w:cs="仿宋_GB2312" w:eastAsia="仿宋_GB2312"/>
                <w:sz w:val="21"/>
                <w:color w:val="000000"/>
              </w:rPr>
              <w:t>成套箱式变电站 规格:ZBW-800kVA</w:t>
            </w:r>
            <w:r>
              <w:rPr>
                <w:rFonts w:ascii="仿宋_GB2312" w:hAnsi="仿宋_GB2312" w:cs="仿宋_GB2312" w:eastAsia="仿宋_GB2312"/>
                <w:sz w:val="21"/>
                <w:color w:val="000000"/>
              </w:rPr>
              <w:t>，铺设电缆，新建电缆井、箱变基础等。（详见工程量清单）</w:t>
            </w:r>
          </w:p>
          <w:p>
            <w:pPr>
              <w:pStyle w:val="null3"/>
              <w:jc w:val="left"/>
            </w:pPr>
            <w:r>
              <w:rPr>
                <w:rFonts w:ascii="仿宋_GB2312" w:hAnsi="仿宋_GB2312" w:cs="仿宋_GB2312" w:eastAsia="仿宋_GB2312"/>
                <w:sz w:val="21"/>
                <w:b/>
              </w:rPr>
              <w:t>二、编制依据</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由</w:t>
            </w:r>
            <w:r>
              <w:rPr>
                <w:rFonts w:ascii="仿宋_GB2312" w:hAnsi="仿宋_GB2312" w:cs="仿宋_GB2312" w:eastAsia="仿宋_GB2312"/>
                <w:sz w:val="21"/>
              </w:rPr>
              <w:t>陕西浚叶合创电力设计有限公司设计</w:t>
            </w:r>
            <w:r>
              <w:rPr>
                <w:rFonts w:ascii="仿宋_GB2312" w:hAnsi="仿宋_GB2312" w:cs="仿宋_GB2312" w:eastAsia="仿宋_GB2312"/>
                <w:sz w:val="21"/>
              </w:rPr>
              <w:t>的</w:t>
            </w:r>
            <w:r>
              <w:rPr>
                <w:rFonts w:ascii="仿宋_GB2312" w:hAnsi="仿宋_GB2312" w:cs="仿宋_GB2312" w:eastAsia="仿宋_GB2312"/>
                <w:sz w:val="21"/>
              </w:rPr>
              <w:t>“</w:t>
            </w:r>
            <w:r>
              <w:rPr>
                <w:rFonts w:ascii="仿宋_GB2312" w:hAnsi="仿宋_GB2312" w:cs="仿宋_GB2312" w:eastAsia="仿宋_GB2312"/>
                <w:sz w:val="21"/>
              </w:rPr>
              <w:t>汉中市第四中学</w:t>
            </w:r>
            <w:r>
              <w:rPr>
                <w:rFonts w:ascii="仿宋_GB2312" w:hAnsi="仿宋_GB2312" w:cs="仿宋_GB2312" w:eastAsia="仿宋_GB2312"/>
                <w:sz w:val="21"/>
              </w:rPr>
              <w:t>(原七中)新建10KV配电工程”设计图纸</w:t>
            </w:r>
            <w:r>
              <w:rPr>
                <w:rFonts w:ascii="仿宋_GB2312" w:hAnsi="仿宋_GB2312" w:cs="仿宋_GB2312" w:eastAsia="仿宋_GB2312"/>
                <w:sz w:val="21"/>
              </w:rPr>
              <w:t>。</w:t>
            </w:r>
          </w:p>
          <w:p>
            <w:pPr>
              <w:pStyle w:val="null3"/>
              <w:ind w:firstLine="560"/>
              <w:jc w:val="left"/>
            </w:pPr>
            <w:r>
              <w:rPr>
                <w:rFonts w:ascii="仿宋_GB2312" w:hAnsi="仿宋_GB2312" w:cs="仿宋_GB2312" w:eastAsia="仿宋_GB2312"/>
                <w:sz w:val="21"/>
              </w:rPr>
              <w:t>2、《陕西省住房和城乡建设厅关于印发2025陕西省建设工程费用规则等计价依据的通知》陕建管发〔2025〕10号文件。</w:t>
            </w:r>
          </w:p>
          <w:p>
            <w:pPr>
              <w:pStyle w:val="null3"/>
              <w:ind w:firstLine="560"/>
              <w:jc w:val="left"/>
            </w:pPr>
            <w:r>
              <w:rPr>
                <w:rFonts w:ascii="仿宋_GB2312" w:hAnsi="仿宋_GB2312" w:cs="仿宋_GB2312" w:eastAsia="仿宋_GB2312"/>
                <w:sz w:val="21"/>
              </w:rPr>
              <w:t>3、《陕西省建设工程费用规则》（2025）、《建设工程工程量清单计价标准》（2025）、《房屋建筑与装修工程工程量计算标准》、</w:t>
            </w:r>
            <w:r>
              <w:rPr>
                <w:rFonts w:ascii="仿宋_GB2312" w:hAnsi="仿宋_GB2312" w:cs="仿宋_GB2312" w:eastAsia="仿宋_GB2312"/>
                <w:sz w:val="21"/>
              </w:rPr>
              <w:t>《</w:t>
            </w:r>
            <w:r>
              <w:rPr>
                <w:rFonts w:ascii="仿宋_GB2312" w:hAnsi="仿宋_GB2312" w:cs="仿宋_GB2312" w:eastAsia="仿宋_GB2312"/>
                <w:sz w:val="21"/>
              </w:rPr>
              <w:t>市政</w:t>
            </w:r>
            <w:r>
              <w:rPr>
                <w:rFonts w:ascii="仿宋_GB2312" w:hAnsi="仿宋_GB2312" w:cs="仿宋_GB2312" w:eastAsia="仿宋_GB2312"/>
                <w:sz w:val="21"/>
              </w:rPr>
              <w:t>工程工程量计算标准》、</w:t>
            </w:r>
            <w:r>
              <w:rPr>
                <w:rFonts w:ascii="仿宋_GB2312" w:hAnsi="仿宋_GB2312" w:cs="仿宋_GB2312" w:eastAsia="仿宋_GB2312"/>
                <w:sz w:val="21"/>
              </w:rPr>
              <w:t>《通用安装工程工程量计算标准》及其配套文件。</w:t>
            </w:r>
          </w:p>
          <w:p>
            <w:pPr>
              <w:pStyle w:val="null3"/>
              <w:ind w:firstLine="560"/>
              <w:jc w:val="left"/>
            </w:pPr>
            <w:r>
              <w:rPr>
                <w:rFonts w:ascii="仿宋_GB2312" w:hAnsi="仿宋_GB2312" w:cs="仿宋_GB2312" w:eastAsia="仿宋_GB2312"/>
                <w:sz w:val="21"/>
              </w:rPr>
              <w:t>4、《陕西省房屋建筑与装饰工程消耗量定额》（2025）、</w:t>
            </w:r>
            <w:r>
              <w:rPr>
                <w:rFonts w:ascii="仿宋_GB2312" w:hAnsi="仿宋_GB2312" w:cs="仿宋_GB2312" w:eastAsia="仿宋_GB2312"/>
                <w:sz w:val="21"/>
              </w:rPr>
              <w:t>《陕西省</w:t>
            </w:r>
            <w:r>
              <w:rPr>
                <w:rFonts w:ascii="仿宋_GB2312" w:hAnsi="仿宋_GB2312" w:cs="仿宋_GB2312" w:eastAsia="仿宋_GB2312"/>
                <w:sz w:val="21"/>
              </w:rPr>
              <w:t>市政</w:t>
            </w:r>
            <w:r>
              <w:rPr>
                <w:rFonts w:ascii="仿宋_GB2312" w:hAnsi="仿宋_GB2312" w:cs="仿宋_GB2312" w:eastAsia="仿宋_GB2312"/>
                <w:sz w:val="21"/>
              </w:rPr>
              <w:t>工程消耗量定额》（</w:t>
            </w:r>
            <w:r>
              <w:rPr>
                <w:rFonts w:ascii="仿宋_GB2312" w:hAnsi="仿宋_GB2312" w:cs="仿宋_GB2312" w:eastAsia="仿宋_GB2312"/>
                <w:sz w:val="21"/>
              </w:rPr>
              <w:t>2025）、</w:t>
            </w:r>
            <w:r>
              <w:rPr>
                <w:rFonts w:ascii="仿宋_GB2312" w:hAnsi="仿宋_GB2312" w:cs="仿宋_GB2312" w:eastAsia="仿宋_GB2312"/>
                <w:sz w:val="21"/>
              </w:rPr>
              <w:t>《陕西省通用安装工程消耗量定额》（</w:t>
            </w:r>
            <w:r>
              <w:rPr>
                <w:rFonts w:ascii="仿宋_GB2312" w:hAnsi="仿宋_GB2312" w:cs="仿宋_GB2312" w:eastAsia="仿宋_GB2312"/>
                <w:sz w:val="21"/>
              </w:rPr>
              <w:t>2025）、《陕西省建设工程施工机械台班费用定额》(2025）。</w:t>
            </w:r>
          </w:p>
          <w:p>
            <w:pPr>
              <w:pStyle w:val="null3"/>
              <w:ind w:firstLine="560"/>
              <w:jc w:val="left"/>
            </w:pPr>
            <w:r>
              <w:rPr>
                <w:rFonts w:ascii="仿宋_GB2312" w:hAnsi="仿宋_GB2312" w:cs="仿宋_GB2312" w:eastAsia="仿宋_GB2312"/>
                <w:sz w:val="21"/>
              </w:rPr>
              <w:t>5、《陕西省房屋建筑与装饰工程基价表》（2025）、</w:t>
            </w:r>
            <w:r>
              <w:rPr>
                <w:rFonts w:ascii="仿宋_GB2312" w:hAnsi="仿宋_GB2312" w:cs="仿宋_GB2312" w:eastAsia="仿宋_GB2312"/>
                <w:sz w:val="21"/>
              </w:rPr>
              <w:t>《陕西省</w:t>
            </w:r>
            <w:r>
              <w:rPr>
                <w:rFonts w:ascii="仿宋_GB2312" w:hAnsi="仿宋_GB2312" w:cs="仿宋_GB2312" w:eastAsia="仿宋_GB2312"/>
                <w:sz w:val="21"/>
              </w:rPr>
              <w:t>市政</w:t>
            </w:r>
            <w:r>
              <w:rPr>
                <w:rFonts w:ascii="仿宋_GB2312" w:hAnsi="仿宋_GB2312" w:cs="仿宋_GB2312" w:eastAsia="仿宋_GB2312"/>
                <w:sz w:val="21"/>
              </w:rPr>
              <w:t>工程基价表》（</w:t>
            </w:r>
            <w:r>
              <w:rPr>
                <w:rFonts w:ascii="仿宋_GB2312" w:hAnsi="仿宋_GB2312" w:cs="仿宋_GB2312" w:eastAsia="仿宋_GB2312"/>
                <w:sz w:val="21"/>
              </w:rPr>
              <w:t>2025）、</w:t>
            </w:r>
            <w:r>
              <w:rPr>
                <w:rFonts w:ascii="仿宋_GB2312" w:hAnsi="仿宋_GB2312" w:cs="仿宋_GB2312" w:eastAsia="仿宋_GB2312"/>
                <w:sz w:val="21"/>
              </w:rPr>
              <w:t>《陕西省通用安装工程基价表》（</w:t>
            </w:r>
            <w:r>
              <w:rPr>
                <w:rFonts w:ascii="仿宋_GB2312" w:hAnsi="仿宋_GB2312" w:cs="仿宋_GB2312" w:eastAsia="仿宋_GB2312"/>
                <w:sz w:val="21"/>
              </w:rPr>
              <w:t>2025）。</w:t>
            </w:r>
          </w:p>
          <w:p>
            <w:pPr>
              <w:pStyle w:val="null3"/>
              <w:ind w:firstLine="560"/>
              <w:jc w:val="left"/>
            </w:pPr>
            <w:r>
              <w:rPr>
                <w:rFonts w:ascii="仿宋_GB2312" w:hAnsi="仿宋_GB2312" w:cs="仿宋_GB2312" w:eastAsia="仿宋_GB2312"/>
                <w:sz w:val="21"/>
              </w:rPr>
              <w:t>6、《汉中建设工程造价信息（202</w:t>
            </w:r>
            <w:r>
              <w:rPr>
                <w:rFonts w:ascii="仿宋_GB2312" w:hAnsi="仿宋_GB2312" w:cs="仿宋_GB2312" w:eastAsia="仿宋_GB2312"/>
                <w:sz w:val="21"/>
              </w:rPr>
              <w:t>6</w:t>
            </w:r>
            <w:r>
              <w:rPr>
                <w:rFonts w:ascii="仿宋_GB2312" w:hAnsi="仿宋_GB2312" w:cs="仿宋_GB2312" w:eastAsia="仿宋_GB2312"/>
                <w:sz w:val="21"/>
              </w:rPr>
              <w:t>）》第</w:t>
            </w:r>
            <w:r>
              <w:rPr>
                <w:rFonts w:ascii="仿宋_GB2312" w:hAnsi="仿宋_GB2312" w:cs="仿宋_GB2312" w:eastAsia="仿宋_GB2312"/>
                <w:sz w:val="21"/>
              </w:rPr>
              <w:t>5</w:t>
            </w:r>
            <w:r>
              <w:rPr>
                <w:rFonts w:ascii="仿宋_GB2312" w:hAnsi="仿宋_GB2312" w:cs="仿宋_GB2312" w:eastAsia="仿宋_GB2312"/>
                <w:sz w:val="21"/>
              </w:rPr>
              <w:t>期信息价及市场询价。</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、计价软件：广联达</w:t>
            </w:r>
            <w:r>
              <w:rPr>
                <w:rFonts w:ascii="仿宋_GB2312" w:hAnsi="仿宋_GB2312" w:cs="仿宋_GB2312" w:eastAsia="仿宋_GB2312"/>
                <w:sz w:val="21"/>
                <w:b/>
              </w:rPr>
              <w:t>GCCP 7.0</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20天</w:t>
            </w:r>
          </w:p>
          <w:p>
            <w:pPr>
              <w:pStyle w:val="null3"/>
            </w:pPr>
            <w:r>
              <w:rPr>
                <w:rFonts w:ascii="仿宋_GB2312" w:hAnsi="仿宋_GB2312" w:cs="仿宋_GB2312" w:eastAsia="仿宋_GB2312"/>
                <w:sz w:val="21"/>
              </w:rPr>
              <w:t>质量标准：交工验收的质量评定：合格</w:t>
            </w:r>
            <w:r>
              <w:rPr>
                <w:rFonts w:ascii="仿宋_GB2312" w:hAnsi="仿宋_GB2312" w:cs="仿宋_GB2312" w:eastAsia="仿宋_GB2312"/>
                <w:sz w:val="21"/>
              </w:rPr>
              <w:t xml:space="preserve">   </w:t>
            </w:r>
          </w:p>
          <w:p>
            <w:pPr>
              <w:pStyle w:val="null3"/>
            </w:pPr>
            <w:r>
              <w:rPr>
                <w:rFonts w:ascii="仿宋_GB2312" w:hAnsi="仿宋_GB2312" w:cs="仿宋_GB2312" w:eastAsia="仿宋_GB2312"/>
                <w:sz w:val="21"/>
              </w:rPr>
              <w:t>竣工验收的质量评定：合格</w:t>
            </w:r>
          </w:p>
          <w:p>
            <w:pPr>
              <w:pStyle w:val="null3"/>
            </w:pPr>
            <w:r>
              <w:rPr>
                <w:rFonts w:ascii="仿宋_GB2312" w:hAnsi="仿宋_GB2312" w:cs="仿宋_GB2312" w:eastAsia="仿宋_GB2312"/>
                <w:sz w:val="21"/>
              </w:rPr>
              <w:t>安全目标：平安工地建设全覆盖，零死亡，无安全责任事故发生。</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达到国家及行业标准及采购人要求：“合格”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工期：20天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 陕西省汉中市汉台区陕西省汉中市汉台区汉中路街道办事处西一环路南段西港时代公馆1号楼0101室。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投标供应商须具备建设行政主管部门核发的电力工程施工总承包三级以上（含三级）资质和承装（修、试）电力设施许可证三级及以上资质，并具有有效的安全生产许可证；</w:t>
            </w:r>
          </w:p>
        </w:tc>
        <w:tc>
          <w:tcPr>
            <w:tcW w:type="dxa" w:w="1661"/>
          </w:tcPr>
          <w:p>
            <w:pPr>
              <w:pStyle w:val="null3"/>
            </w:pPr>
            <w:r>
              <w:rPr>
                <w:rFonts w:ascii="仿宋_GB2312" w:hAnsi="仿宋_GB2312" w:cs="仿宋_GB2312" w:eastAsia="仿宋_GB2312"/>
              </w:rPr>
              <w:t>供应商相关资格证明材料.docx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法定代表身份证明或授权委托书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拟派项目经理具备机电工程专业二级（含二级）及以上注册建造师资格，并具有有效的安全生产考核合格证（B证），且未担任其他在建工程的项目经理（出具无在建工程承诺书）；</w:t>
            </w:r>
          </w:p>
        </w:tc>
        <w:tc>
          <w:tcPr>
            <w:tcW w:type="dxa" w:w="1661"/>
          </w:tcPr>
          <w:p>
            <w:pPr>
              <w:pStyle w:val="null3"/>
            </w:pPr>
            <w:r>
              <w:rPr>
                <w:rFonts w:ascii="仿宋_GB2312" w:hAnsi="仿宋_GB2312" w:cs="仿宋_GB2312" w:eastAsia="仿宋_GB2312"/>
              </w:rPr>
              <w:t>供应商相关资格证明材料.docx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供应商相关资格证明材料.docx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本项目不接受联合体投标，单位负责人为同一人或者存在直接控股、管理关系的不同单位，不得同时参加本项目投标（提供书面证明材料）；</w:t>
            </w:r>
          </w:p>
        </w:tc>
        <w:tc>
          <w:tcPr>
            <w:tcW w:type="dxa" w:w="1661"/>
          </w:tcPr>
          <w:p>
            <w:pPr>
              <w:pStyle w:val="null3"/>
            </w:pPr>
            <w:r>
              <w:rPr>
                <w:rFonts w:ascii="仿宋_GB2312" w:hAnsi="仿宋_GB2312" w:cs="仿宋_GB2312" w:eastAsia="仿宋_GB2312"/>
              </w:rPr>
              <w:t>供应商相关资格证明材料.docx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汉中市政府采购资格承诺函.docx 响应文件封面 供应商认为需要提供的其他资料.docx 项目管理机构组成表 残疾人福利性单位声明函 报价函 标的清单 供应商类似项目业绩一览表 响应函 主要人员简历表 监狱企业的证明文件 供应商相关资格证明材料.docx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磋商响应文件语言、计量单位、报价货币</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汉中市政府采购资格承诺函.docx 响应文件封面 供应商认为需要提供的其他资料.docx 项目管理机构组成表 残疾人福利性单位声明函 报价函 标的清单 供应商类似项目业绩一览表 响应函 主要人员简历表 监狱企业的证明文件 供应商相关资格证明材料.docx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一、评审内容包含但不限于①施工准备及总体概述；②施工平面布置；③项目总体部署；④施工方法；⑤重点难点工程分析及解决措施； ⑥对应预案等。 二、赋分标准：1、完整性:方案内容完整全面，对上述各项内容均有描述及说明，得2分;缺1至5项得0.5分。 2、针对性:针对性强，得5分;针对性一般，得3分;缺乏针对性，得1分。 3、可实施性:可实施性强，得5分;可实施性一般，得3分;缺乏可实施性，得1分。 4、不提供此项的，不得分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一、评审内容包含但不限于①质量管理制度；②工程质量保证措施；③工程质量控制体系； ④质量管理机构职责；⑤材料的质量控制等。 二、赋分标准：1、完整性:方案内容完整全面，对上述各项内容均有描述及说明，得2分;缺1至4项，得0.5分。 2、针对性:针对性强，得4分;针对性一般，得2分;缺乏针对性，得1分。 3、可实施性:可实施性强，得4分;可实施性一般，得2分;缺乏可实施性，得1分。 4、不提供此项的，不得分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一、评审内容包含但不限于①安全生产管理制度；②安全人员岗位职责；③安全教育培训制度；④设备材料作业安全措施；⑤应急救援机制等。 二、赋分标准：1、完整性:方案内容完整全面，对上述各项内容均有描述及说明，得2分;缺1至4项，得0.5分。 2、针对性:针对性强，得4分;针对性一般，得2分;缺乏针对性，得1分。 3、可实施性:可实施性强，得4分;可实施性一般，得2分;缺乏可实施性，得1分。 4、不提供此项的，不得分。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一、评审内容包含但不限于①文明保护及环境保护施工管理制度；②防尘降噪、治污减霾措施； ③节能减排措施等。二、赋分标准：1、完整性:方案内容完整全面，对上述各项内容均有描述及说明，得2分;缺1至2项，得0.5分。 2、针对性:针对性强，得2分;针对性一般，得1分;缺乏针对性，得0.5分。 3、可实施性:可实施性强，得2分;可实施性一般，得1分;缺乏可实施性，得0.5分。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施工进度计划措施</w:t>
            </w:r>
          </w:p>
        </w:tc>
        <w:tc>
          <w:tcPr>
            <w:tcW w:type="dxa" w:w="2492"/>
          </w:tcPr>
          <w:p>
            <w:pPr>
              <w:pStyle w:val="null3"/>
            </w:pPr>
            <w:r>
              <w:rPr>
                <w:rFonts w:ascii="仿宋_GB2312" w:hAnsi="仿宋_GB2312" w:cs="仿宋_GB2312" w:eastAsia="仿宋_GB2312"/>
              </w:rPr>
              <w:t>一、评审内容包含但不限于①确保工期的技术组织措施；②总工期安排； ③机械设备投入计划； ④材料投入计划；⑤分部分项工程节点工期；⑥流水作业规划等（常用横道图 / 网络图表示）。 二、赋分标准：1、完整性:方案内容完整全面，对上述各项内容均有描述及说明，得2分;缺1至5项，得0.5分。 2、针对性:针对性强，得5分;针对性一般，得3分;缺乏针对性，得1分。 3、可实施性:可实施性强，得5分;可实施性一般，得3分;缺乏可实施性，得1分。 4、不提供此项的，不得分。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供应商承诺</w:t>
            </w:r>
          </w:p>
        </w:tc>
        <w:tc>
          <w:tcPr>
            <w:tcW w:type="dxa" w:w="2492"/>
          </w:tcPr>
          <w:p>
            <w:pPr>
              <w:pStyle w:val="null3"/>
            </w:pPr>
            <w:r>
              <w:rPr>
                <w:rFonts w:ascii="仿宋_GB2312" w:hAnsi="仿宋_GB2312" w:cs="仿宋_GB2312" w:eastAsia="仿宋_GB2312"/>
              </w:rPr>
              <w:t>评审要求：供应商须分别出具①施工安全承诺；②文明施工承诺；③施工质量保证承诺；④工期保证承诺四份独立承诺内容，承诺需结合本项目校内 10kV 配电工程实际，载明对应保障措施及违约处置方式，所有承诺须加盖供应商公章。 · 计分方式（客观评审，仅做有效 / 无效判定，无主观浮动分值）：每提供 1 份符合上述要求的有效承诺得 2 分，满分 8 分；未提供或承诺不符合有效标准的对应项不得分。 · 有效承诺硬性判定标准（全部满足方认定有效，缺一则该项不计分）： （1）单独成章 / 单独函件，四类承诺区分清晰，不混为一段； （2）内容结合校园施工、10kV 配电施工特点，有专项保障措施； （3）明确约定未达标对应的违约责任； （4）加盖供应商单位公章。 · 无效情形：未提供对应承诺、承诺无公章、无专项保障及违约条款、通篇通用模板未结合本项目，均视为该项承诺未提供，不予计分。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一、评审内容：供应商提供 2023 年 1 月 1 日（含）以来已完工交付的同类 10kV 配电施工项目业绩。 二、类似工程定义：10kV 及以下箱变新建改造、电缆敷设、配电室配套电力安装工程。 三、赋分标准：每提供 1 份完整有效的合格业绩得 1 分，本项最高得 5 分；未提供任何有效业绩，本项得 0 分。 四、认定备注：业绩佐证材料须同时提供：施工合同协议书 + 竣工验收合格证明 / 建设单位（业主）加盖公章的完工合格确认单，仅单方完工单、仅合同无验收材料均不认定为有效业绩； 业绩时间判定：以竣工验收合格证明 / 业主完工合格确认单载明的日期为准，日期须在 2023 年 1 月 1 日至本项目采购公告发布之日区间内； 材料要求：所有证明材料清晰复印并加盖供应商公章，合同需能体现配电施工相关工程内容； 同一项目不得重复计分，多份合同为同一工程仅按 1 份业绩计算。</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 项目负责人工程专业职称（满分 3 分） 1）评审对象：投标人拟派驻本项目唯一项目负责人； 2）有效认可专业清单（仅以下机电 / 电力相关工程专业予以计分）： 电力工程、电气工程、输配电、电力系统及其自动化、机电工程、机电一体化、电气自动化、机械设备安装； 3）计分规则： ①持上述清单内专业中级及以上职称（中级 / 高级 / 正高级工程师），得 3 分； ②仅持上述清单内专业初级职称（助理工程师、技术员），无中级及以上，得 1 分； ③职称专业不在上述清单内、无职称、仅提供建造师 / 八大员 / 承装电力许可证等执业岗位证书，本项得 0 分； 4）认定材料要求：投标文件内附职称清晰复印件并加盖投标人公章，职称证书持证人员须与本项目负责人为同一人；仅提供评审表、查询截图未附证书原件扫描件 / 复印件的，不予计分； 5）计分规则：同一人员持有多本不同等级职称，仅按最高等级计分，不重复累加得分； 2. 项目负责人类似配电工程从业经验（满分 2 分） 1）评审对象：同上述项目负责人； 2）类似工程定义：10kV 及以下箱变、电缆敷设、配电室新建 / 改造等电力配电类施工项目； 3）年限认定标准（多材料交叉佐证，杜绝单一证件判定失真）： 以以下任一材料载明时间起算，计算至本项目采购公告发布之日的工作年限： ①建造师注册证书注册起始时间； ②社保缴纳证明（本单位或前施工单位电力相关岗位社保）； ③本人签字的从业履历 + 过往同类项目施工合同（本人作为项目管理人员）； 4）赋分规则： 从业年限满 2 年（含 2 年）及以上，得 2 分； 从业年限不足 2 年，本项得 0 分； 5）材料要求：所有佐证材料人员信息须与项目负责人一致，复印件加盖公章；无法提供有效佐证材料的，不予计分。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1. 技术负责人工程专业职称（满分2 分） 1）评审对象：投标人拟派驻本项目技术负责人； 2）有效认可专业清单（仅以下机电 / 电力相关工程专业予以计分）： 电力工程、电气工程、输配电、电力系统及其自动化、机电工程、机电一体化、电气自动化、机械设备安装； 3）计分规则： ①持上述清单内专业中级及以上职称（中级 / 高级 / 正高级工程师），得 2 分； ②仅持上述清单内专业初级职称（助理工程师、技术员），无中级及以上，得 1 分； ③职称专业不在上述清单内、无职称、仅提供建造师 / 八大员 / 承装电力许可证等执业岗位证书，本项得 0 分； 4）认定材料要求：投标文件内附职称清晰复印件并加盖投标人公章，职称证书持证人员须与本项目技术负责人为同一人；仅提供评审表、查询截图未附证书原件扫描件 / 复印件的，不予计分； 5）计分规则：同一人员持有多本不同等级职称，仅按最高等级计分，不重复累加得分；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价格分统一采用低价优先法计算，即满足磋商文件要求且磋商价格最低（通过异常低价审查）的报价为评标基准价，其价格分为满分。其他供应商的价格分统一按照下列公式计算：价格分= (评标基准价／磋商报价)×30。 注：价格得分以供应商最后报价为计算依据，结果 四舍五入保留小数点后两位。供应商不得以低于成本的报价参与磋商。经符合性审查合格的响应文件，出现下列情形之一的，评审委员会应当启动异常低价审查程序：（1）报价低于全部合格供应商报价平均值的 50%；（2）报价低于全部合格供应商次低报价的 50%；（3）报价低于本项目最高限价的 45%；（4）评审委员会认为可能影响项目质量或履约的其他情形。 本项目异常低价审查的具体程序、举证要求及处理标准，严格按照《财政部关于推动解决政府采购异常低价问题的通知》（财库〔2026〕2号）执行。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详见附件：供应商相关资格证明材料.docx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详见附件：汉中市政府采购资格承诺函.docx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详见附件：汉四中(原七中)新建10KV配电工程项目 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