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版本号：HYZB2026001920260604001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零口街办DB-LT-18-03-02地块涉王庙村围蔽管护清表清运项目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HYZB20260019</w:t>
      </w:r>
      <w:r>
        <w:br/>
      </w:r>
      <w:r>
        <w:br/>
      </w:r>
      <w:r>
        <w:br/>
      </w:r>
    </w:p>
    <w:p>
      <w:pPr>
        <w:pStyle w:val="null3"/>
        <w:jc w:val="center"/>
        <w:outlineLvl w:val="2"/>
      </w:pPr>
      <w:r>
        <w:rPr>
          <w:rFonts w:ascii="仿宋_GB2312" w:hAnsi="仿宋_GB2312" w:cs="仿宋_GB2312" w:eastAsia="仿宋_GB2312"/>
          <w:sz w:val="28"/>
          <w:b/>
        </w:rPr>
        <w:t>西安市临潼区零口街道办事处</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西安市临潼区零口街道办事处</w:t>
      </w:r>
      <w:r>
        <w:rPr>
          <w:rFonts w:ascii="仿宋_GB2312" w:hAnsi="仿宋_GB2312" w:cs="仿宋_GB2312" w:eastAsia="仿宋_GB2312"/>
        </w:rPr>
        <w:t>委托，拟对</w:t>
      </w:r>
      <w:r>
        <w:rPr>
          <w:rFonts w:ascii="仿宋_GB2312" w:hAnsi="仿宋_GB2312" w:cs="仿宋_GB2312" w:eastAsia="仿宋_GB2312"/>
        </w:rPr>
        <w:t>零口街办DB-LT-18-03-02地块涉王庙村围蔽管护清表清运项目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HYZB20260019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零口街办DB-LT-18-03-02地块涉王庙村围蔽管护清表清运项目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围墙，清运附着物垃圾，清理地面杂草，垃圾外运。平整场地。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采购包1（零口街办DB-LT-18-03-02地块涉王庙村围蔽管护清表清运项目）：属于专门面向中小企业采购。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或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②、税收缴纳证明：提供自2025年6月1日至投标截止日已缴纳的任意一个月的纳税证明或完税证明，依法免税的单位应提供相关证明材料； ③、社会保障资金缴纳证明：提供自2025年6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4、供应商资质：供应商具备建筑工程施工总承包二级及以上资质，且具有有效的安全生产许可证；</w:t>
      </w:r>
    </w:p>
    <w:p>
      <w:pPr>
        <w:pStyle w:val="null3"/>
      </w:pPr>
      <w:r>
        <w:rPr>
          <w:rFonts w:ascii="仿宋_GB2312" w:hAnsi="仿宋_GB2312" w:cs="仿宋_GB2312" w:eastAsia="仿宋_GB2312"/>
        </w:rPr>
        <w:t>5、项目经理：拟派项目经理具备建筑工程专业贰级及以上注册建造师证书，且具有有效的安全生产考核合格证书（B 证），提供无在建项目证明（承诺书）；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西安市临潼区零口街道办事处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临潼区零口街道东头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临潼区零口街道办事处经办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029-83901097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陕西省西安市临潼区昌龄巷北排东一号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采购包1：2,950,169.58元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发展改革委关于进一步放开建设项目专业服务价格的通知》（发改价格﹝2015﹞299号）的要求，参照计价格﹝2002﹞1980号、发改价格﹝2011﹞534号文件的计费标准，以中标（成交）价为基数计算，按照标准收取。 2、工程量清单及招标控制价编制费:以对外发布的招标控制价金额作为计费收取基数，由招标代理机构按陕价行发【2014】88号取费标准收取工程量清单及招标控制价编制费。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西安市临潼区零口街道办事处</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西安市临潼区零口街道办事处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西安市临潼区零口街道办事处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地址：陕西省西安市临潼区昌龄巷北排东一号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2,950,169.58</w:t>
      </w:r>
    </w:p>
    <w:p>
      <w:pPr>
        <w:pStyle w:val="null3"/>
      </w:pPr>
      <w:r>
        <w:rPr>
          <w:rFonts w:ascii="仿宋_GB2312" w:hAnsi="仿宋_GB2312" w:cs="仿宋_GB2312" w:eastAsia="仿宋_GB2312"/>
        </w:rPr>
        <w:t>采购包最高限价（元）: 2,950,031.10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零口街办DB-LT-18-03-02地块涉王庙村围蔽管护清表清运项目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2,950,169.58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标的名称：零口街办DB-LT-18-03-02地块涉王庙村围蔽管护清表清运项目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一、工程质量要求与验收依据</w:t>
            </w:r>
          </w:p>
          <w:p>
            <w:pPr>
              <w:pStyle w:val="null3"/>
            </w:pPr>
            <w:r>
              <w:rPr>
                <w:rFonts w:ascii="仿宋_GB2312" w:hAnsi="仿宋_GB2312" w:cs="仿宋_GB2312" w:eastAsia="仿宋_GB2312"/>
              </w:rPr>
              <w:t>（1）质量要求：中标人必须严格按照有关施工和验收规范进行施工，保证达到本工程“合格”的质量标准，通过有关部门验收。</w:t>
            </w:r>
          </w:p>
          <w:p>
            <w:pPr>
              <w:pStyle w:val="null3"/>
            </w:pPr>
            <w:r>
              <w:rPr>
                <w:rFonts w:ascii="仿宋_GB2312" w:hAnsi="仿宋_GB2312" w:cs="仿宋_GB2312" w:eastAsia="仿宋_GB2312"/>
              </w:rPr>
              <w:t>（2）验收方法：验收应按建筑工程适用的规范或标准及其他相关的规范和标准执行。</w:t>
            </w:r>
          </w:p>
          <w:p>
            <w:pPr>
              <w:pStyle w:val="null3"/>
            </w:pPr>
            <w:r>
              <w:rPr>
                <w:rFonts w:ascii="仿宋_GB2312" w:hAnsi="仿宋_GB2312" w:cs="仿宋_GB2312" w:eastAsia="仿宋_GB2312"/>
              </w:rPr>
              <w:t>（3）依据设计文件要求：本招标工程项目的材料、设备、施工必须达到现行中华人民共和国及省、市、行业的一切有关工程建设标准、法规、规范的要求。</w:t>
            </w:r>
          </w:p>
          <w:p>
            <w:pPr>
              <w:pStyle w:val="null3"/>
            </w:pPr>
            <w:r>
              <w:rPr>
                <w:rFonts w:ascii="仿宋_GB2312" w:hAnsi="仿宋_GB2312" w:cs="仿宋_GB2312" w:eastAsia="仿宋_GB2312"/>
              </w:rPr>
              <w:t>（4）以最新标准为准。</w:t>
            </w:r>
          </w:p>
          <w:p>
            <w:pPr>
              <w:pStyle w:val="null3"/>
            </w:pPr>
            <w:r>
              <w:rPr>
                <w:rFonts w:ascii="仿宋_GB2312" w:hAnsi="仿宋_GB2312" w:cs="仿宋_GB2312" w:eastAsia="仿宋_GB2312"/>
              </w:rPr>
              <w:t>二、根据工程设计要求，该项工程项目的材料、施工除必须达到以上标准外，还应满足设计要求和采购人在招标文件中的有关要求。</w:t>
            </w:r>
          </w:p>
          <w:p>
            <w:pPr>
              <w:pStyle w:val="null3"/>
            </w:pPr>
            <w:r>
              <w:rPr>
                <w:rFonts w:ascii="仿宋_GB2312" w:hAnsi="仿宋_GB2312" w:cs="仿宋_GB2312" w:eastAsia="仿宋_GB2312"/>
              </w:rPr>
              <w:t>三、本工程所有主要材料必须符合设计要求及国家有关规定，有出厂合格证，经质检部门检验合格。</w:t>
            </w:r>
          </w:p>
          <w:p>
            <w:pPr>
              <w:pStyle w:val="null3"/>
            </w:pPr>
            <w:r>
              <w:rPr>
                <w:rFonts w:ascii="仿宋_GB2312" w:hAnsi="仿宋_GB2312" w:cs="仿宋_GB2312" w:eastAsia="仿宋_GB2312"/>
              </w:rPr>
              <w:t>四、未尽的工程质量技术要求均按现行国家、省、市有关规范和标准执行。</w:t>
            </w:r>
          </w:p>
          <w:p>
            <w:pPr>
              <w:pStyle w:val="null3"/>
            </w:pPr>
            <w:r>
              <w:rPr>
                <w:rFonts w:ascii="仿宋_GB2312" w:hAnsi="仿宋_GB2312" w:cs="仿宋_GB2312" w:eastAsia="仿宋_GB2312"/>
              </w:rPr>
              <w:t>五、工程量清单（另附）。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工期：自合同签订之日起60日历天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线下递交文件时间：详见本项目招标公告文件截止时间；线下递交文件地点：临潼区昌龄巷北排东一号。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1、投标人应提交的相关资格证明材料.docx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或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1、投标人应提交的相关资格证明材料.docx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或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②、税收缴纳证明：提供自2025年6月1日至投标截止日已缴纳的任意一个月的纳税证明或完税证明，依法免税的单位应提供相关证明材料； ③、社会保障资金缴纳证明：提供自2025年6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供应商具备建筑工程施工总承包二级及以上资质，且具有有效的安全生产许可证；</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拟派项目经理具备建筑工程专业贰级及以上注册建造师证书，且具有有效的安全生产考核合格证书（B 证），提供无在建项目证明（承诺书）；</w:t>
            </w:r>
          </w:p>
        </w:tc>
        <w:tc>
          <w:tcPr>
            <w:tcW w:type="dxa" w:w="1661"/>
          </w:tcPr>
          <w:p>
            <w:pPr>
              <w:pStyle w:val="null3"/>
            </w:pPr>
            <w:r>
              <w:rPr>
                <w:rFonts w:ascii="仿宋_GB2312" w:hAnsi="仿宋_GB2312" w:cs="仿宋_GB2312" w:eastAsia="仿宋_GB2312"/>
              </w:rPr>
              <w:t>1、投标人应提交的相关资格证明材料.docx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按要求提交二次或多次报价，且第一轮报价不 超过最高限价，第二轮报价不超过第一轮报价 金额。磋商小组认为低于成本报价的磋商报价 将被拒绝。</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工程质量、计划工期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1.方案全面，对评审内容中的各项要求有详细阐述；切合本项目实际情况，提出步骤清晰、合理的方案；方案能够紧扣项目实际情况，内容科学合理的计6分;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2、施工方案.docx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3、项目经理部组成及劳动力投入.docx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4、确保安全生产的技术组织措施.docx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5、确保工程质量的技术组织措施.docx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6、确保文明施工的技术措施及环境保护措施.docx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7、确保工期的技术组织措施.docx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1.方案全面，对评审内容中的各项要求有详细阐述；切合本项目实际情况，提出步骤清晰、合理的方案；方案能够紧扣项目实际情况，内容科学合理的计6分;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8、施工机械设备和材料投入计划.docx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9、施工承诺.docx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p>
            <w:pPr>
              <w:pStyle w:val="null3"/>
            </w:pPr>
            <w:r>
              <w:rPr>
                <w:rFonts w:ascii="仿宋_GB2312" w:hAnsi="仿宋_GB2312" w:cs="仿宋_GB2312" w:eastAsia="仿宋_GB2312"/>
              </w:rPr>
              <w:t>技术内容、合同条款及其他商务要求应答表.docx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属于前述第1项至第4项情形的，应当要求相关供应商在电子化交易平台50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详见附件：1、投标人应提交的相关资格证明材料.docx</w:t>
      </w:r>
    </w:p>
    <w:p>
      <w:pPr>
        <w:pStyle w:val="null3"/>
        <w:ind w:firstLine="960"/>
      </w:pPr>
      <w:r>
        <w:rPr>
          <w:rFonts w:ascii="仿宋_GB2312" w:hAnsi="仿宋_GB2312" w:cs="仿宋_GB2312" w:eastAsia="仿宋_GB2312"/>
        </w:rPr>
        <w:t>详见附件：2、施工方案.docx</w:t>
      </w:r>
    </w:p>
    <w:p>
      <w:pPr>
        <w:pStyle w:val="null3"/>
        <w:ind w:firstLine="960"/>
      </w:pPr>
      <w:r>
        <w:rPr>
          <w:rFonts w:ascii="仿宋_GB2312" w:hAnsi="仿宋_GB2312" w:cs="仿宋_GB2312" w:eastAsia="仿宋_GB2312"/>
        </w:rPr>
        <w:t>详见附件：3、项目经理部组成及劳动力投入.docx</w:t>
      </w:r>
    </w:p>
    <w:p>
      <w:pPr>
        <w:pStyle w:val="null3"/>
        <w:ind w:firstLine="960"/>
      </w:pPr>
      <w:r>
        <w:rPr>
          <w:rFonts w:ascii="仿宋_GB2312" w:hAnsi="仿宋_GB2312" w:cs="仿宋_GB2312" w:eastAsia="仿宋_GB2312"/>
        </w:rPr>
        <w:t>详见附件：4、确保安全生产的技术组织措施.docx</w:t>
      </w:r>
    </w:p>
    <w:p>
      <w:pPr>
        <w:pStyle w:val="null3"/>
        <w:ind w:firstLine="960"/>
      </w:pPr>
      <w:r>
        <w:rPr>
          <w:rFonts w:ascii="仿宋_GB2312" w:hAnsi="仿宋_GB2312" w:cs="仿宋_GB2312" w:eastAsia="仿宋_GB2312"/>
        </w:rPr>
        <w:t>详见附件：5、确保工程质量的技术组织措施.docx</w:t>
      </w:r>
    </w:p>
    <w:p>
      <w:pPr>
        <w:pStyle w:val="null3"/>
        <w:ind w:firstLine="960"/>
      </w:pPr>
      <w:r>
        <w:rPr>
          <w:rFonts w:ascii="仿宋_GB2312" w:hAnsi="仿宋_GB2312" w:cs="仿宋_GB2312" w:eastAsia="仿宋_GB2312"/>
        </w:rPr>
        <w:t>详见附件：6、确保文明施工的技术措施及环境保护措施.docx</w:t>
      </w:r>
    </w:p>
    <w:p>
      <w:pPr>
        <w:pStyle w:val="null3"/>
        <w:ind w:firstLine="960"/>
      </w:pPr>
      <w:r>
        <w:rPr>
          <w:rFonts w:ascii="仿宋_GB2312" w:hAnsi="仿宋_GB2312" w:cs="仿宋_GB2312" w:eastAsia="仿宋_GB2312"/>
        </w:rPr>
        <w:t>详见附件：7、确保工期的技术组织措施.docx</w:t>
      </w:r>
    </w:p>
    <w:p>
      <w:pPr>
        <w:pStyle w:val="null3"/>
        <w:ind w:firstLine="960"/>
      </w:pPr>
      <w:r>
        <w:rPr>
          <w:rFonts w:ascii="仿宋_GB2312" w:hAnsi="仿宋_GB2312" w:cs="仿宋_GB2312" w:eastAsia="仿宋_GB2312"/>
        </w:rPr>
        <w:t>详见附件：8、施工机械设备和材料投入计划.docx</w:t>
      </w:r>
    </w:p>
    <w:p>
      <w:pPr>
        <w:pStyle w:val="null3"/>
        <w:ind w:firstLine="960"/>
      </w:pPr>
      <w:r>
        <w:rPr>
          <w:rFonts w:ascii="仿宋_GB2312" w:hAnsi="仿宋_GB2312" w:cs="仿宋_GB2312" w:eastAsia="仿宋_GB2312"/>
        </w:rPr>
        <w:t>详见附件：9、施工承诺.docx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详见附件：技术内容、合同条款及其他商务要求应答表.docx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