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版本号：RH采字【20251003】号.1B120260604001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高密度电法测量系统(二次)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RH采字【20251003】号.1B1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高密度电法测量系统(二次)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RH采字【20251003】号.1B1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高密度电法测量系统(二次)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密度电法测量系统作为一种先进的电法勘探设备，具备高分辨率、高深度适应性、快速数据采集等优点，已在国内外多个科研领域得到广泛应用。为提升我校水利、地质、环境监测、土木工程等专业的科研能力与教学水平，满足日益增长的地质勘探与环境监测需求，决定购置高密度电法测量系统，以支持相关研究、教学和社会服务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进口产品授权：所投产品为进口产品的，（1）厂家直投：提供制造厂家声明函（格式自拟）；（2）代理商投标：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400万项目招标代理服务费调整比例按照报价依据的60%计费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密度电法测量系统作为一种先进的电法勘探设备，具备高分辨率、高深度适应性、快速数据采集等优点，已在国内外多个科研领域得到广泛应用。为提升我校水利、地质、环境监测、土木工程等专业的科研能力与教学水平，满足日益增长的地质勘探与环境监测需求，决定购置高密度电法测量系统，以支持相关研究、教学和社会服务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高密度电法测量系统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标的名称：高密度电法测量系统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1.主机系统：</w:t>
            </w:r>
          </w:p>
          <w:p>
            <w:pPr>
              <w:pStyle w:val="null3"/>
              <w:jc w:val="both"/>
            </w:pPr>
            <w:r>
              <w:rPr>
                <w:rFonts w:ascii="仿宋_GB2312" w:hAnsi="仿宋_GB2312" w:cs="仿宋_GB2312" w:eastAsia="仿宋_GB2312"/>
                <w:sz w:val="20"/>
              </w:rPr>
              <w:t>1.1．测量功能：可进行陆地、井中、水上及水下高密度测量；</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1.2．主机具备WIFI功能，且有外置WiFi增强串口，可增强控制距离，数据传输和命令文件可通过RS-232C串口导入/出主机，可通过面板开关调节连接方式，主机屏幕背光可按键调节，不受气候及强光影响；</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1.3．输入道数：≥</w:t>
            </w:r>
            <w:r>
              <w:rPr>
                <w:rFonts w:ascii="仿宋_GB2312" w:hAnsi="仿宋_GB2312" w:cs="仿宋_GB2312" w:eastAsia="仿宋_GB2312"/>
                <w:sz w:val="20"/>
              </w:rPr>
              <w:t>硬件</w:t>
            </w:r>
            <w:r>
              <w:rPr>
                <w:rFonts w:ascii="仿宋_GB2312" w:hAnsi="仿宋_GB2312" w:cs="仿宋_GB2312" w:eastAsia="仿宋_GB2312"/>
                <w:sz w:val="20"/>
              </w:rPr>
              <w:t>8</w:t>
            </w:r>
            <w:r>
              <w:rPr>
                <w:rFonts w:ascii="仿宋_GB2312" w:hAnsi="仿宋_GB2312" w:cs="仿宋_GB2312" w:eastAsia="仿宋_GB2312"/>
                <w:sz w:val="20"/>
              </w:rPr>
              <w:t>道</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1.4．主机具有短路保护功能，外置保险丝数≥3个，且具备高效的2D/3D滚动功能，可同时连接电极数≥65000个；</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1.5．遥控检测功能：系统与因特网连接后可以通过Email自动传送数据、通过手机短信发出警报。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1.6．电阻率测量时间：用户通过键盘输入，可选基本测量时间0.2、0.4、0.8、1.2、3.6、7.2、14.4等。</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1.7．主机测量模式：智能电极支持电阻率测量或IP模式测量，远参考选项（多站配置），可作为远参考站，也可当做独立的采集站，传感器集成外置信号放大器，确保信号采集质量；</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rPr>
              <w:t>1.8．输入/出电流：1mA—2000mA，接收机可接受最大发射功率≥15kW；</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1.9．主机具有自检测试接口，可进行≥8通道自检，主机具备主副电源供电，操作面板可监控；</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0"/>
              </w:rPr>
              <w:t>1.10．数据储存能力：≥79000次电阻率读数和26000个电阻率和极化率复合读数；</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0"/>
              </w:rPr>
              <w:t>1.11．信号处理：连续对每次测量之后取平均值，自动计算信噪比，电压，电流和视电阻率；电阻率值根据用户所选择的装置自动计算；</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1.12．实用性：在恶劣天气情况下，可通过数字输入键盘和功能键操作设备，按键数≥18个；</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0"/>
              </w:rPr>
              <w:t>1.13．为了便于野外作业，仪器重量≤1</w:t>
            </w:r>
            <w:r>
              <w:rPr>
                <w:rFonts w:ascii="仿宋_GB2312" w:hAnsi="仿宋_GB2312" w:cs="仿宋_GB2312" w:eastAsia="仿宋_GB2312"/>
                <w:sz w:val="20"/>
              </w:rPr>
              <w:t>5</w:t>
            </w:r>
            <w:r>
              <w:rPr>
                <w:rFonts w:ascii="仿宋_GB2312" w:hAnsi="仿宋_GB2312" w:cs="仿宋_GB2312" w:eastAsia="仿宋_GB2312"/>
                <w:sz w:val="20"/>
              </w:rPr>
              <w:t>Kg。</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0"/>
              </w:rPr>
              <w:t>1.14．自动补偿自然电位：主机在测量中自动消除自然电位的影响；</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0"/>
              </w:rPr>
              <w:t>1.15．</w:t>
            </w:r>
            <w:r>
              <w:rPr>
                <w:rFonts w:ascii="仿宋_GB2312" w:hAnsi="仿宋_GB2312" w:cs="仿宋_GB2312" w:eastAsia="仿宋_GB2312"/>
                <w:sz w:val="20"/>
              </w:rPr>
              <w:t>工作温度：</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条件下开关机、屏幕设置及显示、按键功能、指示灯、蜂鸣器及相关数据均可正常使用；</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0"/>
              </w:rPr>
              <w:t>1.16．室内电源需求：直流电源；</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0"/>
              </w:rPr>
              <w:t>1.17.</w:t>
            </w:r>
            <w:r>
              <w:rPr>
                <w:rFonts w:ascii="仿宋_GB2312" w:hAnsi="仿宋_GB2312" w:cs="仿宋_GB2312" w:eastAsia="仿宋_GB2312"/>
                <w:sz w:val="20"/>
              </w:rPr>
              <w:t>测量模式：视电阻率、电阻率、自然电位、极化率、电池电压</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0"/>
              </w:rPr>
              <w:t>1.18.</w:t>
            </w:r>
            <w:r>
              <w:rPr>
                <w:rFonts w:ascii="仿宋_GB2312" w:hAnsi="仿宋_GB2312" w:cs="仿宋_GB2312" w:eastAsia="仿宋_GB2312"/>
                <w:sz w:val="20"/>
              </w:rPr>
              <w:t>分 辨 率：≤</w:t>
            </w:r>
            <w:r>
              <w:rPr>
                <w:rFonts w:ascii="仿宋_GB2312" w:hAnsi="仿宋_GB2312" w:cs="仿宋_GB2312" w:eastAsia="仿宋_GB2312"/>
                <w:sz w:val="20"/>
              </w:rPr>
              <w:t>30nV</w:t>
            </w:r>
            <w:r>
              <w:rPr>
                <w:rFonts w:ascii="仿宋_GB2312" w:hAnsi="仿宋_GB2312" w:cs="仿宋_GB2312" w:eastAsia="仿宋_GB2312"/>
                <w:sz w:val="20"/>
              </w:rPr>
              <w:t>，测量精度：优于</w:t>
            </w:r>
            <w:r>
              <w:rPr>
                <w:rFonts w:ascii="仿宋_GB2312" w:hAnsi="仿宋_GB2312" w:cs="仿宋_GB2312" w:eastAsia="仿宋_GB2312"/>
                <w:sz w:val="20"/>
              </w:rPr>
              <w:t>1%</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0"/>
              </w:rPr>
              <w:t>1.19.IP</w:t>
            </w:r>
            <w:r>
              <w:rPr>
                <w:rFonts w:ascii="仿宋_GB2312" w:hAnsi="仿宋_GB2312" w:cs="仿宋_GB2312" w:eastAsia="仿宋_GB2312"/>
                <w:sz w:val="20"/>
              </w:rPr>
              <w:t>测量方式：时间域极化率（</w:t>
            </w:r>
            <w:r>
              <w:rPr>
                <w:rFonts w:ascii="仿宋_GB2312" w:hAnsi="仿宋_GB2312" w:cs="仿宋_GB2312" w:eastAsia="仿宋_GB2312"/>
                <w:sz w:val="20"/>
              </w:rPr>
              <w:t>M</w:t>
            </w:r>
            <w:r>
              <w:rPr>
                <w:rFonts w:ascii="仿宋_GB2312" w:hAnsi="仿宋_GB2312" w:cs="仿宋_GB2312" w:eastAsia="仿宋_GB2312"/>
                <w:sz w:val="20"/>
              </w:rPr>
              <w:t>）测</w:t>
            </w:r>
            <w:r>
              <w:rPr>
                <w:rFonts w:ascii="仿宋_GB2312" w:hAnsi="仿宋_GB2312" w:cs="仿宋_GB2312" w:eastAsia="仿宋_GB2312"/>
                <w:sz w:val="20"/>
              </w:rPr>
              <w:t>6</w:t>
            </w:r>
            <w:r>
              <w:rPr>
                <w:rFonts w:ascii="仿宋_GB2312" w:hAnsi="仿宋_GB2312" w:cs="仿宋_GB2312" w:eastAsia="仿宋_GB2312"/>
                <w:sz w:val="20"/>
              </w:rPr>
              <w:t>个时段并存储；工作装置：</w:t>
            </w:r>
            <w:r>
              <w:rPr>
                <w:rFonts w:ascii="仿宋_GB2312" w:hAnsi="仿宋_GB2312" w:cs="仿宋_GB2312" w:eastAsia="仿宋_GB2312"/>
                <w:sz w:val="20"/>
              </w:rPr>
              <w:t>Shlumberger</w:t>
            </w:r>
            <w:r>
              <w:rPr>
                <w:rFonts w:ascii="仿宋_GB2312" w:hAnsi="仿宋_GB2312" w:cs="仿宋_GB2312" w:eastAsia="仿宋_GB2312"/>
                <w:sz w:val="20"/>
              </w:rPr>
              <w:t>，</w:t>
            </w:r>
            <w:r>
              <w:rPr>
                <w:rFonts w:ascii="仿宋_GB2312" w:hAnsi="仿宋_GB2312" w:cs="仿宋_GB2312" w:eastAsia="仿宋_GB2312"/>
                <w:sz w:val="20"/>
              </w:rPr>
              <w:t>Wenner</w:t>
            </w:r>
            <w:r>
              <w:rPr>
                <w:rFonts w:ascii="仿宋_GB2312" w:hAnsi="仿宋_GB2312" w:cs="仿宋_GB2312" w:eastAsia="仿宋_GB2312"/>
                <w:sz w:val="20"/>
              </w:rPr>
              <w:t>，</w:t>
            </w:r>
            <w:r>
              <w:rPr>
                <w:rFonts w:ascii="仿宋_GB2312" w:hAnsi="仿宋_GB2312" w:cs="仿宋_GB2312" w:eastAsia="仿宋_GB2312"/>
                <w:sz w:val="20"/>
              </w:rPr>
              <w:t>dipole-dipole</w:t>
            </w:r>
            <w:r>
              <w:rPr>
                <w:rFonts w:ascii="仿宋_GB2312" w:hAnsi="仿宋_GB2312" w:cs="仿宋_GB2312" w:eastAsia="仿宋_GB2312"/>
                <w:sz w:val="20"/>
              </w:rPr>
              <w:t>，</w:t>
            </w:r>
            <w:r>
              <w:rPr>
                <w:rFonts w:ascii="仿宋_GB2312" w:hAnsi="仿宋_GB2312" w:cs="仿宋_GB2312" w:eastAsia="仿宋_GB2312"/>
                <w:sz w:val="20"/>
              </w:rPr>
              <w:t>pole-dipole</w:t>
            </w:r>
            <w:r>
              <w:rPr>
                <w:rFonts w:ascii="仿宋_GB2312" w:hAnsi="仿宋_GB2312" w:cs="仿宋_GB2312" w:eastAsia="仿宋_GB2312"/>
                <w:sz w:val="20"/>
              </w:rPr>
              <w:t>，</w:t>
            </w:r>
            <w:r>
              <w:rPr>
                <w:rFonts w:ascii="仿宋_GB2312" w:hAnsi="仿宋_GB2312" w:cs="仿宋_GB2312" w:eastAsia="仿宋_GB2312"/>
                <w:sz w:val="20"/>
              </w:rPr>
              <w:t>pole-pole</w:t>
            </w:r>
            <w:r>
              <w:rPr>
                <w:rFonts w:ascii="仿宋_GB2312" w:hAnsi="仿宋_GB2312" w:cs="仿宋_GB2312" w:eastAsia="仿宋_GB2312"/>
                <w:sz w:val="20"/>
              </w:rPr>
              <w:t>等常规装置，支持用户自定义装置。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0"/>
              </w:rPr>
              <w:t>1.20.</w:t>
            </w:r>
            <w:r>
              <w:rPr>
                <w:rFonts w:ascii="仿宋_GB2312" w:hAnsi="仿宋_GB2312" w:cs="仿宋_GB2312" w:eastAsia="仿宋_GB2312"/>
                <w:sz w:val="20"/>
              </w:rPr>
              <w:t>噪声压制：在</w:t>
            </w:r>
            <w:r>
              <w:rPr>
                <w:rFonts w:ascii="仿宋_GB2312" w:hAnsi="仿宋_GB2312" w:cs="仿宋_GB2312" w:eastAsia="仿宋_GB2312"/>
                <w:sz w:val="20"/>
              </w:rPr>
              <w:t>f</w:t>
            </w:r>
            <w:r>
              <w:rPr>
                <w:rFonts w:ascii="仿宋_GB2312" w:hAnsi="仿宋_GB2312" w:cs="仿宋_GB2312" w:eastAsia="仿宋_GB2312"/>
                <w:sz w:val="20"/>
              </w:rPr>
              <w:t>＞</w:t>
            </w:r>
            <w:r>
              <w:rPr>
                <w:rFonts w:ascii="仿宋_GB2312" w:hAnsi="仿宋_GB2312" w:cs="仿宋_GB2312" w:eastAsia="仿宋_GB2312"/>
                <w:sz w:val="20"/>
              </w:rPr>
              <w:t>20Hz</w:t>
            </w:r>
            <w:r>
              <w:rPr>
                <w:rFonts w:ascii="仿宋_GB2312" w:hAnsi="仿宋_GB2312" w:cs="仿宋_GB2312" w:eastAsia="仿宋_GB2312"/>
                <w:sz w:val="20"/>
              </w:rPr>
              <w:t>时，优于</w:t>
            </w:r>
            <w:r>
              <w:rPr>
                <w:rFonts w:ascii="仿宋_GB2312" w:hAnsi="仿宋_GB2312" w:cs="仿宋_GB2312" w:eastAsia="仿宋_GB2312"/>
                <w:sz w:val="20"/>
              </w:rPr>
              <w:t>100dB</w:t>
            </w:r>
            <w:r>
              <w:rPr>
                <w:rFonts w:ascii="仿宋_GB2312" w:hAnsi="仿宋_GB2312" w:cs="仿宋_GB2312" w:eastAsia="仿宋_GB2312"/>
                <w:sz w:val="20"/>
              </w:rPr>
              <w:t>，工频下优于</w:t>
            </w:r>
            <w:r>
              <w:rPr>
                <w:rFonts w:ascii="仿宋_GB2312" w:hAnsi="仿宋_GB2312" w:cs="仿宋_GB2312" w:eastAsia="仿宋_GB2312"/>
                <w:sz w:val="20"/>
              </w:rPr>
              <w:t>120dB</w:t>
            </w:r>
            <w:r>
              <w:rPr>
                <w:rFonts w:ascii="仿宋_GB2312" w:hAnsi="仿宋_GB2312" w:cs="仿宋_GB2312" w:eastAsia="仿宋_GB2312"/>
                <w:sz w:val="20"/>
              </w:rPr>
              <w:t>；噪声抑制：</w:t>
            </w:r>
            <w:r>
              <w:rPr>
                <w:rFonts w:ascii="仿宋_GB2312" w:hAnsi="仿宋_GB2312" w:cs="仿宋_GB2312" w:eastAsia="仿宋_GB2312"/>
                <w:sz w:val="20"/>
              </w:rPr>
              <w:t>f</w:t>
            </w:r>
            <w:r>
              <w:rPr>
                <w:rFonts w:ascii="仿宋_GB2312" w:hAnsi="仿宋_GB2312" w:cs="仿宋_GB2312" w:eastAsia="仿宋_GB2312"/>
                <w:sz w:val="20"/>
              </w:rPr>
              <w:t>＞</w:t>
            </w:r>
            <w:r>
              <w:rPr>
                <w:rFonts w:ascii="仿宋_GB2312" w:hAnsi="仿宋_GB2312" w:cs="仿宋_GB2312" w:eastAsia="仿宋_GB2312"/>
                <w:sz w:val="20"/>
              </w:rPr>
              <w:t>20Hz</w:t>
            </w:r>
            <w:r>
              <w:rPr>
                <w:rFonts w:ascii="仿宋_GB2312" w:hAnsi="仿宋_GB2312" w:cs="仿宋_GB2312" w:eastAsia="仿宋_GB2312"/>
                <w:sz w:val="20"/>
              </w:rPr>
              <w:t>时，优于</w:t>
            </w:r>
            <w:r>
              <w:rPr>
                <w:rFonts w:ascii="仿宋_GB2312" w:hAnsi="仿宋_GB2312" w:cs="仿宋_GB2312" w:eastAsia="仿宋_GB2312"/>
                <w:sz w:val="20"/>
              </w:rPr>
              <w:t>100dB</w:t>
            </w:r>
            <w:r>
              <w:rPr>
                <w:rFonts w:ascii="仿宋_GB2312" w:hAnsi="仿宋_GB2312" w:cs="仿宋_GB2312" w:eastAsia="仿宋_GB2312"/>
                <w:sz w:val="20"/>
              </w:rPr>
              <w:t>，电力线频率时优于</w:t>
            </w:r>
            <w:r>
              <w:rPr>
                <w:rFonts w:ascii="仿宋_GB2312" w:hAnsi="仿宋_GB2312" w:cs="仿宋_GB2312" w:eastAsia="仿宋_GB2312"/>
                <w:sz w:val="20"/>
              </w:rPr>
              <w:t>120dB</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0"/>
              </w:rPr>
              <w:t>1.21.</w:t>
            </w:r>
            <w:r>
              <w:rPr>
                <w:rFonts w:ascii="仿宋_GB2312" w:hAnsi="仿宋_GB2312" w:cs="仿宋_GB2312" w:eastAsia="仿宋_GB2312"/>
                <w:sz w:val="20"/>
              </w:rPr>
              <w:t>输出电压：≥</w:t>
            </w:r>
            <w:r>
              <w:rPr>
                <w:rFonts w:ascii="仿宋_GB2312" w:hAnsi="仿宋_GB2312" w:cs="仿宋_GB2312" w:eastAsia="仿宋_GB2312"/>
                <w:sz w:val="20"/>
              </w:rPr>
              <w:t>800VP-P</w:t>
            </w:r>
            <w:r>
              <w:rPr>
                <w:rFonts w:ascii="仿宋_GB2312" w:hAnsi="仿宋_GB2312" w:cs="仿宋_GB2312" w:eastAsia="仿宋_GB2312"/>
                <w:sz w:val="20"/>
              </w:rPr>
              <w:t>；输出功率：≥</w:t>
            </w:r>
            <w:r>
              <w:rPr>
                <w:rFonts w:ascii="仿宋_GB2312" w:hAnsi="仿宋_GB2312" w:cs="仿宋_GB2312" w:eastAsia="仿宋_GB2312"/>
                <w:sz w:val="20"/>
              </w:rPr>
              <w:t>200W</w:t>
            </w:r>
            <w:r>
              <w:rPr>
                <w:rFonts w:ascii="仿宋_GB2312" w:hAnsi="仿宋_GB2312" w:cs="仿宋_GB2312" w:eastAsia="仿宋_GB2312"/>
                <w:sz w:val="20"/>
              </w:rPr>
              <w:t>；测量范围：</w:t>
            </w:r>
            <w:r>
              <w:rPr>
                <w:rFonts w:ascii="仿宋_GB2312" w:hAnsi="仿宋_GB2312" w:cs="仿宋_GB2312" w:eastAsia="仿宋_GB2312"/>
                <w:sz w:val="20"/>
              </w:rPr>
              <w:t>+/- 10VP-P</w:t>
            </w:r>
            <w:r>
              <w:rPr>
                <w:rFonts w:ascii="仿宋_GB2312" w:hAnsi="仿宋_GB2312" w:cs="仿宋_GB2312" w:eastAsia="仿宋_GB2312"/>
                <w:sz w:val="20"/>
              </w:rPr>
              <w:t>；输入电压：≥</w:t>
            </w:r>
            <w:r>
              <w:rPr>
                <w:rFonts w:ascii="仿宋_GB2312" w:hAnsi="仿宋_GB2312" w:cs="仿宋_GB2312" w:eastAsia="仿宋_GB2312"/>
                <w:sz w:val="20"/>
              </w:rPr>
              <w:t>10V</w:t>
            </w:r>
            <w:r>
              <w:rPr>
                <w:rFonts w:ascii="仿宋_GB2312" w:hAnsi="仿宋_GB2312" w:cs="仿宋_GB2312" w:eastAsia="仿宋_GB2312"/>
                <w:sz w:val="20"/>
              </w:rPr>
              <w:t>；输入阻抗：＞</w:t>
            </w:r>
            <w:r>
              <w:rPr>
                <w:rFonts w:ascii="仿宋_GB2312" w:hAnsi="仿宋_GB2312" w:cs="仿宋_GB2312" w:eastAsia="仿宋_GB2312"/>
                <w:sz w:val="20"/>
              </w:rPr>
              <w:t>150M</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0"/>
              </w:rPr>
              <w:t>1.22.</w:t>
            </w:r>
            <w:r>
              <w:rPr>
                <w:rFonts w:ascii="仿宋_GB2312" w:hAnsi="仿宋_GB2312" w:cs="仿宋_GB2312" w:eastAsia="仿宋_GB2312"/>
                <w:sz w:val="20"/>
              </w:rPr>
              <w:t>野外电源：</w:t>
            </w:r>
            <w:r>
              <w:rPr>
                <w:rFonts w:ascii="仿宋_GB2312" w:hAnsi="仿宋_GB2312" w:cs="仿宋_GB2312" w:eastAsia="仿宋_GB2312"/>
                <w:sz w:val="20"/>
              </w:rPr>
              <w:t>12V</w:t>
            </w:r>
            <w:r>
              <w:rPr>
                <w:rFonts w:ascii="仿宋_GB2312" w:hAnsi="仿宋_GB2312" w:cs="仿宋_GB2312" w:eastAsia="仿宋_GB2312"/>
                <w:sz w:val="20"/>
              </w:rPr>
              <w:t>或</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12V</w:t>
            </w:r>
            <w:r>
              <w:rPr>
                <w:rFonts w:ascii="仿宋_GB2312" w:hAnsi="仿宋_GB2312" w:cs="仿宋_GB2312" w:eastAsia="仿宋_GB2312"/>
                <w:sz w:val="20"/>
              </w:rPr>
              <w:t>外接电源，内置节电设置</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0"/>
              </w:rPr>
              <w:t>1.23.</w:t>
            </w:r>
            <w:r>
              <w:rPr>
                <w:rFonts w:ascii="仿宋_GB2312" w:hAnsi="仿宋_GB2312" w:cs="仿宋_GB2312" w:eastAsia="仿宋_GB2312"/>
                <w:sz w:val="20"/>
              </w:rPr>
              <w:t>外壳包装：密封、防水、耐压。</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0"/>
                <w:b/>
              </w:rPr>
              <w:t>2.数据处理软件：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数据处理软件具备二维、三维、及四维时间推移反演功能；</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软件支持</w:t>
            </w:r>
            <w:r>
              <w:rPr>
                <w:rFonts w:ascii="仿宋_GB2312" w:hAnsi="仿宋_GB2312" w:cs="仿宋_GB2312" w:eastAsia="仿宋_GB2312"/>
                <w:sz w:val="20"/>
              </w:rPr>
              <w:t>拓展水上数据预处理模块。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进口设备：合同签订后180日历日内供货、安装、调试并交付使用； 国产设备，合同签订后120日历日内供货、安装、调试并交付使用；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国产产品付款方式：合同签订后5个工作日内，采购人向中标供应商支付合同总价的40%；设备运抵采购人指定地点并经采购人初步查验无误后，中标供应商按照剩余合同额向采购人开具不可撤销、见索即付的银行保函，采购人收到银行保函正本后5个工作日内向中标供应商支付等额款项；设备安装调试完成，经采购人验收合格并签署《验收合格报告》后，中标供应商开具增值税专用发票，采购人5个工作日内向中标供应商退还不可撤销、见索即付的银行保函正本。（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验收标准：按照说明书验收。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包装标准三重防护：1.防静电真空密封内包装2.定制抗震泡沫模具3.防水外箱；专业仪器物流。</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（1）产品保修期（三包期）：自验收合格之日起1年。 （2）厂家终生免费提供软件升级服务。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【一】需执行的国家相关标准、行业标准、地方标准或者其他标准、规范：中华人民共和国地质矿产行业标准 DZ/T 0072-2020代替DZ/T 0072-93 【二】培训要求：合同签订后向用户提交现场培训计划，并根据用户意见修改后形成培训大纲。在用户发出培训通知10天内完成培训。 1.培训目的： 使用者了解设备的原理和组成；熟悉设备的使用和操作，尤其是熟练掌握软件的操作；掌握设备的日常维护方法；掌握设备的简单故障的排除和维修；熟练掌握应用软件进行数据处理、分析和出图。 2.培训内容： （1）基础理论培训：工作原理。 （2）系统介绍：系统组成；系统的技术指标；系统的安装和连接。 （3）软件培训和实践：系统软件的安装方法；软件的基本设置；软件参数设置；软件工作流程；软件数据存储、分析和处理；软件备份；软件使用实践和练习。 （4）外业方法和原理：系统硬件连接方法、过程和注意事项；系统加电顺序；系统实际安装介绍、演示和实习；系统加电静态测试介绍；系统标定原理、方法、过程和实习；测量布置方法。 （5）野外测试：完整介绍系统的操作，并实习测线布置等基本作业技能。 数据后处理；数据后处理原理和方法；数据后处理软件的设置和操作练习；处理后数据的分析和出图；系统维修介绍：系统软件和硬件的维护；系统故障诊断和维修：系统软件和硬件的故障诊断和基本维修技能。 （6）培训地点：用户单位 静态理论培训：用户设备所在地室内培训；外业实际操作培训：用户设备所在地的指定地点。 （7）培训要求： 交货后半年内，完成一次不少于24个课时的培训。 【三】进口产品按人民币报价，此报价不受市场价格及外汇汇率波动影响。采购人及招标代理机构不接受任何未办理合法进口手续的非国内生产产品的投标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本项目已通过进口产品论证，投标文件中接受外文资料，但应对应翻译成中文并附在相关外文资料后面。 【四】纸质投标文件要求： （1）中标单位应在中标结果公告发布后5个工作日内提供纸质投标文件三份（正本壹份、副本贰份，分别胶装），投标文件需包含目录、无少页、缺页、连续页码（或单独使用打码器打码）。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的，（1）厂家直投：提供制造厂家声明函（格式自拟）；（2）代理商投标：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商务响应符合实质性要求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技术参数响应满足“▲”项(6项)参数要求，得27分。负偏离每项扣4.5分，扣完为止。 备注：所有“▲”项参数须有佐证材料，佐证材料例如：检测机构出具的检测报告、制造商检验报告、产品彩页、官网功能截图任意一种，不提供或缺漏视为负偏离。</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其他技术参数</w:t>
            </w:r>
          </w:p>
        </w:tc>
        <w:tc>
          <w:tcPr>
            <w:tcW w:type="dxa" w:w="2492"/>
          </w:tcPr>
          <w:p>
            <w:pPr>
              <w:pStyle w:val="null3"/>
            </w:pPr>
            <w:r>
              <w:rPr>
                <w:rFonts w:ascii="仿宋_GB2312" w:hAnsi="仿宋_GB2312" w:cs="仿宋_GB2312" w:eastAsia="仿宋_GB2312"/>
              </w:rPr>
              <w:t>响应非“▲”项(19项)参数要求，得19分。负偏离每项扣1分，扣完为止。</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评审委员会根据供应商所提供的产品技术方案（至少包括：①技术方案、②产品选型、③产品性能、④优势等）进行评审：方案完整，完全包含以上四项且满足采购需求的得8分，缺一项扣2分，每一项内容有缺陷的扣1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委员会根据供应商所提供的实施方案（至少包含①项目团队人员配置及专业能力、②关键时间节点、③进度控制措施、④质量控制措施等）进行评审：方案完整，完全包含以上四项且满足采购需求的得8分，缺一项扣2分，每一项内容有缺陷的扣1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 ①售后服务内容及保障措施：每完全满足一个评审标准得0.5分，满分1.5分； ②响应时间及方式：每完全满足一个评审标准得0.5分，满分1.5分。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提供2023年1月1日以来类似项目业绩（以合同签订日期为准，投标人或者制造商的均可），每份合格业绩合同计1分，满分3分。 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注：小微企业、监狱企业或残疾人福利性单位产品的价格给予10%的扣除后，再参与价格评审。对于本国产品给予20%的价格扣除，用扣除后的价格参与评审。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允许进口产品进行投标，投标人应按要求提供《关于符合本国产品标准得声明函》（格式详见附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