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版本号：JXZB2026-022.1B120260604001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宜君县火化设施建设项目（二标段）(二次)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JXZB2026-022.1B1</w:t>
      </w:r>
      <w:r>
        <w:br/>
      </w:r>
      <w:r>
        <w:br/>
      </w:r>
      <w:r>
        <w:br/>
      </w:r>
    </w:p>
    <w:p>
      <w:pPr>
        <w:pStyle w:val="null3"/>
        <w:jc w:val="center"/>
        <w:outlineLvl w:val="2"/>
      </w:pPr>
      <w:r>
        <w:rPr>
          <w:rFonts w:ascii="仿宋_GB2312" w:hAnsi="仿宋_GB2312" w:cs="仿宋_GB2312" w:eastAsia="仿宋_GB2312"/>
          <w:sz w:val="28"/>
          <w:b/>
        </w:rPr>
        <w:t>宜君县殡葬服务中心</w:t>
      </w:r>
    </w:p>
    <w:p>
      <w:pPr>
        <w:pStyle w:val="null3"/>
        <w:jc w:val="center"/>
        <w:outlineLvl w:val="2"/>
      </w:pPr>
      <w:r>
        <w:rPr>
          <w:rFonts w:ascii="仿宋_GB2312" w:hAnsi="仿宋_GB2312" w:cs="仿宋_GB2312" w:eastAsia="仿宋_GB2312"/>
          <w:sz w:val="28"/>
          <w:b/>
        </w:rPr>
        <w:t>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嘉翔项目管理有限公司</w:t>
      </w:r>
      <w:r>
        <w:rPr>
          <w:rFonts w:ascii="仿宋_GB2312" w:hAnsi="仿宋_GB2312" w:cs="仿宋_GB2312" w:eastAsia="仿宋_GB2312"/>
        </w:rPr>
        <w:t>（以下简称“代理机构”）受</w:t>
      </w:r>
      <w:r>
        <w:rPr>
          <w:rFonts w:ascii="仿宋_GB2312" w:hAnsi="仿宋_GB2312" w:cs="仿宋_GB2312" w:eastAsia="仿宋_GB2312"/>
        </w:rPr>
        <w:t>宜君县殡葬服务中心</w:t>
      </w:r>
      <w:r>
        <w:rPr>
          <w:rFonts w:ascii="仿宋_GB2312" w:hAnsi="仿宋_GB2312" w:cs="仿宋_GB2312" w:eastAsia="仿宋_GB2312"/>
        </w:rPr>
        <w:t>委托，拟对</w:t>
      </w:r>
      <w:r>
        <w:rPr>
          <w:rFonts w:ascii="仿宋_GB2312" w:hAnsi="仿宋_GB2312" w:cs="仿宋_GB2312" w:eastAsia="仿宋_GB2312"/>
        </w:rPr>
        <w:t>宜君县火化设施建设项目（二标段）(二次)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JXZB2026-022.1B1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宜君县火化设施建设项目（二标段）(二次)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宜君县火化设施建设项目（二标段），采购智能彩体平板火化炉1套，烟道及尾气处理设备1套。详见采购文件。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采购包1（宜君县火化设施建设项目(二标段)）：属于专门面向中小企业采购。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等国家规定的相关证明，自然人参与的提供其身份证明：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财务状况报表：法人提供2024年度或2025年度经审计的财务报告，或提交自2025年10月1日以来其基本开户银行出具的资信证明及基本存款账户信息，或信用担保机构出具的投标担保函（以上三种形式的资料提供任何一种即可）；</w:t>
      </w:r>
    </w:p>
    <w:p>
      <w:pPr>
        <w:pStyle w:val="null3"/>
      </w:pPr>
      <w:r>
        <w:rPr>
          <w:rFonts w:ascii="仿宋_GB2312" w:hAnsi="仿宋_GB2312" w:cs="仿宋_GB2312" w:eastAsia="仿宋_GB2312"/>
        </w:rPr>
        <w:t>3、税收缴纳证明：提供供应商2025年至今任意一个月已缴纳的完税凭证或税务机关开具的完税证明（任意税种），依法免税的单位应提供相关证明材料；</w:t>
      </w:r>
    </w:p>
    <w:p>
      <w:pPr>
        <w:pStyle w:val="null3"/>
      </w:pPr>
      <w:r>
        <w:rPr>
          <w:rFonts w:ascii="仿宋_GB2312" w:hAnsi="仿宋_GB2312" w:cs="仿宋_GB2312" w:eastAsia="仿宋_GB2312"/>
        </w:rPr>
        <w:t>4、社会保障资金缴纳证明：提供供应商2025年至今任意一个月的社会保障资金缴存单据或社保机构开具的社会保险参保缴费情况证明。依法不需要缴纳社会保障资金的供应商应提供相关证明文件；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5、声明书：提供具有履行本合同所必需的设备和专业技术能力的声明；</w:t>
      </w:r>
    </w:p>
    <w:p>
      <w:pPr>
        <w:pStyle w:val="null3"/>
      </w:pPr>
      <w:r>
        <w:rPr>
          <w:rFonts w:ascii="仿宋_GB2312" w:hAnsi="仿宋_GB2312" w:cs="仿宋_GB2312" w:eastAsia="仿宋_GB2312"/>
        </w:rPr>
        <w:t>6、声明书：出具参加政府采购活动前3年内在经营活动中没有重大违法记录的书面声明；</w:t>
      </w:r>
    </w:p>
    <w:p>
      <w:pPr>
        <w:pStyle w:val="null3"/>
      </w:pPr>
      <w:r>
        <w:rPr>
          <w:rFonts w:ascii="仿宋_GB2312" w:hAnsi="仿宋_GB2312" w:cs="仿宋_GB2312" w:eastAsia="仿宋_GB2312"/>
        </w:rPr>
        <w:t>7、法定代表人授权书：法定代表人授权书及被授权人身份证(法定代表人直接参加投标，须提交其身份证复印件及法定代表人身份证明)；</w:t>
      </w:r>
    </w:p>
    <w:p>
      <w:pPr>
        <w:pStyle w:val="null3"/>
      </w:pPr>
      <w:r>
        <w:rPr>
          <w:rFonts w:ascii="仿宋_GB2312" w:hAnsi="仿宋_GB2312" w:cs="仿宋_GB2312" w:eastAsia="仿宋_GB2312"/>
        </w:rPr>
        <w:t>8、信用截图：供应商不得为“信用中国”网站(www.creditchina.gov.cn)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pPr>
        <w:pStyle w:val="null3"/>
      </w:pPr>
      <w:r>
        <w:rPr>
          <w:rFonts w:ascii="仿宋_GB2312" w:hAnsi="仿宋_GB2312" w:cs="仿宋_GB2312" w:eastAsia="仿宋_GB2312"/>
        </w:rPr>
        <w:t>9、联合体投标：本项目不接受联合体投标。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宜君县殡葬服务中心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宜君县宜阳街道黑家河村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18009195055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西安曲江新区雁南五路曲江影视大厦19层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029-85495286转8009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蔡富春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国家发展改革委《关于降低部分建设项目收费标准规范收费行为等有关问题的通知》（发改价格[2011]534号）”规定收费标准收取。结算时以项目成交价为基数，按照合同签订收取比例计算招标代理服务费，代理费不足3000元的，按3000元收取。 招标代理服务费收款账户信息： 招标代理机构开户名称：嘉翔项目管理有限公司 开户行名称：中国建设银行股份有限公司西安八里村支行 账号：61050172370000000288 转账附言：JXZB2026-022.1B1代理服务费 注：中标人支付招标代理服务费后，请将转账凭证、单位开票信息、发票收件人地址信息发至3363927373@qq.com，如有疑问，可致电029-85495286 转 8009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宜君县殡葬服务中心</w:t>
      </w:r>
      <w:r>
        <w:rPr>
          <w:rFonts w:ascii="仿宋_GB2312" w:hAnsi="仿宋_GB2312" w:cs="仿宋_GB2312" w:eastAsia="仿宋_GB2312"/>
        </w:rPr>
        <w:t>和</w:t>
      </w:r>
      <w:r>
        <w:rPr>
          <w:rFonts w:ascii="仿宋_GB2312" w:hAnsi="仿宋_GB2312" w:cs="仿宋_GB2312" w:eastAsia="仿宋_GB2312"/>
        </w:rPr>
        <w:t>嘉翔项目管理有限公司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宜君县殡葬服务中心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宜君县殡葬服务中心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 2）是否邀请本项目的其他供应商：否 3）是否邀请专家：是 4）是否邀请服务对象：否 5）是否邀请第三方检测机构：否 6）履约验收程序：一次性验收。7）履约验收时间： 供应商提出验收申请之日起7日内组织验收 8）验收组织的其他事项：如第一次验收不合格的中标单位，必须在接到整改通知后7个日历日内确保项目通过最后验收。若接到整改通知后7个日历日内验收仍不合格，采购人可提出索赔或取消其供货合同。 9）技术履约验收内容：宜君县火化设施建设项目(二标段)全部内容。10）履约验收标准：产品性能满足本项目采购要求，质量达到合格标准，所有产品能够正常使用，并经采购人验收合格。</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联系人：田凯</w:t>
      </w:r>
    </w:p>
    <w:p>
      <w:pPr>
        <w:pStyle w:val="null3"/>
      </w:pPr>
      <w:r>
        <w:rPr>
          <w:rFonts w:ascii="仿宋_GB2312" w:hAnsi="仿宋_GB2312" w:cs="仿宋_GB2312" w:eastAsia="仿宋_GB2312"/>
        </w:rPr>
        <w:t>联系电话：029-85495286转8009</w:t>
      </w:r>
    </w:p>
    <w:p>
      <w:pPr>
        <w:pStyle w:val="null3"/>
      </w:pPr>
      <w:r>
        <w:rPr>
          <w:rFonts w:ascii="仿宋_GB2312" w:hAnsi="仿宋_GB2312" w:cs="仿宋_GB2312" w:eastAsia="仿宋_GB2312"/>
        </w:rPr>
        <w:t>地址：西安曲江新区雁南五路曲江影视大厦19层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宜君县火化设施建设项目（二标段），采购智能彩体平板火化炉1套，烟道及尾气处理设备1套。详见采购文件。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500000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500000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105"/>
              <w:jc w:val="left"/>
            </w:pPr>
            <w:r>
              <w:rPr>
                <w:rFonts w:ascii="仿宋_GB2312" w:hAnsi="仿宋_GB2312" w:cs="仿宋_GB2312" w:eastAsia="仿宋_GB2312"/>
                <w:sz w:val="20"/>
                <w:color w:val="000000"/>
              </w:rPr>
              <w:t>一、采购清单</w:t>
            </w:r>
          </w:p>
          <w:tbl>
            <w:tblPr>
              <w:tblInd w:type="dxa" w:w="150"/>
              <w:tblBorders>
                <w:top w:val="none" w:color="000000" w:sz="4"/>
                <w:left w:val="none" w:color="000000" w:sz="4"/>
                <w:bottom w:val="none" w:color="000000" w:sz="4"/>
                <w:right w:val="none" w:color="000000" w:sz="4"/>
                <w:insideH w:val="none"/>
                <w:insideV w:val="none"/>
              </w:tblBorders>
            </w:tblPr>
            <w:tblGrid>
              <w:gridCol w:w="259"/>
              <w:gridCol w:w="904"/>
              <w:gridCol w:w="716"/>
              <w:gridCol w:w="314"/>
              <w:gridCol w:w="347"/>
            </w:tblGrid>
            <w:tr>
              <w:tc>
                <w:tcPr>
                  <w:tcW w:type="dxa" w:w="2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95"/>
                    <w:jc w:val="both"/>
                  </w:pPr>
                  <w:r>
                    <w:rPr>
                      <w:rFonts w:ascii="仿宋_GB2312" w:hAnsi="仿宋_GB2312" w:cs="仿宋_GB2312" w:eastAsia="仿宋_GB2312"/>
                      <w:sz w:val="20"/>
                    </w:rPr>
                    <w:t>序号</w:t>
                  </w:r>
                </w:p>
              </w:tc>
              <w:tc>
                <w:tcPr>
                  <w:tcW w:type="dxa" w:w="9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品目名称</w:t>
                  </w:r>
                </w:p>
              </w:tc>
              <w:tc>
                <w:tcPr>
                  <w:tcW w:type="dxa" w:w="7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标的名称</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单位</w:t>
                  </w:r>
                </w:p>
              </w:tc>
              <w:tc>
                <w:tcPr>
                  <w:tcW w:type="dxa" w:w="3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数量</w:t>
                  </w: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35"/>
                    <w:jc w:val="both"/>
                  </w:pPr>
                  <w:r>
                    <w:rPr>
                      <w:rFonts w:ascii="仿宋_GB2312" w:hAnsi="仿宋_GB2312" w:cs="仿宋_GB2312" w:eastAsia="仿宋_GB2312"/>
                      <w:sz w:val="20"/>
                    </w:rPr>
                    <w:t>1</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火化设备</w:t>
                  </w:r>
                </w:p>
              </w:tc>
              <w:tc>
                <w:tcPr>
                  <w:tcW w:type="dxa" w:w="7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智能彩体平板火化炉</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套</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1</w:t>
                  </w:r>
                </w:p>
              </w:tc>
            </w:tr>
          </w:tbl>
          <w:p>
            <w:pPr>
              <w:pStyle w:val="null3"/>
              <w:spacing w:before="105"/>
              <w:jc w:val="left"/>
            </w:pPr>
            <w:r>
              <w:rPr>
                <w:rFonts w:ascii="仿宋_GB2312" w:hAnsi="仿宋_GB2312" w:cs="仿宋_GB2312" w:eastAsia="仿宋_GB2312"/>
                <w:sz w:val="20"/>
                <w:color w:val="000000"/>
              </w:rPr>
              <w:t>二、技</w:t>
            </w:r>
            <w:r>
              <w:rPr>
                <w:rFonts w:ascii="仿宋_GB2312" w:hAnsi="仿宋_GB2312" w:cs="仿宋_GB2312" w:eastAsia="仿宋_GB2312"/>
                <w:sz w:val="20"/>
                <w:color w:val="000000"/>
              </w:rPr>
              <w:t>术要求</w:t>
            </w:r>
          </w:p>
          <w:p>
            <w:pPr>
              <w:pStyle w:val="null3"/>
              <w:spacing w:before="105"/>
              <w:ind w:firstLine="400"/>
              <w:jc w:val="left"/>
            </w:pPr>
            <w:r>
              <w:rPr>
                <w:rFonts w:ascii="仿宋_GB2312" w:hAnsi="仿宋_GB2312" w:cs="仿宋_GB2312" w:eastAsia="仿宋_GB2312"/>
                <w:sz w:val="20"/>
                <w:color w:val="000000"/>
              </w:rPr>
              <w:t>1、智能彩体平板火化炉</w:t>
            </w:r>
            <w:r>
              <w:rPr>
                <w:rFonts w:ascii="仿宋_GB2312" w:hAnsi="仿宋_GB2312" w:cs="仿宋_GB2312" w:eastAsia="仿宋_GB2312"/>
                <w:sz w:val="20"/>
                <w:color w:val="000000"/>
              </w:rPr>
              <w:t>（</w:t>
            </w:r>
            <w:r>
              <w:rPr>
                <w:rFonts w:ascii="仿宋_GB2312" w:hAnsi="仿宋_GB2312" w:cs="仿宋_GB2312" w:eastAsia="仿宋_GB2312"/>
                <w:sz w:val="20"/>
                <w:color w:val="000000"/>
              </w:rPr>
              <w:t>核心产品</w:t>
            </w:r>
            <w:r>
              <w:rPr>
                <w:rFonts w:ascii="仿宋_GB2312" w:hAnsi="仿宋_GB2312" w:cs="仿宋_GB2312" w:eastAsia="仿宋_GB2312"/>
                <w:sz w:val="20"/>
                <w:color w:val="000000"/>
              </w:rPr>
              <w:t>）</w:t>
            </w:r>
          </w:p>
          <w:tbl>
            <w:tblPr>
              <w:tblInd w:type="dxa" w:w="105"/>
              <w:tblBorders>
                <w:top w:val="none" w:color="000000" w:sz="4"/>
                <w:left w:val="none" w:color="000000" w:sz="4"/>
                <w:bottom w:val="none" w:color="000000" w:sz="4"/>
                <w:right w:val="none" w:color="000000" w:sz="4"/>
                <w:insideH w:val="none"/>
                <w:insideV w:val="none"/>
              </w:tblBorders>
            </w:tblPr>
            <w:tblGrid>
              <w:gridCol w:w="190"/>
              <w:gridCol w:w="0"/>
              <w:gridCol w:w="0"/>
              <w:gridCol w:w="264"/>
              <w:gridCol w:w="2077"/>
              <w:gridCol w:w="2"/>
              <w:gridCol w:w="2"/>
              <w:gridCol w:w="0"/>
            </w:tblGrid>
            <w:tr>
              <w:tc>
                <w:tcPr>
                  <w:tcW w:type="dxa" w:w="19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序号</w:t>
                  </w:r>
                </w:p>
              </w:tc>
              <w:tc>
                <w:tcPr>
                  <w:tcW w:type="dxa" w:w="264"/>
                  <w:gridSpan w:val="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指标项目</w:t>
                  </w:r>
                </w:p>
              </w:tc>
              <w:tc>
                <w:tcPr>
                  <w:tcW w:type="dxa" w:w="207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主要技术指标及相关参数</w:t>
                  </w:r>
                </w:p>
              </w:tc>
              <w:tc>
                <w:tcPr>
                  <w:tcW w:type="dxa" w:w="4"/>
                  <w:gridSpan w:val="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w:t>
                  </w:r>
                </w:p>
              </w:tc>
              <w:tc>
                <w:tcPr>
                  <w:tcW w:type="dxa" w:w="264"/>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设备主体系统</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1.炉体外形最大尺寸 (±10%）：长3500mm×宽2300mm×高3200mm。</w:t>
                  </w:r>
                </w:p>
                <w:p>
                  <w:pPr>
                    <w:pStyle w:val="null3"/>
                    <w:jc w:val="left"/>
                  </w:pPr>
                  <w:r>
                    <w:rPr>
                      <w:rFonts w:ascii="仿宋_GB2312" w:hAnsi="仿宋_GB2312" w:cs="仿宋_GB2312" w:eastAsia="仿宋_GB2312"/>
                      <w:sz w:val="21"/>
                      <w:color w:val="000000"/>
                    </w:rPr>
                    <w:t>2.采用新式彩体高温喷涂工艺。</w:t>
                  </w:r>
                </w:p>
                <w:p>
                  <w:pPr>
                    <w:pStyle w:val="null3"/>
                    <w:jc w:val="left"/>
                  </w:pPr>
                  <w:r>
                    <w:rPr>
                      <w:rFonts w:ascii="仿宋_GB2312" w:hAnsi="仿宋_GB2312" w:cs="仿宋_GB2312" w:eastAsia="仿宋_GB2312"/>
                      <w:sz w:val="21"/>
                      <w:color w:val="000000"/>
                    </w:rPr>
                    <w:t>3.炉体骨架制作要求：炉体骨架采用不小于 50×50mm，厚4mm角钢制作。</w:t>
                  </w:r>
                </w:p>
                <w:p>
                  <w:pPr>
                    <w:pStyle w:val="null3"/>
                    <w:jc w:val="left"/>
                  </w:pPr>
                  <w:r>
                    <w:rPr>
                      <w:rFonts w:ascii="仿宋_GB2312" w:hAnsi="仿宋_GB2312" w:cs="仿宋_GB2312" w:eastAsia="仿宋_GB2312"/>
                      <w:sz w:val="21"/>
                      <w:color w:val="000000"/>
                    </w:rPr>
                    <w:t>4.炉体表面的温度：要求在连续使用状态下，炉体表面温度低于40℃,观察孔手柄温度低于60℃。</w:t>
                  </w:r>
                </w:p>
              </w:tc>
              <w:tc>
                <w:tcPr>
                  <w:tcW w:type="dxa" w:w="4"/>
                  <w:gridSpan w:val="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9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2</w:t>
                  </w:r>
                </w:p>
              </w:tc>
              <w:tc>
                <w:tcPr>
                  <w:tcW w:type="dxa" w:w="264"/>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炉门升降系统</w:t>
                  </w:r>
                </w:p>
              </w:tc>
              <w:tc>
                <w:tcPr>
                  <w:tcW w:type="dxa" w:w="207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1.采用链条链轮传动结构，运行平稳，噪音低，架体稳固，提升行程准确,连续启闭无故障。要求具有应急手动操作功能，轻松启闭炉门。应确保纸棺、木棺能正常进出、火化。</w:t>
                  </w:r>
                </w:p>
                <w:p>
                  <w:pPr>
                    <w:pStyle w:val="null3"/>
                    <w:jc w:val="left"/>
                  </w:pPr>
                  <w:r>
                    <w:rPr>
                      <w:rFonts w:ascii="仿宋_GB2312" w:hAnsi="仿宋_GB2312" w:cs="仿宋_GB2312" w:eastAsia="仿宋_GB2312"/>
                      <w:sz w:val="21"/>
                      <w:color w:val="000000"/>
                    </w:rPr>
                    <w:t>2.炉门制作要求：炉门：双层炉门设计，由不锈钢装饰外炉门和耐火内炉门组成，内炉门具有耐高温特性，内炉门框架采用不小于3mm厚不锈钢制作。</w:t>
                  </w:r>
                </w:p>
                <w:p>
                  <w:pPr>
                    <w:pStyle w:val="null3"/>
                    <w:jc w:val="left"/>
                  </w:pPr>
                  <w:r>
                    <w:rPr>
                      <w:rFonts w:ascii="仿宋_GB2312" w:hAnsi="仿宋_GB2312" w:cs="仿宋_GB2312" w:eastAsia="仿宋_GB2312"/>
                      <w:sz w:val="21"/>
                      <w:color w:val="000000"/>
                    </w:rPr>
                    <w:t>3. ▲炉门内衬用含锆陶瓷纤维毯制品保温隔热。体积密度不低于128kg/m³，加热永久线变化[1350℃×24h]在±5%以内，在1000℃热面温度下，导热系数不高于0.20W/（m•K），在800℃热面温度下，导热系数不高于0.15W/（m•K），在400℃热面温度下，导热系数不高于0.10W/（m•K），横向和纵向抗拉强度均不低于200Kpa，渣球率（颗粒直径大于0.212mm）低于15%。提供第三</w:t>
                  </w:r>
                  <w:r>
                    <w:rPr>
                      <w:rFonts w:ascii="仿宋_GB2312" w:hAnsi="仿宋_GB2312" w:cs="仿宋_GB2312" w:eastAsia="仿宋_GB2312"/>
                      <w:sz w:val="21"/>
                      <w:color w:val="000000"/>
                    </w:rPr>
                    <w:t>方</w:t>
                  </w:r>
                  <w:r>
                    <w:rPr>
                      <w:rFonts w:ascii="仿宋_GB2312" w:hAnsi="仿宋_GB2312" w:cs="仿宋_GB2312" w:eastAsia="仿宋_GB2312"/>
                      <w:sz w:val="21"/>
                      <w:color w:val="000000"/>
                    </w:rPr>
                    <w:t>机构出具的含锆陶瓷纤维毯制品带</w:t>
                  </w:r>
                  <w:r>
                    <w:rPr>
                      <w:rFonts w:ascii="仿宋_GB2312" w:hAnsi="仿宋_GB2312" w:cs="仿宋_GB2312" w:eastAsia="仿宋_GB2312"/>
                      <w:sz w:val="21"/>
                      <w:color w:val="000000"/>
                    </w:rPr>
                    <w:t>CMA 标识的检验报告。</w:t>
                  </w:r>
                </w:p>
              </w:tc>
              <w:tc>
                <w:tcPr>
                  <w:tcW w:type="dxa" w:w="4"/>
                  <w:gridSpan w:val="3"/>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3</w:t>
                  </w:r>
                </w:p>
              </w:tc>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预备门系统</w:t>
                  </w:r>
                </w:p>
              </w:tc>
              <w:tc>
                <w:tcPr>
                  <w:tcW w:type="dxa" w:w="207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1.预备门是尺寸根据实际标准及产品最优性能综合设定。</w:t>
                  </w:r>
                </w:p>
                <w:p>
                  <w:pPr>
                    <w:pStyle w:val="null3"/>
                    <w:jc w:val="left"/>
                  </w:pPr>
                  <w:r>
                    <w:rPr>
                      <w:rFonts w:ascii="仿宋_GB2312" w:hAnsi="仿宋_GB2312" w:cs="仿宋_GB2312" w:eastAsia="仿宋_GB2312"/>
                      <w:sz w:val="21"/>
                      <w:color w:val="000000"/>
                    </w:rPr>
                    <w:t>2.预备门采用电梯门，电梯门控制系统控制，噪音低，能耗低，运行平稳可靠，具有应急手动装置。</w:t>
                  </w:r>
                </w:p>
                <w:p>
                  <w:pPr>
                    <w:pStyle w:val="null3"/>
                    <w:jc w:val="left"/>
                  </w:pPr>
                  <w:r>
                    <w:rPr>
                      <w:rFonts w:ascii="仿宋_GB2312" w:hAnsi="仿宋_GB2312" w:cs="仿宋_GB2312" w:eastAsia="仿宋_GB2312"/>
                      <w:sz w:val="21"/>
                      <w:color w:val="000000"/>
                    </w:rPr>
                    <w:t>3.预备门上方设置LED显示屏，根据火化机的工作状态显示工作、停炉、故障信息。</w:t>
                  </w:r>
                </w:p>
              </w:tc>
              <w:tc>
                <w:tcPr>
                  <w:tcW w:type="dxa" w:w="2"/>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4</w:t>
                  </w:r>
                </w:p>
              </w:tc>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炉膛系统</w:t>
                  </w:r>
                </w:p>
              </w:tc>
              <w:tc>
                <w:tcPr>
                  <w:tcW w:type="dxa" w:w="207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1.炉膛工作压力要求：-5～-30Pa。</w:t>
                  </w:r>
                </w:p>
                <w:p>
                  <w:pPr>
                    <w:pStyle w:val="null3"/>
                    <w:jc w:val="left"/>
                  </w:pPr>
                  <w:r>
                    <w:rPr>
                      <w:rFonts w:ascii="仿宋_GB2312" w:hAnsi="仿宋_GB2312" w:cs="仿宋_GB2312" w:eastAsia="仿宋_GB2312"/>
                      <w:sz w:val="21"/>
                      <w:color w:val="000000"/>
                    </w:rPr>
                    <w:t>2.主炉膛工作温度：≥850℃。</w:t>
                  </w:r>
                </w:p>
                <w:p>
                  <w:pPr>
                    <w:pStyle w:val="null3"/>
                    <w:jc w:val="left"/>
                  </w:pPr>
                  <w:r>
                    <w:rPr>
                      <w:rFonts w:ascii="仿宋_GB2312" w:hAnsi="仿宋_GB2312" w:cs="仿宋_GB2312" w:eastAsia="仿宋_GB2312"/>
                      <w:sz w:val="21"/>
                      <w:color w:val="000000"/>
                    </w:rPr>
                    <w:t>3.炉体主炉膛尺寸及要求：主燃室的宽度应不小于700mm，高度应不小于650mm。</w:t>
                  </w:r>
                </w:p>
                <w:p>
                  <w:pPr>
                    <w:pStyle w:val="null3"/>
                    <w:jc w:val="left"/>
                  </w:pPr>
                  <w:r>
                    <w:rPr>
                      <w:rFonts w:ascii="仿宋_GB2312" w:hAnsi="仿宋_GB2312" w:cs="仿宋_GB2312" w:eastAsia="仿宋_GB2312"/>
                      <w:sz w:val="21"/>
                      <w:color w:val="000000"/>
                    </w:rPr>
                    <w:t>4.炉膛性能技术要求：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炉膛由主燃室和二燃室组成。主燃室炉壁采用磷酸盐耐磨砖，含铝量（Al2O3）不低于50%，含铁量（Fe2O3）不高于5%，含钙量（CaO）不高于1%，体积密度[1000℃×3h]不低于2g/cm³,耐压强度[1000℃×3h]不低于50MPa，荷重软化温度[0.2MPa×4%]不低于1350℃,线变化率[1300℃×2h]在±0.5%以内，耐火度高达1750℃ ,显气孔率[1000℃×3h]不超过 20%，抗热震性[1100℃×水冷]不低于5次。提供第三</w:t>
                  </w:r>
                  <w:r>
                    <w:rPr>
                      <w:rFonts w:ascii="仿宋_GB2312" w:hAnsi="仿宋_GB2312" w:cs="仿宋_GB2312" w:eastAsia="仿宋_GB2312"/>
                      <w:sz w:val="21"/>
                      <w:color w:val="000000"/>
                    </w:rPr>
                    <w:t>方</w:t>
                  </w:r>
                  <w:r>
                    <w:rPr>
                      <w:rFonts w:ascii="仿宋_GB2312" w:hAnsi="仿宋_GB2312" w:cs="仿宋_GB2312" w:eastAsia="仿宋_GB2312"/>
                      <w:sz w:val="21"/>
                      <w:color w:val="000000"/>
                    </w:rPr>
                    <w:t>机构出具的磷酸盐耐磨砖带</w:t>
                  </w:r>
                  <w:r>
                    <w:rPr>
                      <w:rFonts w:ascii="仿宋_GB2312" w:hAnsi="仿宋_GB2312" w:cs="仿宋_GB2312" w:eastAsia="仿宋_GB2312"/>
                      <w:sz w:val="21"/>
                      <w:color w:val="000000"/>
                    </w:rPr>
                    <w:t>CMA 标识的检验报告。</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2）▲燃烧室砌缝处应采用耐火水泥填充缝隙，耐火水泥Al2O3含量不低于50%，Si02含量不低于5%，Fe2O3 含量不高于2%，2小时内可实现初凝，3小时内可实现终凝，耐火度不低于1350℃,在6小时后耐压强度可达到15MPa，抗折强度达到3MPa；在24小时后耐压强度可达到35MPa，抗折强度达到5MPa；在72小时后耐压强度可达45MPa，抗折强度达到6MPa。</w:t>
                  </w:r>
                  <w:r>
                    <w:rPr>
                      <w:rFonts w:ascii="仿宋_GB2312" w:hAnsi="仿宋_GB2312" w:cs="仿宋_GB2312" w:eastAsia="仿宋_GB2312"/>
                      <w:sz w:val="21"/>
                      <w:color w:val="000000"/>
                    </w:rPr>
                    <w:t>提供第三</w:t>
                  </w:r>
                  <w:r>
                    <w:rPr>
                      <w:rFonts w:ascii="仿宋_GB2312" w:hAnsi="仿宋_GB2312" w:cs="仿宋_GB2312" w:eastAsia="仿宋_GB2312"/>
                      <w:sz w:val="21"/>
                      <w:color w:val="000000"/>
                    </w:rPr>
                    <w:t>方</w:t>
                  </w:r>
                  <w:r>
                    <w:rPr>
                      <w:rFonts w:ascii="仿宋_GB2312" w:hAnsi="仿宋_GB2312" w:cs="仿宋_GB2312" w:eastAsia="仿宋_GB2312"/>
                      <w:sz w:val="21"/>
                      <w:color w:val="000000"/>
                    </w:rPr>
                    <w:t>机构出具的耐火水泥带</w:t>
                  </w:r>
                  <w:r>
                    <w:rPr>
                      <w:rFonts w:ascii="仿宋_GB2312" w:hAnsi="仿宋_GB2312" w:cs="仿宋_GB2312" w:eastAsia="仿宋_GB2312"/>
                      <w:sz w:val="21"/>
                      <w:color w:val="000000"/>
                    </w:rPr>
                    <w:t>CMA 标识的检验报告。</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3）主燃室拱顶应采用耐火浇注料一次性浇筑成型拱形砖，耐火浇注料的Al2O3+SiC含量不低于80%，体积密度[1000℃×3h，埋碳]不低于2g/cm³,耐火度不低于1700℃,荷重软化温度[0.2MPa×4%]不低于 1350℃,耐压强度[1000℃×3h，埋碳]不低于50Mpa，线变化率[1500℃×3h，埋碳]在±3%以内，抗热震性[1100℃×水冷]次数不低于5次。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炉体保温隔热材料采用硅酸铝纤维棉制品，Al2O3含量不低于30%，Si02+Al2O3含量不低于90%，体积密度不低于128kg/m³,加热永久线变化[1200℃×24h]在±5%以内，在1000℃热面温度下，导热系数不高于0.20W/（m•K），在800℃热面温度下，导热系数不高于0.15W/（m•K），在400℃热面温度下，导热系数不高于0.10W/（m•K），横向和纵向抗拉强度均不低于200Kpa，渣球率（颗粒直径大于0.212mm）低于 15%。</w:t>
                  </w:r>
                  <w:r>
                    <w:rPr>
                      <w:rFonts w:ascii="仿宋_GB2312" w:hAnsi="仿宋_GB2312" w:cs="仿宋_GB2312" w:eastAsia="仿宋_GB2312"/>
                      <w:sz w:val="21"/>
                      <w:color w:val="000000"/>
                    </w:rPr>
                    <w:t>提供第三</w:t>
                  </w:r>
                  <w:r>
                    <w:rPr>
                      <w:rFonts w:ascii="仿宋_GB2312" w:hAnsi="仿宋_GB2312" w:cs="仿宋_GB2312" w:eastAsia="仿宋_GB2312"/>
                      <w:sz w:val="21"/>
                      <w:color w:val="000000"/>
                    </w:rPr>
                    <w:t>方</w:t>
                  </w:r>
                  <w:r>
                    <w:rPr>
                      <w:rFonts w:ascii="仿宋_GB2312" w:hAnsi="仿宋_GB2312" w:cs="仿宋_GB2312" w:eastAsia="仿宋_GB2312"/>
                      <w:sz w:val="21"/>
                      <w:color w:val="000000"/>
                    </w:rPr>
                    <w:t>机构出具的硅酸铝纤维棉制品带</w:t>
                  </w:r>
                  <w:r>
                    <w:rPr>
                      <w:rFonts w:ascii="仿宋_GB2312" w:hAnsi="仿宋_GB2312" w:cs="仿宋_GB2312" w:eastAsia="仿宋_GB2312"/>
                      <w:sz w:val="21"/>
                      <w:color w:val="000000"/>
                    </w:rPr>
                    <w:t>CMA 标识的检验报告。</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燃烧器部位应采用炉膛特种异形耐火砖，</w:t>
                  </w:r>
                  <w:r>
                    <w:rPr>
                      <w:rFonts w:ascii="仿宋_GB2312" w:hAnsi="仿宋_GB2312" w:cs="仿宋_GB2312" w:eastAsia="仿宋_GB2312"/>
                      <w:sz w:val="21"/>
                      <w:color w:val="000000"/>
                    </w:rPr>
                    <w:t>Al2O3含量不低于80%，Fe2O3含量不高于1%，体积密度不低于1g/cm³,常温耐压强度不低于10MPa，荷重软化温度[0.05MPa×0.6%]不低于1500℃,加热永久线变化[1500℃×3h]在±0.5%以内，耐火度高达1750℃,真气孔率不得高于70%，抗热震性[1000℃×空气自然冷]次数不低于5次。</w:t>
                  </w:r>
                  <w:r>
                    <w:rPr>
                      <w:rFonts w:ascii="仿宋_GB2312" w:hAnsi="仿宋_GB2312" w:cs="仿宋_GB2312" w:eastAsia="仿宋_GB2312"/>
                      <w:sz w:val="21"/>
                      <w:color w:val="000000"/>
                    </w:rPr>
                    <w:t>提供第三</w:t>
                  </w:r>
                  <w:r>
                    <w:rPr>
                      <w:rFonts w:ascii="仿宋_GB2312" w:hAnsi="仿宋_GB2312" w:cs="仿宋_GB2312" w:eastAsia="仿宋_GB2312"/>
                      <w:sz w:val="21"/>
                      <w:color w:val="000000"/>
                    </w:rPr>
                    <w:t>方</w:t>
                  </w:r>
                  <w:r>
                    <w:rPr>
                      <w:rFonts w:ascii="仿宋_GB2312" w:hAnsi="仿宋_GB2312" w:cs="仿宋_GB2312" w:eastAsia="仿宋_GB2312"/>
                      <w:sz w:val="21"/>
                      <w:color w:val="000000"/>
                    </w:rPr>
                    <w:t>机构出具的炉膛特种异形耐火砖带</w:t>
                  </w:r>
                  <w:r>
                    <w:rPr>
                      <w:rFonts w:ascii="仿宋_GB2312" w:hAnsi="仿宋_GB2312" w:cs="仿宋_GB2312" w:eastAsia="仿宋_GB2312"/>
                      <w:sz w:val="21"/>
                      <w:color w:val="000000"/>
                    </w:rPr>
                    <w:t>CMA 标识的检验报告。</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7）二燃室采用粘土耐火砖，耐火度不低于1350℃。</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8）砌筑耐火砖的灰缝不大于3mm，主炉膛灰缝不大于2.8mm，横平竖直、泥浆饱满、砌体平面直线度不大于3/1000，垂直度不大于3/1000。</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9）结构砌筑工艺要求：</w:t>
                  </w:r>
                </w:p>
                <w:p>
                  <w:pPr>
                    <w:pStyle w:val="null3"/>
                    <w:jc w:val="left"/>
                  </w:pPr>
                  <w:r>
                    <w:rPr>
                      <w:rFonts w:ascii="仿宋_GB2312" w:hAnsi="仿宋_GB2312" w:cs="仿宋_GB2312" w:eastAsia="仿宋_GB2312"/>
                      <w:sz w:val="21"/>
                      <w:color w:val="000000"/>
                    </w:rPr>
                    <w:t>①耐火层：特级粘土耐火砖。</w:t>
                  </w:r>
                </w:p>
                <w:p>
                  <w:pPr>
                    <w:pStyle w:val="null3"/>
                    <w:jc w:val="left"/>
                  </w:pPr>
                  <w:r>
                    <w:rPr>
                      <w:rFonts w:ascii="仿宋_GB2312" w:hAnsi="仿宋_GB2312" w:cs="仿宋_GB2312" w:eastAsia="仿宋_GB2312"/>
                      <w:sz w:val="21"/>
                      <w:color w:val="000000"/>
                    </w:rPr>
                    <w:t>②隔热层：耐高温硅酸铝纤维棉制品。</w:t>
                  </w:r>
                </w:p>
                <w:p>
                  <w:pPr>
                    <w:pStyle w:val="null3"/>
                    <w:jc w:val="left"/>
                  </w:pPr>
                  <w:r>
                    <w:rPr>
                      <w:rFonts w:ascii="仿宋_GB2312" w:hAnsi="仿宋_GB2312" w:cs="仿宋_GB2312" w:eastAsia="仿宋_GB2312"/>
                      <w:sz w:val="21"/>
                      <w:color w:val="000000"/>
                    </w:rPr>
                    <w:t>③保温层：炉体两侧及炉顶用保温砖和耐火泥砌筑外加一层保温材料隔热。</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10）炉膛热风配制风阀，密封性能好，不漏气，启闭灵活。</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11）炉膛左右两侧助燃风管及预热器使用优质钢管制作。</w:t>
                  </w:r>
                  <w:r>
                    <w:rPr>
                      <w:rFonts w:ascii="仿宋_GB2312" w:hAnsi="仿宋_GB2312" w:cs="仿宋_GB2312" w:eastAsia="仿宋_GB2312"/>
                      <w:sz w:val="21"/>
                      <w:color w:val="000000"/>
                    </w:rPr>
                    <w:t>▲</w:t>
                  </w:r>
                  <w:r>
                    <w:rPr>
                      <w:rFonts w:ascii="仿宋_GB2312" w:hAnsi="仿宋_GB2312" w:cs="仿宋_GB2312" w:eastAsia="仿宋_GB2312"/>
                      <w:sz w:val="21"/>
                      <w:color w:val="000000"/>
                    </w:rPr>
                    <w:t>投标人需提供助燃风管及预热管连接示意图。</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12）炉用热电偶要求：采用相对应温度的高温陶瓷热电偶，要求数据采集精度高，反应灵敏，运行稳定，安装合理。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13）密闭性：火化设备（火化炉、冷却室、鼓风装置、引风装置、闸板装置、烟道等）在正常运行工作中及停机后不许出现烟气溢出，倒烟、回烟、异味现象。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14）烟道高度不低于15米。</w:t>
                  </w:r>
                </w:p>
              </w:tc>
              <w:tc>
                <w:tcPr>
                  <w:tcW w:type="dxa" w:w="2"/>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5</w:t>
                  </w:r>
                </w:p>
              </w:tc>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遗体输送系统</w:t>
                  </w:r>
                </w:p>
              </w:tc>
              <w:tc>
                <w:tcPr>
                  <w:tcW w:type="dxa" w:w="208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采用双向式履带车进尸系统，规格：</w:t>
                  </w:r>
                  <w:r>
                    <w:rPr>
                      <w:rFonts w:ascii="仿宋_GB2312" w:hAnsi="仿宋_GB2312" w:cs="仿宋_GB2312" w:eastAsia="仿宋_GB2312"/>
                      <w:sz w:val="21"/>
                      <w:color w:val="000000"/>
                    </w:rPr>
                    <w:t>L×W×H=3700×735×750mm(±5%）。</w:t>
                  </w:r>
                </w:p>
                <w:p>
                  <w:pPr>
                    <w:pStyle w:val="null3"/>
                    <w:jc w:val="left"/>
                  </w:pPr>
                  <w:r>
                    <w:rPr>
                      <w:rFonts w:ascii="仿宋_GB2312" w:hAnsi="仿宋_GB2312" w:cs="仿宋_GB2312" w:eastAsia="仿宋_GB2312"/>
                      <w:sz w:val="21"/>
                      <w:color w:val="000000"/>
                    </w:rPr>
                    <w:t>2.履带车链板呈凸形，焚烧带纸棺时不会发生卡滞现象，支架两侧须用不锈钢包装，尺寸与炉体外形尺寸配套。</w:t>
                  </w:r>
                </w:p>
                <w:p>
                  <w:pPr>
                    <w:pStyle w:val="null3"/>
                    <w:jc w:val="left"/>
                  </w:pPr>
                  <w:r>
                    <w:rPr>
                      <w:rFonts w:ascii="仿宋_GB2312" w:hAnsi="仿宋_GB2312" w:cs="仿宋_GB2312" w:eastAsia="仿宋_GB2312"/>
                      <w:sz w:val="21"/>
                      <w:color w:val="000000"/>
                    </w:rPr>
                    <w:t>3.不锈钢履带要求：履带连成整体，运行时无卡滞，噪音小，运行平稳，故障率低。</w:t>
                  </w:r>
                </w:p>
                <w:p>
                  <w:pPr>
                    <w:pStyle w:val="null3"/>
                    <w:jc w:val="left"/>
                  </w:pPr>
                  <w:r>
                    <w:rPr>
                      <w:rFonts w:ascii="仿宋_GB2312" w:hAnsi="仿宋_GB2312" w:cs="仿宋_GB2312" w:eastAsia="仿宋_GB2312"/>
                      <w:sz w:val="21"/>
                      <w:color w:val="000000"/>
                    </w:rPr>
                    <w:t>4.控制电缆采用特制柔性排缆，防止往返运动时断裂。有避免发生机械部件与遗体、遗体包装物等缠绕、卡顿等故障的措施。</w:t>
                  </w:r>
                </w:p>
              </w:tc>
            </w:tr>
            <w:tr>
              <w:tc>
                <w:tcPr>
                  <w:tcW w:type="dxa" w:w="1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6</w:t>
                  </w:r>
                </w:p>
              </w:tc>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燃烧系统</w:t>
                  </w:r>
                </w:p>
              </w:tc>
              <w:tc>
                <w:tcPr>
                  <w:tcW w:type="dxa" w:w="208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1.0-10#轻柴油、天然气</w:t>
                  </w:r>
                </w:p>
                <w:p>
                  <w:pPr>
                    <w:pStyle w:val="null3"/>
                    <w:jc w:val="left"/>
                  </w:pPr>
                  <w:r>
                    <w:rPr>
                      <w:rFonts w:ascii="仿宋_GB2312" w:hAnsi="仿宋_GB2312" w:cs="仿宋_GB2312" w:eastAsia="仿宋_GB2312"/>
                      <w:sz w:val="21"/>
                      <w:color w:val="000000"/>
                    </w:rPr>
                    <w:t>2.单具火化时间≤50分钟，连续火化时间≤35分钟/具。</w:t>
                  </w:r>
                </w:p>
                <w:p>
                  <w:pPr>
                    <w:pStyle w:val="null3"/>
                    <w:jc w:val="left"/>
                  </w:pPr>
                  <w:r>
                    <w:rPr>
                      <w:rFonts w:ascii="仿宋_GB2312" w:hAnsi="仿宋_GB2312" w:cs="仿宋_GB2312" w:eastAsia="仿宋_GB2312"/>
                      <w:sz w:val="21"/>
                      <w:color w:val="000000"/>
                    </w:rPr>
                    <w:t>3.火化油耗要求：单具火化油耗≤12公斤，连续火化耗油≤8公斤/具。</w:t>
                  </w:r>
                </w:p>
                <w:p>
                  <w:pPr>
                    <w:pStyle w:val="null3"/>
                    <w:jc w:val="left"/>
                  </w:pPr>
                  <w:r>
                    <w:rPr>
                      <w:rFonts w:ascii="仿宋_GB2312" w:hAnsi="仿宋_GB2312" w:cs="仿宋_GB2312" w:eastAsia="仿宋_GB2312"/>
                      <w:sz w:val="21"/>
                      <w:color w:val="000000"/>
                    </w:rPr>
                    <w:t>4.火化气耗要求：单具火化气耗≤50m³/具，连续火化气耗≤35m³/具</w:t>
                  </w:r>
                </w:p>
                <w:p>
                  <w:pPr>
                    <w:pStyle w:val="null3"/>
                    <w:jc w:val="left"/>
                  </w:pPr>
                  <w:r>
                    <w:rPr>
                      <w:rFonts w:ascii="仿宋_GB2312" w:hAnsi="仿宋_GB2312" w:cs="仿宋_GB2312" w:eastAsia="仿宋_GB2312"/>
                      <w:sz w:val="21"/>
                      <w:color w:val="000000"/>
                    </w:rPr>
                    <w:t>5.主燃烧器能自动调整角度，钢度强，雾化效果好，风油（气）配比合理。</w:t>
                  </w:r>
                </w:p>
                <w:p>
                  <w:pPr>
                    <w:pStyle w:val="null3"/>
                    <w:jc w:val="left"/>
                  </w:pPr>
                  <w:r>
                    <w:rPr>
                      <w:rFonts w:ascii="仿宋_GB2312" w:hAnsi="仿宋_GB2312" w:cs="仿宋_GB2312" w:eastAsia="仿宋_GB2312"/>
                      <w:sz w:val="21"/>
                      <w:color w:val="000000"/>
                    </w:rPr>
                    <w:t>6.主燃烧器必须有大小火控制装置。</w:t>
                  </w:r>
                </w:p>
                <w:p>
                  <w:pPr>
                    <w:pStyle w:val="null3"/>
                    <w:jc w:val="left"/>
                  </w:pPr>
                  <w:r>
                    <w:rPr>
                      <w:rFonts w:ascii="仿宋_GB2312" w:hAnsi="仿宋_GB2312" w:cs="仿宋_GB2312" w:eastAsia="仿宋_GB2312"/>
                      <w:sz w:val="21"/>
                      <w:color w:val="000000"/>
                    </w:rPr>
                    <w:t>7.点火必须采用燃烧器点火形式，操作安全可靠。</w:t>
                  </w:r>
                </w:p>
                <w:p>
                  <w:pPr>
                    <w:pStyle w:val="null3"/>
                    <w:jc w:val="left"/>
                  </w:pPr>
                  <w:r>
                    <w:rPr>
                      <w:rFonts w:ascii="仿宋_GB2312" w:hAnsi="仿宋_GB2312" w:cs="仿宋_GB2312" w:eastAsia="仿宋_GB2312"/>
                      <w:sz w:val="21"/>
                      <w:color w:val="000000"/>
                    </w:rPr>
                    <w:t>8.主燃烧器具有不锈钢挡板保护装置，保证燃烧器的使用效果。</w:t>
                  </w:r>
                </w:p>
              </w:tc>
            </w:tr>
            <w:tr>
              <w:tc>
                <w:tcPr>
                  <w:tcW w:type="dxa" w:w="1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7</w:t>
                  </w:r>
                </w:p>
              </w:tc>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供油系统</w:t>
                  </w:r>
                </w:p>
              </w:tc>
              <w:tc>
                <w:tcPr>
                  <w:tcW w:type="dxa" w:w="208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1.每炉配备一只油量表、滤油器,在油量表前端加一个可调固定不锈钢截流阀，油管采用真空无缝管。</w:t>
                  </w:r>
                </w:p>
                <w:p>
                  <w:pPr>
                    <w:pStyle w:val="null3"/>
                    <w:jc w:val="left"/>
                  </w:pPr>
                  <w:r>
                    <w:rPr>
                      <w:rFonts w:ascii="仿宋_GB2312" w:hAnsi="仿宋_GB2312" w:cs="仿宋_GB2312" w:eastAsia="仿宋_GB2312"/>
                      <w:sz w:val="21"/>
                      <w:color w:val="000000"/>
                    </w:rPr>
                    <w:t>2.供油管道配备电动与手动双油路控制，保证紧急情况下的运行稳定性，管路接头采用优质不锈钢活接、直接、内接。</w:t>
                  </w:r>
                </w:p>
                <w:p>
                  <w:pPr>
                    <w:pStyle w:val="null3"/>
                    <w:jc w:val="left"/>
                  </w:pPr>
                  <w:r>
                    <w:rPr>
                      <w:rFonts w:ascii="仿宋_GB2312" w:hAnsi="仿宋_GB2312" w:cs="仿宋_GB2312" w:eastAsia="仿宋_GB2312"/>
                      <w:sz w:val="21"/>
                      <w:color w:val="000000"/>
                    </w:rPr>
                    <w:t>3.供油管道应排列整齐，横平竖直，接口密封不漏油。</w:t>
                  </w:r>
                </w:p>
              </w:tc>
            </w:tr>
            <w:tr>
              <w:tc>
                <w:tcPr>
                  <w:tcW w:type="dxa" w:w="19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8</w:t>
                  </w:r>
                </w:p>
              </w:tc>
              <w:tc>
                <w:tcPr>
                  <w:tcW w:type="dxa" w:w="26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供氧及尾气排</w:t>
                  </w:r>
                </w:p>
                <w:p>
                  <w:pPr>
                    <w:pStyle w:val="null3"/>
                    <w:jc w:val="center"/>
                  </w:pPr>
                  <w:r>
                    <w:rPr>
                      <w:rFonts w:ascii="仿宋_GB2312" w:hAnsi="仿宋_GB2312" w:cs="仿宋_GB2312" w:eastAsia="仿宋_GB2312"/>
                      <w:sz w:val="21"/>
                      <w:color w:val="000000"/>
                    </w:rPr>
                    <w:t>放系统</w:t>
                  </w:r>
                </w:p>
              </w:tc>
              <w:tc>
                <w:tcPr>
                  <w:tcW w:type="dxa" w:w="2081"/>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1.鼓风机采用7.5KW的高压风机。</w:t>
                  </w:r>
                </w:p>
                <w:p>
                  <w:pPr>
                    <w:pStyle w:val="null3"/>
                    <w:jc w:val="left"/>
                  </w:pPr>
                  <w:r>
                    <w:rPr>
                      <w:rFonts w:ascii="仿宋_GB2312" w:hAnsi="仿宋_GB2312" w:cs="仿宋_GB2312" w:eastAsia="仿宋_GB2312"/>
                      <w:sz w:val="21"/>
                      <w:color w:val="000000"/>
                    </w:rPr>
                    <w:t>2.应急引风机采用7.5KW的引风机。排烟管道采用文丘里排烟方式。</w:t>
                  </w:r>
                </w:p>
                <w:p>
                  <w:pPr>
                    <w:pStyle w:val="null3"/>
                    <w:jc w:val="left"/>
                  </w:pPr>
                  <w:r>
                    <w:rPr>
                      <w:rFonts w:ascii="仿宋_GB2312" w:hAnsi="仿宋_GB2312" w:cs="仿宋_GB2312" w:eastAsia="仿宋_GB2312"/>
                      <w:sz w:val="21"/>
                      <w:color w:val="000000"/>
                    </w:rPr>
                    <w:t>3.安装底座安装水平，无震动，底座应加有优质防振垫，风机有消音装置。</w:t>
                  </w:r>
                </w:p>
                <w:p>
                  <w:pPr>
                    <w:pStyle w:val="null3"/>
                    <w:jc w:val="left"/>
                  </w:pPr>
                  <w:r>
                    <w:rPr>
                      <w:rFonts w:ascii="仿宋_GB2312" w:hAnsi="仿宋_GB2312" w:cs="仿宋_GB2312" w:eastAsia="仿宋_GB2312"/>
                      <w:sz w:val="21"/>
                      <w:color w:val="000000"/>
                    </w:rPr>
                    <w:t>4.供风系统要求：风量控制精准，风阀指向正确，密封严密，在关闭状态下保证不漏风。炉体布局风管应排列整齐、平顺、有固定点、不漏风、油漆颜色一致。</w:t>
                  </w:r>
                </w:p>
              </w:tc>
            </w:tr>
            <w:tr>
              <w:tc>
                <w:tcPr>
                  <w:tcW w:type="dxa" w:w="19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9</w:t>
                  </w:r>
                </w:p>
              </w:tc>
              <w:tc>
                <w:tcPr>
                  <w:tcW w:type="dxa" w:w="26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电器控制系统</w:t>
                  </w:r>
                </w:p>
              </w:tc>
              <w:tc>
                <w:tcPr>
                  <w:tcW w:type="dxa" w:w="207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1.控制系统采用PLC可编程逻辑控制，配合触摸屏人机界面，人机界面尺寸不小于10英寸，屏幕分辨率不低于1024×768。画面模拟遗体输送系统、炉门、骨灰冷却系统运行及各部分等工作时的运行状态，具有</w:t>
                  </w:r>
                  <w:r>
                    <w:rPr>
                      <w:rFonts w:ascii="仿宋_GB2312" w:hAnsi="仿宋_GB2312" w:cs="仿宋_GB2312" w:eastAsia="仿宋_GB2312"/>
                      <w:sz w:val="21"/>
                      <w:color w:val="000000"/>
                    </w:rPr>
                    <w:t>自动控制、手动控制程式，有故障报警功能，故障部位显示，设置操作权限，以防非工作人员操作。触摸屏嵌入式安装于墙体内。</w:t>
                  </w:r>
                </w:p>
                <w:p>
                  <w:pPr>
                    <w:pStyle w:val="null3"/>
                    <w:jc w:val="left"/>
                  </w:pPr>
                  <w:r>
                    <w:rPr>
                      <w:rFonts w:ascii="仿宋_GB2312" w:hAnsi="仿宋_GB2312" w:cs="仿宋_GB2312" w:eastAsia="仿宋_GB2312"/>
                      <w:sz w:val="21"/>
                      <w:color w:val="000000"/>
                    </w:rPr>
                    <w:t>2.人机界面上应有火化机设备运行，设备的各种控制功能按钮，引风机频率可通过触摸屏进行调节工作时的各部分运行状态，各种参数（炉膛温度、炉膛负压、二燃室温度、布袋温度、电机频率等），布袋超温报警、故障报警、故障部位等都应在显示屏及时显示。操作系统可与尾气处理系统联控，各控制显示画面须有多层面显示功能。</w:t>
                  </w:r>
                </w:p>
                <w:p>
                  <w:pPr>
                    <w:pStyle w:val="null3"/>
                    <w:jc w:val="left"/>
                  </w:pPr>
                  <w:r>
                    <w:rPr>
                      <w:rFonts w:ascii="仿宋_GB2312" w:hAnsi="仿宋_GB2312" w:cs="仿宋_GB2312" w:eastAsia="仿宋_GB2312"/>
                      <w:sz w:val="21"/>
                      <w:color w:val="000000"/>
                    </w:rPr>
                    <w:t>3.所有设备电线须选用铜芯聚氯乙烯绝缘软电缆，导体材料应为铜导体。</w:t>
                  </w:r>
                </w:p>
                <w:p>
                  <w:pPr>
                    <w:pStyle w:val="null3"/>
                    <w:jc w:val="left"/>
                  </w:pPr>
                  <w:r>
                    <w:rPr>
                      <w:rFonts w:ascii="仿宋_GB2312" w:hAnsi="仿宋_GB2312" w:cs="仿宋_GB2312" w:eastAsia="仿宋_GB2312"/>
                      <w:sz w:val="21"/>
                      <w:color w:val="000000"/>
                    </w:rPr>
                    <w:t>4.单独设置控制配电柜，所有电气元件（除人机界面等必要设备操作器件）需在控制柜内部进行布置不得直接布置在火化炉体内部。5.电气控制柜安装位置应满足电气设备防热、维修方便要求。</w:t>
                  </w:r>
                </w:p>
              </w:tc>
              <w:tc>
                <w:tcPr>
                  <w:tcW w:type="dxa" w:w="2"/>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9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10</w:t>
                  </w:r>
                </w:p>
              </w:tc>
              <w:tc>
                <w:tcPr>
                  <w:tcW w:type="dxa" w:w="26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预热系统</w:t>
                  </w:r>
                </w:p>
              </w:tc>
              <w:tc>
                <w:tcPr>
                  <w:tcW w:type="dxa" w:w="207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预热器须采用耐高温钢管制作，焊接工艺达到国家行业标准，设计先进、工艺精良。预热器工作温度不低于</w:t>
                  </w:r>
                  <w:r>
                    <w:rPr>
                      <w:rFonts w:ascii="仿宋_GB2312" w:hAnsi="仿宋_GB2312" w:cs="仿宋_GB2312" w:eastAsia="仿宋_GB2312"/>
                      <w:sz w:val="21"/>
                      <w:color w:val="000000"/>
                    </w:rPr>
                    <w:t>300℃。保证设备在每天正常使用情况下，预热器使用寿命5年以上。</w:t>
                  </w:r>
                </w:p>
              </w:tc>
              <w:tc>
                <w:tcPr>
                  <w:tcW w:type="dxa" w:w="2"/>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9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11</w:t>
                  </w:r>
                </w:p>
              </w:tc>
              <w:tc>
                <w:tcPr>
                  <w:tcW w:type="dxa" w:w="26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设备使</w:t>
                  </w:r>
                </w:p>
                <w:p>
                  <w:pPr>
                    <w:pStyle w:val="null3"/>
                    <w:jc w:val="center"/>
                  </w:pPr>
                  <w:r>
                    <w:rPr>
                      <w:rFonts w:ascii="仿宋_GB2312" w:hAnsi="仿宋_GB2312" w:cs="仿宋_GB2312" w:eastAsia="仿宋_GB2312"/>
                      <w:sz w:val="21"/>
                      <w:color w:val="000000"/>
                    </w:rPr>
                    <w:t>用寿命</w:t>
                  </w:r>
                </w:p>
              </w:tc>
              <w:tc>
                <w:tcPr>
                  <w:tcW w:type="dxa" w:w="207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保证设备在每天正常使用情况下</w:t>
                  </w:r>
                  <w:r>
                    <w:rPr>
                      <w:rFonts w:ascii="仿宋_GB2312" w:hAnsi="仿宋_GB2312" w:cs="仿宋_GB2312" w:eastAsia="仿宋_GB2312"/>
                      <w:sz w:val="21"/>
                      <w:color w:val="000000"/>
                    </w:rPr>
                    <w:t>,使用寿命大于10年。</w:t>
                  </w:r>
                </w:p>
              </w:tc>
              <w:tc>
                <w:tcPr>
                  <w:tcW w:type="dxa" w:w="2"/>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9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12</w:t>
                  </w:r>
                </w:p>
              </w:tc>
              <w:tc>
                <w:tcPr>
                  <w:tcW w:type="dxa" w:w="26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使用性能</w:t>
                  </w:r>
                </w:p>
              </w:tc>
              <w:tc>
                <w:tcPr>
                  <w:tcW w:type="dxa" w:w="2079"/>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1）燃油式火化机的主燃室温度、再燃室温度、主燃室压力和耗油量应安装检测控制仪表，其检测控制精度均不得低于1.5级。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2）炉体外结构表面温升应不大于30℃,炉门和观察孔局部温升应不大于60℃。</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3）火化机的引风机、鼓风机的噪声强度均应＜90dB(A)。</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4）在任何运行状况下，火化机主燃室和再燃室内均应保持负压，以防止烟气外溢。</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5）正常运行100h或正常火化遗体200具后，耐火表面应无剥落、裂缝、孔洞和网状裂纹。</w:t>
                  </w:r>
                </w:p>
              </w:tc>
              <w:tc>
                <w:tcPr>
                  <w:tcW w:type="dxa" w:w="2"/>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9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13</w:t>
                  </w:r>
                </w:p>
              </w:tc>
              <w:tc>
                <w:tcPr>
                  <w:tcW w:type="dxa" w:w="26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安全要求</w:t>
                  </w:r>
                </w:p>
              </w:tc>
              <w:tc>
                <w:tcPr>
                  <w:tcW w:type="dxa" w:w="208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1）主燃室和再燃室温度、压力应有超限保护和防爆装置。</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2）供电系统及各主回路应有自动负荷保护开关。电机等负载应有过载保护。</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3）燃烧器应设有安全保护装置，点火时，安全点火时间为5～7s，如点火失败，安全保护装置能自动切断燃料供应。</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4）风机进风口应设防护网。</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90"/>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14</w:t>
                  </w:r>
                </w:p>
              </w:tc>
              <w:tc>
                <w:tcPr>
                  <w:tcW w:type="dxa" w:w="26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远程在线诊断操作系统</w:t>
                  </w:r>
                </w:p>
              </w:tc>
              <w:tc>
                <w:tcPr>
                  <w:tcW w:type="dxa" w:w="2081"/>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设备应配备远程在线诊断，当出现故障时，可显示报警信息，应能根据报警信息提供解决方案，若软件类，应能在线修复；若硬件类，应能指导远程操作。还能实现远程控制前厅操作系统，实现远程火化。投标人需提供远程在线诊断操作系统界面图片</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sz w:val="20"/>
              </w:rPr>
              <w:t>三、</w:t>
            </w:r>
            <w:r>
              <w:rPr>
                <w:rFonts w:ascii="仿宋_GB2312" w:hAnsi="仿宋_GB2312" w:cs="仿宋_GB2312" w:eastAsia="仿宋_GB2312"/>
                <w:sz w:val="20"/>
              </w:rPr>
              <w:t>质量标准和要求</w:t>
            </w:r>
            <w:r>
              <w:rPr>
                <w:rFonts w:ascii="仿宋_GB2312" w:hAnsi="仿宋_GB2312" w:cs="仿宋_GB2312" w:eastAsia="仿宋_GB2312"/>
                <w:sz w:val="20"/>
              </w:rPr>
              <w:t>:1）采购火化机应当符合相关强制性标准；智能彩体平板火化炉，为油气两用；保证设备在每天正常使用情况下，使用寿命10年以上。</w:t>
            </w:r>
          </w:p>
        </w:tc>
      </w:tr>
    </w:tbl>
    <w:p>
      <w:pPr>
        <w:pStyle w:val="null3"/>
      </w:pPr>
      <w:r>
        <w:rPr>
          <w:rFonts w:ascii="仿宋_GB2312" w:hAnsi="仿宋_GB2312" w:cs="仿宋_GB2312" w:eastAsia="仿宋_GB2312"/>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spacing w:before="300"/>
              <w:ind w:left="420"/>
              <w:jc w:val="left"/>
            </w:pPr>
            <w:r>
              <w:rPr>
                <w:rFonts w:ascii="仿宋_GB2312" w:hAnsi="仿宋_GB2312" w:cs="仿宋_GB2312" w:eastAsia="仿宋_GB2312"/>
                <w:sz w:val="20"/>
              </w:rPr>
              <w:t>一、采购清单</w:t>
            </w:r>
          </w:p>
          <w:tbl>
            <w:tblPr>
              <w:tblInd w:type="dxa" w:w="150"/>
              <w:tblBorders>
                <w:top w:val="none" w:color="000000" w:sz="4"/>
                <w:left w:val="none" w:color="000000" w:sz="4"/>
                <w:bottom w:val="none" w:color="000000" w:sz="4"/>
                <w:right w:val="none" w:color="000000" w:sz="4"/>
                <w:insideH w:val="none"/>
                <w:insideV w:val="none"/>
              </w:tblBorders>
            </w:tblPr>
            <w:tblGrid>
              <w:gridCol w:w="259"/>
              <w:gridCol w:w="904"/>
              <w:gridCol w:w="716"/>
              <w:gridCol w:w="314"/>
              <w:gridCol w:w="347"/>
            </w:tblGrid>
            <w:tr>
              <w:tc>
                <w:tcPr>
                  <w:tcW w:type="dxa" w:w="2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95"/>
                    <w:jc w:val="center"/>
                  </w:pPr>
                  <w:r>
                    <w:rPr>
                      <w:rFonts w:ascii="仿宋_GB2312" w:hAnsi="仿宋_GB2312" w:cs="仿宋_GB2312" w:eastAsia="仿宋_GB2312"/>
                      <w:sz w:val="20"/>
                    </w:rPr>
                    <w:t>序号</w:t>
                  </w:r>
                </w:p>
              </w:tc>
              <w:tc>
                <w:tcPr>
                  <w:tcW w:type="dxa" w:w="90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品目名称</w:t>
                  </w:r>
                </w:p>
              </w:tc>
              <w:tc>
                <w:tcPr>
                  <w:tcW w:type="dxa" w:w="7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标的名称</w:t>
                  </w:r>
                </w:p>
              </w:tc>
              <w:tc>
                <w:tcPr>
                  <w:tcW w:type="dxa" w:w="3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单位</w:t>
                  </w:r>
                </w:p>
              </w:tc>
              <w:tc>
                <w:tcPr>
                  <w:tcW w:type="dxa" w:w="34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数量</w:t>
                  </w:r>
                </w:p>
              </w:tc>
            </w:tr>
            <w:tr>
              <w:tc>
                <w:tcPr>
                  <w:tcW w:type="dxa" w:w="2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1</w:t>
                  </w:r>
                </w:p>
              </w:tc>
              <w:tc>
                <w:tcPr>
                  <w:tcW w:type="dxa" w:w="90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其他殡葬设备及用品</w:t>
                  </w:r>
                </w:p>
              </w:tc>
              <w:tc>
                <w:tcPr>
                  <w:tcW w:type="dxa" w:w="7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烟道</w:t>
                  </w:r>
                  <w:r>
                    <w:rPr>
                      <w:rFonts w:ascii="仿宋_GB2312" w:hAnsi="仿宋_GB2312" w:cs="仿宋_GB2312" w:eastAsia="仿宋_GB2312"/>
                      <w:sz w:val="20"/>
                    </w:rPr>
                    <w:t>及</w:t>
                  </w:r>
                  <w:r>
                    <w:rPr>
                      <w:rFonts w:ascii="仿宋_GB2312" w:hAnsi="仿宋_GB2312" w:cs="仿宋_GB2312" w:eastAsia="仿宋_GB2312"/>
                      <w:sz w:val="20"/>
                    </w:rPr>
                    <w:t>尾气处理设备</w:t>
                  </w:r>
                </w:p>
              </w:tc>
              <w:tc>
                <w:tcPr>
                  <w:tcW w:type="dxa" w:w="3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套</w:t>
                  </w:r>
                </w:p>
              </w:tc>
              <w:tc>
                <w:tcPr>
                  <w:tcW w:type="dxa" w:w="34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0"/>
                    </w:rPr>
                    <w:t>1</w:t>
                  </w:r>
                </w:p>
              </w:tc>
            </w:tr>
          </w:tbl>
          <w:p>
            <w:pPr>
              <w:pStyle w:val="null3"/>
              <w:spacing w:before="105"/>
              <w:jc w:val="both"/>
            </w:pPr>
            <w:r>
              <w:rPr>
                <w:rFonts w:ascii="仿宋_GB2312" w:hAnsi="仿宋_GB2312" w:cs="仿宋_GB2312" w:eastAsia="仿宋_GB2312"/>
                <w:sz w:val="20"/>
              </w:rPr>
              <w:t>二、技</w:t>
            </w:r>
            <w:r>
              <w:rPr>
                <w:rFonts w:ascii="仿宋_GB2312" w:hAnsi="仿宋_GB2312" w:cs="仿宋_GB2312" w:eastAsia="仿宋_GB2312"/>
                <w:sz w:val="20"/>
              </w:rPr>
              <w:t>术要求</w:t>
            </w:r>
          </w:p>
          <w:p>
            <w:pPr>
              <w:pStyle w:val="null3"/>
              <w:spacing w:before="300"/>
              <w:ind w:left="420"/>
              <w:jc w:val="left"/>
            </w:pPr>
            <w:r>
              <w:rPr>
                <w:rFonts w:ascii="仿宋_GB2312" w:hAnsi="仿宋_GB2312" w:cs="仿宋_GB2312" w:eastAsia="仿宋_GB2312"/>
                <w:sz w:val="20"/>
                <w:color w:val="000000"/>
              </w:rPr>
              <w:t>1.烟道</w:t>
            </w:r>
          </w:p>
          <w:tbl>
            <w:tblPr>
              <w:tblBorders>
                <w:top w:val="none" w:color="000000" w:sz="4"/>
                <w:left w:val="none" w:color="000000" w:sz="4"/>
                <w:bottom w:val="none" w:color="000000" w:sz="4"/>
                <w:right w:val="none" w:color="000000" w:sz="4"/>
                <w:insideH w:val="none"/>
                <w:insideV w:val="none"/>
              </w:tblBorders>
            </w:tblPr>
            <w:tblGrid>
              <w:gridCol w:w="132"/>
              <w:gridCol w:w="275"/>
              <w:gridCol w:w="2139"/>
            </w:tblGrid>
            <w:tr>
              <w:tc>
                <w:tcPr>
                  <w:tcW w:type="dxa" w:w="1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05"/>
                    <w:jc w:val="center"/>
                  </w:pPr>
                  <w:r>
                    <w:rPr>
                      <w:rFonts w:ascii="仿宋_GB2312" w:hAnsi="仿宋_GB2312" w:cs="仿宋_GB2312" w:eastAsia="仿宋_GB2312"/>
                      <w:sz w:val="20"/>
                    </w:rPr>
                    <w:t>序号</w:t>
                  </w: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05"/>
                    <w:jc w:val="center"/>
                  </w:pPr>
                  <w:r>
                    <w:rPr>
                      <w:rFonts w:ascii="仿宋_GB2312" w:hAnsi="仿宋_GB2312" w:cs="仿宋_GB2312" w:eastAsia="仿宋_GB2312"/>
                      <w:sz w:val="20"/>
                    </w:rPr>
                    <w:t>配置</w:t>
                  </w:r>
                </w:p>
              </w:tc>
              <w:tc>
                <w:tcPr>
                  <w:tcW w:type="dxa" w:w="21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2805"/>
                  </w:pPr>
                  <w:r>
                    <w:rPr>
                      <w:rFonts w:ascii="仿宋_GB2312" w:hAnsi="仿宋_GB2312" w:cs="仿宋_GB2312" w:eastAsia="仿宋_GB2312"/>
                      <w:sz w:val="20"/>
                    </w:rPr>
                    <w:t>技术要求</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jc w:val="center"/>
                  </w:pPr>
                  <w:r>
                    <w:rPr>
                      <w:rFonts w:ascii="仿宋_GB2312" w:hAnsi="仿宋_GB2312" w:cs="仿宋_GB2312" w:eastAsia="仿宋_GB2312"/>
                      <w:sz w:val="20"/>
                    </w:rPr>
                    <w:t>1</w:t>
                  </w: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jc w:val="center"/>
                  </w:pPr>
                  <w:r>
                    <w:rPr>
                      <w:rFonts w:ascii="仿宋_GB2312" w:hAnsi="仿宋_GB2312" w:cs="仿宋_GB2312" w:eastAsia="仿宋_GB2312"/>
                      <w:sz w:val="20"/>
                    </w:rPr>
                    <w:t>烟道构造</w:t>
                  </w:r>
                </w:p>
              </w:tc>
              <w:tc>
                <w:tcPr>
                  <w:tcW w:type="dxa" w:w="2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105"/>
                  </w:pPr>
                  <w:r>
                    <w:rPr>
                      <w:rFonts w:ascii="仿宋_GB2312" w:hAnsi="仿宋_GB2312" w:cs="仿宋_GB2312" w:eastAsia="仿宋_GB2312"/>
                      <w:sz w:val="20"/>
                    </w:rPr>
                    <w:t>烟道应由基础硬化层、挡土层、防水层、保温层、耐火层组成。</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center"/>
                  </w:pPr>
                  <w:r>
                    <w:rPr>
                      <w:rFonts w:ascii="仿宋_GB2312" w:hAnsi="仿宋_GB2312" w:cs="仿宋_GB2312" w:eastAsia="仿宋_GB2312"/>
                      <w:sz w:val="20"/>
                    </w:rPr>
                    <w:t>2</w:t>
                  </w: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center"/>
                  </w:pPr>
                  <w:r>
                    <w:rPr>
                      <w:rFonts w:ascii="仿宋_GB2312" w:hAnsi="仿宋_GB2312" w:cs="仿宋_GB2312" w:eastAsia="仿宋_GB2312"/>
                      <w:sz w:val="20"/>
                    </w:rPr>
                    <w:t>烟道内截面</w:t>
                  </w:r>
                </w:p>
              </w:tc>
              <w:tc>
                <w:tcPr>
                  <w:tcW w:type="dxa" w:w="2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0"/>
                    </w:rPr>
                    <w:t>成型的防水烟道内截面积不低于</w:t>
                  </w:r>
                  <w:r>
                    <w:rPr>
                      <w:rFonts w:ascii="仿宋_GB2312" w:hAnsi="仿宋_GB2312" w:cs="仿宋_GB2312" w:eastAsia="仿宋_GB2312"/>
                      <w:sz w:val="20"/>
                    </w:rPr>
                    <w:t>680×680mm</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jc w:val="center"/>
                  </w:pPr>
                  <w:r>
                    <w:rPr>
                      <w:rFonts w:ascii="仿宋_GB2312" w:hAnsi="仿宋_GB2312" w:cs="仿宋_GB2312" w:eastAsia="仿宋_GB2312"/>
                      <w:sz w:val="20"/>
                    </w:rPr>
                    <w:t>3</w:t>
                  </w: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jc w:val="center"/>
                  </w:pPr>
                  <w:r>
                    <w:rPr>
                      <w:rFonts w:ascii="仿宋_GB2312" w:hAnsi="仿宋_GB2312" w:cs="仿宋_GB2312" w:eastAsia="仿宋_GB2312"/>
                      <w:sz w:val="20"/>
                    </w:rPr>
                    <w:t>硬化层</w:t>
                  </w:r>
                </w:p>
              </w:tc>
              <w:tc>
                <w:tcPr>
                  <w:tcW w:type="dxa" w:w="2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0"/>
                    </w:rPr>
                    <w:t>基础硬化层采用砂石混泥土夯实填平</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05"/>
                    <w:jc w:val="center"/>
                  </w:pPr>
                  <w:r>
                    <w:rPr>
                      <w:rFonts w:ascii="仿宋_GB2312" w:hAnsi="仿宋_GB2312" w:cs="仿宋_GB2312" w:eastAsia="仿宋_GB2312"/>
                      <w:sz w:val="20"/>
                    </w:rPr>
                    <w:t>4</w:t>
                  </w: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05"/>
                    <w:jc w:val="center"/>
                  </w:pPr>
                  <w:r>
                    <w:rPr>
                      <w:rFonts w:ascii="仿宋_GB2312" w:hAnsi="仿宋_GB2312" w:cs="仿宋_GB2312" w:eastAsia="仿宋_GB2312"/>
                      <w:sz w:val="20"/>
                    </w:rPr>
                    <w:t>挡土层</w:t>
                  </w:r>
                </w:p>
              </w:tc>
              <w:tc>
                <w:tcPr>
                  <w:tcW w:type="dxa" w:w="2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105"/>
                  </w:pPr>
                  <w:r>
                    <w:rPr>
                      <w:rFonts w:ascii="仿宋_GB2312" w:hAnsi="仿宋_GB2312" w:cs="仿宋_GB2312" w:eastAsia="仿宋_GB2312"/>
                      <w:sz w:val="20"/>
                    </w:rPr>
                    <w:t>挡土层应采用红砖砌筑，防止泥沙倒灌到烟道导致烟道无法砌筑</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center"/>
                  </w:pPr>
                  <w:r>
                    <w:rPr>
                      <w:rFonts w:ascii="仿宋_GB2312" w:hAnsi="仿宋_GB2312" w:cs="仿宋_GB2312" w:eastAsia="仿宋_GB2312"/>
                      <w:sz w:val="20"/>
                    </w:rPr>
                    <w:t>5</w:t>
                  </w: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20"/>
                    <w:jc w:val="center"/>
                  </w:pPr>
                  <w:r>
                    <w:rPr>
                      <w:rFonts w:ascii="仿宋_GB2312" w:hAnsi="仿宋_GB2312" w:cs="仿宋_GB2312" w:eastAsia="仿宋_GB2312"/>
                      <w:sz w:val="20"/>
                    </w:rPr>
                    <w:t>防水层</w:t>
                  </w:r>
                </w:p>
              </w:tc>
              <w:tc>
                <w:tcPr>
                  <w:tcW w:type="dxa" w:w="2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135"/>
                  </w:pPr>
                  <w:r>
                    <w:rPr>
                      <w:rFonts w:ascii="仿宋_GB2312" w:hAnsi="仿宋_GB2312" w:cs="仿宋_GB2312" w:eastAsia="仿宋_GB2312"/>
                      <w:sz w:val="20"/>
                    </w:rPr>
                    <w:t>防水层采用</w:t>
                  </w:r>
                  <w:r>
                    <w:rPr>
                      <w:rFonts w:ascii="仿宋_GB2312" w:hAnsi="仿宋_GB2312" w:cs="仿宋_GB2312" w:eastAsia="仿宋_GB2312"/>
                      <w:sz w:val="20"/>
                    </w:rPr>
                    <w:t>3mm不锈钢板焊接而成，需做到无渗透。</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center"/>
                  </w:pPr>
                  <w:r>
                    <w:rPr>
                      <w:rFonts w:ascii="仿宋_GB2312" w:hAnsi="仿宋_GB2312" w:cs="仿宋_GB2312" w:eastAsia="仿宋_GB2312"/>
                      <w:sz w:val="20"/>
                    </w:rPr>
                    <w:t>6</w:t>
                  </w: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center"/>
                  </w:pPr>
                  <w:r>
                    <w:rPr>
                      <w:rFonts w:ascii="仿宋_GB2312" w:hAnsi="仿宋_GB2312" w:cs="仿宋_GB2312" w:eastAsia="仿宋_GB2312"/>
                      <w:sz w:val="20"/>
                    </w:rPr>
                    <w:t>耐火层</w:t>
                  </w:r>
                </w:p>
              </w:tc>
              <w:tc>
                <w:tcPr>
                  <w:tcW w:type="dxa" w:w="2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0"/>
                    </w:rPr>
                    <w:t>耐火层应采用耐高温、耐腐蚀的特级粘土砖砌筑</w:t>
                  </w:r>
                </w:p>
              </w:tc>
            </w:tr>
            <w:tr>
              <w:tc>
                <w:tcPr>
                  <w:tcW w:type="dxa" w:w="1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center"/>
                  </w:pPr>
                  <w:r>
                    <w:rPr>
                      <w:rFonts w:ascii="仿宋_GB2312" w:hAnsi="仿宋_GB2312" w:cs="仿宋_GB2312" w:eastAsia="仿宋_GB2312"/>
                      <w:sz w:val="20"/>
                    </w:rPr>
                    <w:t>7</w:t>
                  </w: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jc w:val="center"/>
                  </w:pPr>
                  <w:r>
                    <w:rPr>
                      <w:rFonts w:ascii="仿宋_GB2312" w:hAnsi="仿宋_GB2312" w:cs="仿宋_GB2312" w:eastAsia="仿宋_GB2312"/>
                      <w:sz w:val="20"/>
                    </w:rPr>
                    <w:t>保温层</w:t>
                  </w:r>
                </w:p>
              </w:tc>
              <w:tc>
                <w:tcPr>
                  <w:tcW w:type="dxa" w:w="2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0"/>
                    </w:rPr>
                    <w:t>保温层应采用硅酸铝纤维棉保温隔热</w:t>
                  </w:r>
                </w:p>
              </w:tc>
            </w:tr>
          </w:tbl>
          <w:p>
            <w:pPr>
              <w:pStyle w:val="null3"/>
              <w:spacing w:before="285"/>
              <w:ind w:left="420"/>
              <w:jc w:val="left"/>
            </w:pPr>
            <w:r>
              <w:rPr>
                <w:rFonts w:ascii="仿宋_GB2312" w:hAnsi="仿宋_GB2312" w:cs="仿宋_GB2312" w:eastAsia="仿宋_GB2312"/>
                <w:sz w:val="20"/>
                <w:color w:val="000000"/>
              </w:rPr>
              <w:t>2.尾气处理设备</w:t>
            </w:r>
            <w:r>
              <w:rPr>
                <w:rFonts w:ascii="仿宋_GB2312" w:hAnsi="仿宋_GB2312" w:cs="仿宋_GB2312" w:eastAsia="仿宋_GB2312"/>
                <w:sz w:val="20"/>
                <w:color w:val="000000"/>
              </w:rPr>
              <w:t>（</w:t>
            </w:r>
            <w:r>
              <w:rPr>
                <w:rFonts w:ascii="仿宋_GB2312" w:hAnsi="仿宋_GB2312" w:cs="仿宋_GB2312" w:eastAsia="仿宋_GB2312"/>
                <w:sz w:val="20"/>
                <w:color w:val="000000"/>
              </w:rPr>
              <w:t>核心产品</w:t>
            </w:r>
            <w:r>
              <w:rPr>
                <w:rFonts w:ascii="仿宋_GB2312" w:hAnsi="仿宋_GB2312" w:cs="仿宋_GB2312" w:eastAsia="仿宋_GB2312"/>
                <w:sz w:val="20"/>
                <w:color w:val="000000"/>
              </w:rPr>
              <w:t>）</w:t>
            </w:r>
          </w:p>
          <w:tbl>
            <w:tblPr>
              <w:tblBorders>
                <w:top w:val="none" w:color="000000" w:sz="4"/>
                <w:left w:val="none" w:color="000000" w:sz="4"/>
                <w:bottom w:val="none" w:color="000000" w:sz="4"/>
                <w:right w:val="none" w:color="000000" w:sz="4"/>
                <w:insideH w:val="none"/>
                <w:insideV w:val="none"/>
              </w:tblBorders>
            </w:tblPr>
            <w:tblGrid>
              <w:gridCol w:w="154"/>
              <w:gridCol w:w="345"/>
              <w:gridCol w:w="0"/>
              <w:gridCol w:w="5"/>
              <w:gridCol w:w="1111"/>
              <w:gridCol w:w="914"/>
              <w:gridCol w:w="10"/>
              <w:gridCol w:w="5"/>
            </w:tblGrid>
            <w:tr>
              <w:tc>
                <w:tcPr>
                  <w:tcW w:type="dxa" w:w="15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45"/>
                  </w:pPr>
                  <w:r>
                    <w:rPr>
                      <w:rFonts w:ascii="仿宋_GB2312" w:hAnsi="仿宋_GB2312" w:cs="仿宋_GB2312" w:eastAsia="仿宋_GB2312"/>
                      <w:sz w:val="20"/>
                    </w:rPr>
                    <w:t>序号</w:t>
                  </w:r>
                </w:p>
              </w:tc>
              <w:tc>
                <w:tcPr>
                  <w:tcW w:type="dxa" w:w="345"/>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right="150"/>
                    <w:jc w:val="center"/>
                  </w:pPr>
                  <w:r>
                    <w:rPr>
                      <w:rFonts w:ascii="仿宋_GB2312" w:hAnsi="仿宋_GB2312" w:cs="仿宋_GB2312" w:eastAsia="仿宋_GB2312"/>
                      <w:sz w:val="20"/>
                    </w:rPr>
                    <w:t>产品技术项目</w:t>
                  </w:r>
                </w:p>
              </w:tc>
              <w:tc>
                <w:tcPr>
                  <w:tcW w:type="dxa" w:w="1116"/>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0"/>
                    </w:rPr>
                    <w:t>产品技术参数要求</w:t>
                  </w:r>
                </w:p>
              </w:tc>
              <w:tc>
                <w:tcPr>
                  <w:tcW w:type="dxa" w:w="924"/>
                  <w:gridSpan w:val="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0"/>
                    </w:rPr>
                    <w:t>产品技术性能要求</w:t>
                  </w: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1</w:t>
                  </w:r>
                </w:p>
              </w:tc>
              <w:tc>
                <w:tcPr>
                  <w:tcW w:type="dxa" w:w="3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设备组成</w:t>
                  </w:r>
                </w:p>
              </w:tc>
              <w:tc>
                <w:tcPr>
                  <w:tcW w:type="dxa" w:w="11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05" w:firstLine="3"/>
                    <w:jc w:val="both"/>
                  </w:pPr>
                  <w:r>
                    <w:rPr>
                      <w:rFonts w:ascii="仿宋_GB2312" w:hAnsi="仿宋_GB2312" w:cs="仿宋_GB2312" w:eastAsia="仿宋_GB2312"/>
                      <w:sz w:val="21"/>
                    </w:rPr>
                    <w:t>火星拦截器</w:t>
                  </w:r>
                  <w:r>
                    <w:rPr>
                      <w:rFonts w:ascii="仿宋_GB2312" w:hAnsi="仿宋_GB2312" w:cs="仿宋_GB2312" w:eastAsia="仿宋_GB2312"/>
                      <w:sz w:val="21"/>
                    </w:rPr>
                    <w:t>—高效风冷热交换系统—旋风除尘反应系统--脱硫脱酸脱脂系统—布袋除尘系统—活性炭吸附器—引风系统—烟囱。</w:t>
                  </w:r>
                </w:p>
              </w:tc>
              <w:tc>
                <w:tcPr>
                  <w:tcW w:type="dxa" w:w="92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right="105" w:firstLine="4"/>
                    <w:jc w:val="both"/>
                  </w:pPr>
                  <w:r>
                    <w:rPr>
                      <w:rFonts w:ascii="仿宋_GB2312" w:hAnsi="仿宋_GB2312" w:cs="仿宋_GB2312" w:eastAsia="仿宋_GB2312"/>
                      <w:sz w:val="21"/>
                    </w:rPr>
                    <w:t>结构紧凑、外形美观、使用操作方便，无二次污染，实用性强等特点。</w:t>
                  </w: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2</w:t>
                  </w:r>
                </w:p>
              </w:tc>
              <w:tc>
                <w:tcPr>
                  <w:tcW w:type="dxa" w:w="3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50"/>
                    <w:jc w:val="center"/>
                  </w:pPr>
                  <w:r>
                    <w:rPr>
                      <w:rFonts w:ascii="仿宋_GB2312" w:hAnsi="仿宋_GB2312" w:cs="仿宋_GB2312" w:eastAsia="仿宋_GB2312"/>
                      <w:sz w:val="21"/>
                    </w:rPr>
                    <w:t>安装后效果</w:t>
                  </w:r>
                </w:p>
              </w:tc>
              <w:tc>
                <w:tcPr>
                  <w:tcW w:type="dxa" w:w="11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05"/>
                  </w:pPr>
                  <w:r>
                    <w:rPr>
                      <w:rFonts w:ascii="仿宋_GB2312" w:hAnsi="仿宋_GB2312" w:cs="仿宋_GB2312" w:eastAsia="仿宋_GB2312"/>
                      <w:sz w:val="21"/>
                    </w:rPr>
                    <w:t>烟气黑度（林格曼黑度）：排放无黑烟，达到林格曼黑度</w:t>
                  </w:r>
                  <w:r>
                    <w:rPr>
                      <w:rFonts w:ascii="仿宋_GB2312" w:hAnsi="仿宋_GB2312" w:cs="仿宋_GB2312" w:eastAsia="仿宋_GB2312"/>
                      <w:sz w:val="21"/>
                    </w:rPr>
                    <w:t>≤1 级。</w:t>
                  </w:r>
                </w:p>
                <w:p>
                  <w:pPr>
                    <w:pStyle w:val="null3"/>
                    <w:ind w:left="120" w:right="105" w:firstLine="2"/>
                  </w:pPr>
                  <w:r>
                    <w:rPr>
                      <w:rFonts w:ascii="仿宋_GB2312" w:hAnsi="仿宋_GB2312" w:cs="仿宋_GB2312" w:eastAsia="仿宋_GB2312"/>
                      <w:sz w:val="21"/>
                    </w:rPr>
                    <w:t>二噁英：二噁英的排放含量符合国家标准要求。</w:t>
                  </w:r>
                </w:p>
                <w:p>
                  <w:pPr>
                    <w:pStyle w:val="null3"/>
                    <w:ind w:left="120" w:right="105"/>
                  </w:pPr>
                  <w:r>
                    <w:rPr>
                      <w:rFonts w:ascii="仿宋_GB2312" w:hAnsi="仿宋_GB2312" w:cs="仿宋_GB2312" w:eastAsia="仿宋_GB2312"/>
                      <w:sz w:val="21"/>
                    </w:rPr>
                    <w:t>颗粒：殡仪馆周边无青烟现象，尾气排放无漂浮物。</w:t>
                  </w:r>
                </w:p>
                <w:p>
                  <w:pPr>
                    <w:pStyle w:val="null3"/>
                    <w:ind w:left="120" w:right="105" w:firstLine="1"/>
                  </w:pPr>
                  <w:r>
                    <w:rPr>
                      <w:rFonts w:ascii="仿宋_GB2312" w:hAnsi="仿宋_GB2312" w:cs="仿宋_GB2312" w:eastAsia="仿宋_GB2312"/>
                      <w:sz w:val="21"/>
                    </w:rPr>
                    <w:t>气味：火化车间周围空气中没有火化遗体的异味。</w:t>
                  </w:r>
                </w:p>
                <w:p>
                  <w:pPr>
                    <w:pStyle w:val="null3"/>
                    <w:ind w:left="120" w:right="105" w:firstLine="1"/>
                  </w:pPr>
                  <w:r>
                    <w:rPr>
                      <w:rFonts w:ascii="仿宋_GB2312" w:hAnsi="仿宋_GB2312" w:cs="仿宋_GB2312" w:eastAsia="仿宋_GB2312"/>
                      <w:sz w:val="21"/>
                    </w:rPr>
                    <w:t>火化量：设备安装后的单台连续火化量达</w:t>
                  </w:r>
                  <w:r>
                    <w:rPr>
                      <w:rFonts w:ascii="仿宋_GB2312" w:hAnsi="仿宋_GB2312" w:cs="仿宋_GB2312" w:eastAsia="仿宋_GB2312"/>
                      <w:sz w:val="21"/>
                    </w:rPr>
                    <w:t>≥10具。</w:t>
                  </w:r>
                </w:p>
                <w:p>
                  <w:pPr>
                    <w:pStyle w:val="null3"/>
                    <w:ind w:left="120" w:right="105" w:firstLine="6"/>
                  </w:pPr>
                  <w:r>
                    <w:rPr>
                      <w:rFonts w:ascii="仿宋_GB2312" w:hAnsi="仿宋_GB2312" w:cs="仿宋_GB2312" w:eastAsia="仿宋_GB2312"/>
                      <w:sz w:val="21"/>
                    </w:rPr>
                    <w:t>匹配：尾气设备与火化机无缝对接，实现双排两便。</w:t>
                  </w:r>
                </w:p>
                <w:p>
                  <w:pPr>
                    <w:pStyle w:val="null3"/>
                    <w:ind w:left="120"/>
                  </w:pPr>
                  <w:r>
                    <w:rPr>
                      <w:rFonts w:ascii="仿宋_GB2312" w:hAnsi="仿宋_GB2312" w:cs="仿宋_GB2312" w:eastAsia="仿宋_GB2312"/>
                      <w:sz w:val="21"/>
                    </w:rPr>
                    <w:t>负压：系统运行必须满足火化机炉膛负压要求。</w:t>
                  </w:r>
                </w:p>
              </w:tc>
              <w:tc>
                <w:tcPr>
                  <w:tcW w:type="dxa" w:w="92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尾气处理的污染物排放指标达到</w:t>
                  </w:r>
                  <w:r>
                    <w:rPr>
                      <w:rFonts w:ascii="仿宋_GB2312" w:hAnsi="仿宋_GB2312" w:cs="仿宋_GB2312" w:eastAsia="仿宋_GB2312"/>
                      <w:sz w:val="21"/>
                    </w:rPr>
                    <w:t>GB13801-2015标准。</w:t>
                  </w: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3</w:t>
                  </w:r>
                </w:p>
              </w:tc>
              <w:tc>
                <w:tcPr>
                  <w:tcW w:type="dxa" w:w="3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50"/>
                    <w:jc w:val="center"/>
                  </w:pPr>
                  <w:r>
                    <w:rPr>
                      <w:rFonts w:ascii="仿宋_GB2312" w:hAnsi="仿宋_GB2312" w:cs="仿宋_GB2312" w:eastAsia="仿宋_GB2312"/>
                      <w:sz w:val="21"/>
                    </w:rPr>
                    <w:t>火星拦截器</w:t>
                  </w:r>
                </w:p>
              </w:tc>
              <w:tc>
                <w:tcPr>
                  <w:tcW w:type="dxa" w:w="11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105" w:firstLine="12"/>
                  </w:pPr>
                  <w:r>
                    <w:rPr>
                      <w:rFonts w:ascii="仿宋_GB2312" w:hAnsi="仿宋_GB2312" w:cs="仿宋_GB2312" w:eastAsia="仿宋_GB2312"/>
                      <w:sz w:val="21"/>
                    </w:rPr>
                    <w:t>1、材料要求：火星拦截器采用≥3mm厚耐高温、耐腐蚀的不锈钢材质。</w:t>
                  </w:r>
                </w:p>
                <w:p>
                  <w:pPr>
                    <w:pStyle w:val="null3"/>
                    <w:spacing w:before="30"/>
                    <w:ind w:left="120" w:right="105"/>
                  </w:pPr>
                  <w:r>
                    <w:rPr>
                      <w:rFonts w:ascii="仿宋_GB2312" w:hAnsi="仿宋_GB2312" w:cs="仿宋_GB2312" w:eastAsia="仿宋_GB2312"/>
                      <w:sz w:val="21"/>
                    </w:rPr>
                    <w:t>2、制造要求：拦截网采用不锈钢丝制作，间距≤1cm。</w:t>
                  </w:r>
                </w:p>
              </w:tc>
              <w:tc>
                <w:tcPr>
                  <w:tcW w:type="dxa" w:w="92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烟气中的火星拦截率</w:t>
                  </w:r>
                  <w:r>
                    <w:rPr>
                      <w:rFonts w:ascii="仿宋_GB2312" w:hAnsi="仿宋_GB2312" w:cs="仿宋_GB2312" w:eastAsia="仿宋_GB2312"/>
                      <w:sz w:val="21"/>
                    </w:rPr>
                    <w:t>≥99%</w:t>
                  </w: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4</w:t>
                  </w:r>
                </w:p>
              </w:tc>
              <w:tc>
                <w:tcPr>
                  <w:tcW w:type="dxa" w:w="345"/>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1"/>
                    </w:rPr>
                    <w:t>高效风冷热交换系统</w:t>
                  </w:r>
                </w:p>
              </w:tc>
              <w:tc>
                <w:tcPr>
                  <w:tcW w:type="dxa" w:w="1116"/>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1"/>
                    </w:rPr>
                    <w:t>系统组成：高效风冷热交换系统。</w:t>
                  </w:r>
                </w:p>
                <w:p>
                  <w:pPr>
                    <w:pStyle w:val="null3"/>
                    <w:spacing w:before="45"/>
                    <w:ind w:left="120" w:right="105" w:firstLine="6"/>
                  </w:pPr>
                  <w:r>
                    <w:rPr>
                      <w:rFonts w:ascii="仿宋_GB2312" w:hAnsi="仿宋_GB2312" w:cs="仿宋_GB2312" w:eastAsia="仿宋_GB2312"/>
                      <w:sz w:val="21"/>
                    </w:rPr>
                    <w:t>急冷器尺寸：</w:t>
                  </w:r>
                  <w:r>
                    <w:rPr>
                      <w:rFonts w:ascii="仿宋_GB2312" w:hAnsi="仿宋_GB2312" w:cs="仿宋_GB2312" w:eastAsia="仿宋_GB2312"/>
                      <w:sz w:val="21"/>
                    </w:rPr>
                    <w:t>≥L1600×W900×H3200mm</w:t>
                  </w:r>
                  <w:r>
                    <w:rPr>
                      <w:rFonts w:ascii="仿宋_GB2312" w:hAnsi="仿宋_GB2312" w:cs="仿宋_GB2312" w:eastAsia="仿宋_GB2312"/>
                      <w:sz w:val="21"/>
                    </w:rPr>
                    <w:t>。</w:t>
                  </w:r>
                  <w:r>
                    <w:rPr>
                      <w:rFonts w:ascii="仿宋_GB2312" w:hAnsi="仿宋_GB2312" w:cs="仿宋_GB2312" w:eastAsia="仿宋_GB2312"/>
                      <w:sz w:val="21"/>
                    </w:rPr>
                    <w:t>急冷器材质：外表采用</w:t>
                  </w:r>
                  <w:r>
                    <w:rPr>
                      <w:rFonts w:ascii="仿宋_GB2312" w:hAnsi="仿宋_GB2312" w:cs="仿宋_GB2312" w:eastAsia="仿宋_GB2312"/>
                      <w:sz w:val="21"/>
                    </w:rPr>
                    <w:t>δ≥3mm 优质不锈钢板焊接而成。</w:t>
                  </w:r>
                </w:p>
                <w:p>
                  <w:pPr>
                    <w:pStyle w:val="null3"/>
                    <w:ind w:left="105" w:right="105" w:firstLine="6"/>
                  </w:pPr>
                  <w:r>
                    <w:rPr>
                      <w:rFonts w:ascii="仿宋_GB2312" w:hAnsi="仿宋_GB2312" w:cs="仿宋_GB2312" w:eastAsia="仿宋_GB2312"/>
                      <w:sz w:val="21"/>
                    </w:rPr>
                    <w:t>冷却风管材质：不锈钢无缝管，壁厚</w:t>
                  </w:r>
                  <w:r>
                    <w:rPr>
                      <w:rFonts w:ascii="仿宋_GB2312" w:hAnsi="仿宋_GB2312" w:cs="仿宋_GB2312" w:eastAsia="仿宋_GB2312"/>
                      <w:sz w:val="21"/>
                    </w:rPr>
                    <w:t>2mm。</w:t>
                  </w:r>
                </w:p>
                <w:p>
                  <w:pPr>
                    <w:pStyle w:val="null3"/>
                    <w:ind w:left="120"/>
                  </w:pPr>
                  <w:r>
                    <w:rPr>
                      <w:rFonts w:ascii="仿宋_GB2312" w:hAnsi="仿宋_GB2312" w:cs="仿宋_GB2312" w:eastAsia="仿宋_GB2312"/>
                      <w:sz w:val="21"/>
                    </w:rPr>
                    <w:t>冷却风管尺寸：</w:t>
                  </w:r>
                  <w:r>
                    <w:rPr>
                      <w:rFonts w:ascii="仿宋_GB2312" w:hAnsi="仿宋_GB2312" w:cs="仿宋_GB2312" w:eastAsia="仿宋_GB2312"/>
                      <w:sz w:val="21"/>
                    </w:rPr>
                    <w:t>≥φ57×L2000mm。</w:t>
                  </w:r>
                </w:p>
                <w:p>
                  <w:pPr>
                    <w:pStyle w:val="null3"/>
                    <w:spacing w:before="30"/>
                    <w:ind w:left="120"/>
                  </w:pPr>
                  <w:r>
                    <w:rPr>
                      <w:rFonts w:ascii="仿宋_GB2312" w:hAnsi="仿宋_GB2312" w:cs="仿宋_GB2312" w:eastAsia="仿宋_GB2312"/>
                      <w:sz w:val="21"/>
                    </w:rPr>
                    <w:t>总长：</w:t>
                  </w:r>
                  <w:r>
                    <w:rPr>
                      <w:rFonts w:ascii="仿宋_GB2312" w:hAnsi="仿宋_GB2312" w:cs="仿宋_GB2312" w:eastAsia="仿宋_GB2312"/>
                      <w:sz w:val="21"/>
                    </w:rPr>
                    <w:t>≥148m。</w:t>
                  </w:r>
                </w:p>
                <w:p>
                  <w:pPr>
                    <w:pStyle w:val="null3"/>
                    <w:spacing w:before="15"/>
                    <w:ind w:left="120"/>
                  </w:pPr>
                  <w:r>
                    <w:rPr>
                      <w:rFonts w:ascii="仿宋_GB2312" w:hAnsi="仿宋_GB2312" w:cs="仿宋_GB2312" w:eastAsia="仿宋_GB2312"/>
                      <w:sz w:val="21"/>
                    </w:rPr>
                    <w:t>急冷器风机功率：</w:t>
                  </w:r>
                  <w:r>
                    <w:rPr>
                      <w:rFonts w:ascii="仿宋_GB2312" w:hAnsi="仿宋_GB2312" w:cs="仿宋_GB2312" w:eastAsia="仿宋_GB2312"/>
                      <w:sz w:val="21"/>
                    </w:rPr>
                    <w:t>≥0.55KW，2台</w:t>
                  </w:r>
                </w:p>
                <w:p>
                  <w:pPr>
                    <w:pStyle w:val="null3"/>
                    <w:spacing w:before="30"/>
                    <w:ind w:left="120"/>
                  </w:pPr>
                  <w:r>
                    <w:rPr>
                      <w:rFonts w:ascii="仿宋_GB2312" w:hAnsi="仿宋_GB2312" w:cs="仿宋_GB2312" w:eastAsia="仿宋_GB2312"/>
                      <w:sz w:val="21"/>
                    </w:rPr>
                    <w:t>冷却温度：</w:t>
                  </w:r>
                  <w:r>
                    <w:rPr>
                      <w:rFonts w:ascii="仿宋_GB2312" w:hAnsi="仿宋_GB2312" w:cs="仿宋_GB2312" w:eastAsia="仿宋_GB2312"/>
                      <w:sz w:val="21"/>
                    </w:rPr>
                    <w:t>2 秒内降至 200℃以下。</w:t>
                  </w:r>
                </w:p>
              </w:tc>
              <w:tc>
                <w:tcPr>
                  <w:tcW w:type="dxa" w:w="924"/>
                  <w:gridSpan w:val="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105"/>
                    <w:jc w:val="both"/>
                  </w:pPr>
                  <w:r>
                    <w:rPr>
                      <w:rFonts w:ascii="仿宋_GB2312" w:hAnsi="仿宋_GB2312" w:cs="仿宋_GB2312" w:eastAsia="仿宋_GB2312"/>
                      <w:sz w:val="21"/>
                    </w:rPr>
                    <w:t>采用优质不锈钢板制作，激光切割工艺，冷却温度随手可控出口烟气</w:t>
                  </w:r>
                  <w:r>
                    <w:rPr>
                      <w:rFonts w:ascii="仿宋_GB2312" w:hAnsi="仿宋_GB2312" w:cs="仿宋_GB2312" w:eastAsia="仿宋_GB2312"/>
                      <w:sz w:val="21"/>
                    </w:rPr>
                    <w:t>≤200℃,确保散热快，耐高温、耐腐蚀。10年以上不被气体腐蚀穿透。表面温度适应手感，为方便使用冷风底部专门设置清灰口和检修门</w:t>
                  </w:r>
                </w:p>
              </w:tc>
              <w:tc>
                <w:tcPr>
                  <w:tcW w:type="dxa" w:w="5"/>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5</w:t>
                  </w:r>
                </w:p>
              </w:tc>
              <w:tc>
                <w:tcPr>
                  <w:tcW w:type="dxa" w:w="3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right="150"/>
                    <w:jc w:val="center"/>
                  </w:pPr>
                  <w:r>
                    <w:rPr>
                      <w:rFonts w:ascii="仿宋_GB2312" w:hAnsi="仿宋_GB2312" w:cs="仿宋_GB2312" w:eastAsia="仿宋_GB2312"/>
                      <w:sz w:val="21"/>
                    </w:rPr>
                    <w:t>旋风除尘反应系统</w:t>
                  </w:r>
                </w:p>
              </w:tc>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1"/>
                    </w:rPr>
                    <w:t>规格：</w:t>
                  </w:r>
                  <w:r>
                    <w:rPr>
                      <w:rFonts w:ascii="仿宋_GB2312" w:hAnsi="仿宋_GB2312" w:cs="仿宋_GB2312" w:eastAsia="仿宋_GB2312"/>
                      <w:sz w:val="21"/>
                    </w:rPr>
                    <w:t>1650×650×3800mm(±5%)</w:t>
                  </w:r>
                </w:p>
                <w:p>
                  <w:pPr>
                    <w:pStyle w:val="null3"/>
                    <w:spacing w:before="30"/>
                    <w:ind w:left="120" w:right="105"/>
                  </w:pPr>
                  <w:r>
                    <w:rPr>
                      <w:rFonts w:ascii="仿宋_GB2312" w:hAnsi="仿宋_GB2312" w:cs="仿宋_GB2312" w:eastAsia="仿宋_GB2312"/>
                      <w:sz w:val="21"/>
                    </w:rPr>
                    <w:t>材质：主材采用优质不锈钢制作，厚度</w:t>
                  </w:r>
                  <w:r>
                    <w:rPr>
                      <w:rFonts w:ascii="仿宋_GB2312" w:hAnsi="仿宋_GB2312" w:cs="仿宋_GB2312" w:eastAsia="仿宋_GB2312"/>
                      <w:sz w:val="21"/>
                    </w:rPr>
                    <w:t>3.0mm(±0.1）</w:t>
                  </w:r>
                </w:p>
              </w:tc>
              <w:tc>
                <w:tcPr>
                  <w:tcW w:type="dxa" w:w="92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right="105"/>
                  </w:pPr>
                  <w:r>
                    <w:rPr>
                      <w:rFonts w:ascii="仿宋_GB2312" w:hAnsi="仿宋_GB2312" w:cs="仿宋_GB2312" w:eastAsia="仿宋_GB2312"/>
                      <w:sz w:val="21"/>
                    </w:rPr>
                    <w:t>双旋风除尘器由箱体、机芯、沉降室、灰斗、卸灰阀等组成</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6</w:t>
                  </w:r>
                </w:p>
              </w:tc>
              <w:tc>
                <w:tcPr>
                  <w:tcW w:type="dxa" w:w="3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高效脱酸脱硫脱脂装置</w:t>
                  </w:r>
                </w:p>
              </w:tc>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105" w:firstLine="3"/>
                    <w:jc w:val="both"/>
                  </w:pPr>
                  <w:r>
                    <w:rPr>
                      <w:rFonts w:ascii="仿宋_GB2312" w:hAnsi="仿宋_GB2312" w:cs="仿宋_GB2312" w:eastAsia="仿宋_GB2312"/>
                      <w:sz w:val="21"/>
                    </w:rPr>
                    <w:t>系统组成：由烟气脱酸装置，碱性物质配送装置，双流体喷雾装置等组成。</w:t>
                  </w:r>
                </w:p>
                <w:p>
                  <w:pPr>
                    <w:pStyle w:val="null3"/>
                    <w:ind w:left="120" w:right="105"/>
                  </w:pPr>
                  <w:r>
                    <w:rPr>
                      <w:rFonts w:ascii="仿宋_GB2312" w:hAnsi="仿宋_GB2312" w:cs="仿宋_GB2312" w:eastAsia="仿宋_GB2312"/>
                      <w:sz w:val="21"/>
                    </w:rPr>
                    <w:t>脱酸塔材料：由</w:t>
                  </w:r>
                  <w:r>
                    <w:rPr>
                      <w:rFonts w:ascii="仿宋_GB2312" w:hAnsi="仿宋_GB2312" w:cs="仿宋_GB2312" w:eastAsia="仿宋_GB2312"/>
                      <w:sz w:val="21"/>
                    </w:rPr>
                    <w:t>δ≥3mm 优质不锈钢板制作而成。</w:t>
                  </w:r>
                </w:p>
                <w:p>
                  <w:pPr>
                    <w:pStyle w:val="null3"/>
                    <w:ind w:left="120"/>
                  </w:pPr>
                  <w:r>
                    <w:rPr>
                      <w:rFonts w:ascii="仿宋_GB2312" w:hAnsi="仿宋_GB2312" w:cs="仿宋_GB2312" w:eastAsia="仿宋_GB2312"/>
                      <w:sz w:val="21"/>
                    </w:rPr>
                    <w:t>碱辅料存量：</w:t>
                  </w:r>
                  <w:r>
                    <w:rPr>
                      <w:rFonts w:ascii="仿宋_GB2312" w:hAnsi="仿宋_GB2312" w:cs="仿宋_GB2312" w:eastAsia="仿宋_GB2312"/>
                      <w:sz w:val="21"/>
                    </w:rPr>
                    <w:t>≥10kg</w:t>
                  </w:r>
                </w:p>
                <w:p>
                  <w:pPr>
                    <w:pStyle w:val="null3"/>
                    <w:spacing w:before="30"/>
                    <w:ind w:left="120"/>
                  </w:pPr>
                  <w:r>
                    <w:rPr>
                      <w:rFonts w:ascii="仿宋_GB2312" w:hAnsi="仿宋_GB2312" w:cs="仿宋_GB2312" w:eastAsia="仿宋_GB2312"/>
                      <w:sz w:val="21"/>
                    </w:rPr>
                    <w:t>碳辅料输送：自动输送</w:t>
                  </w:r>
                </w:p>
                <w:p>
                  <w:pPr>
                    <w:pStyle w:val="null3"/>
                    <w:spacing w:before="30"/>
                    <w:ind w:left="120"/>
                  </w:pPr>
                  <w:r>
                    <w:rPr>
                      <w:rFonts w:ascii="仿宋_GB2312" w:hAnsi="仿宋_GB2312" w:cs="仿宋_GB2312" w:eastAsia="仿宋_GB2312"/>
                      <w:sz w:val="21"/>
                    </w:rPr>
                    <w:t>运行表面温度：略高于室内温度。</w:t>
                  </w:r>
                </w:p>
                <w:p>
                  <w:pPr>
                    <w:pStyle w:val="null3"/>
                    <w:spacing w:before="30"/>
                    <w:ind w:left="120" w:right="105"/>
                  </w:pPr>
                  <w:r>
                    <w:rPr>
                      <w:rFonts w:ascii="仿宋_GB2312" w:hAnsi="仿宋_GB2312" w:cs="仿宋_GB2312" w:eastAsia="仿宋_GB2312"/>
                      <w:sz w:val="21"/>
                    </w:rPr>
                    <w:t>腐蚀年限：内表经防腐处理</w:t>
                  </w:r>
                  <w:r>
                    <w:rPr>
                      <w:rFonts w:ascii="仿宋_GB2312" w:hAnsi="仿宋_GB2312" w:cs="仿宋_GB2312" w:eastAsia="仿宋_GB2312"/>
                      <w:sz w:val="21"/>
                    </w:rPr>
                    <w:t>≥6 年不被气体腐蚀穿透。</w:t>
                  </w:r>
                </w:p>
              </w:tc>
              <w:tc>
                <w:tcPr>
                  <w:tcW w:type="dxa" w:w="92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right="105" w:firstLine="11"/>
                  </w:pPr>
                  <w:r>
                    <w:rPr>
                      <w:rFonts w:ascii="仿宋_GB2312" w:hAnsi="仿宋_GB2312" w:cs="仿宋_GB2312" w:eastAsia="仿宋_GB2312"/>
                      <w:sz w:val="21"/>
                    </w:rPr>
                    <w:t>（</w:t>
                  </w:r>
                  <w:r>
                    <w:rPr>
                      <w:rFonts w:ascii="仿宋_GB2312" w:hAnsi="仿宋_GB2312" w:cs="仿宋_GB2312" w:eastAsia="仿宋_GB2312"/>
                      <w:sz w:val="21"/>
                    </w:rPr>
                    <w:t>1）脱硫脱酸脱硝系统外装饰采用不锈钢制作，规格：L×W×H=680×500×780mm(±5%)。</w:t>
                  </w:r>
                </w:p>
                <w:p>
                  <w:pPr>
                    <w:pStyle w:val="null3"/>
                    <w:spacing w:before="30"/>
                    <w:ind w:left="120" w:right="105" w:firstLine="13"/>
                  </w:pPr>
                  <w:r>
                    <w:rPr>
                      <w:rFonts w:ascii="仿宋_GB2312" w:hAnsi="仿宋_GB2312" w:cs="仿宋_GB2312" w:eastAsia="仿宋_GB2312"/>
                      <w:sz w:val="21"/>
                    </w:rPr>
                    <w:t>（</w:t>
                  </w:r>
                  <w:r>
                    <w:rPr>
                      <w:rFonts w:ascii="仿宋_GB2312" w:hAnsi="仿宋_GB2312" w:cs="仿宋_GB2312" w:eastAsia="仿宋_GB2312"/>
                      <w:sz w:val="21"/>
                    </w:rPr>
                    <w:t>2）脱硫脱酸脱硝系统采用低位安装，充分雾化，高位输送方式脱除废气中的二氧化硫、氯化氢、氮氧化物等有害物质。</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7</w:t>
                  </w:r>
                </w:p>
              </w:tc>
              <w:tc>
                <w:tcPr>
                  <w:tcW w:type="dxa" w:w="3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50"/>
                    <w:jc w:val="center"/>
                  </w:pPr>
                  <w:r>
                    <w:rPr>
                      <w:rFonts w:ascii="仿宋_GB2312" w:hAnsi="仿宋_GB2312" w:cs="仿宋_GB2312" w:eastAsia="仿宋_GB2312"/>
                      <w:sz w:val="21"/>
                    </w:rPr>
                    <w:t>活性炭吸附装置</w:t>
                  </w:r>
                </w:p>
              </w:tc>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pPr>
                  <w:r>
                    <w:rPr>
                      <w:rFonts w:ascii="仿宋_GB2312" w:hAnsi="仿宋_GB2312" w:cs="仿宋_GB2312" w:eastAsia="仿宋_GB2312"/>
                      <w:sz w:val="21"/>
                    </w:rPr>
                    <w:t>材质：国标优质不锈钢。</w:t>
                  </w:r>
                </w:p>
                <w:p>
                  <w:pPr>
                    <w:pStyle w:val="null3"/>
                    <w:spacing w:before="30"/>
                    <w:ind w:left="120"/>
                  </w:pPr>
                  <w:r>
                    <w:rPr>
                      <w:rFonts w:ascii="仿宋_GB2312" w:hAnsi="仿宋_GB2312" w:cs="仿宋_GB2312" w:eastAsia="仿宋_GB2312"/>
                      <w:sz w:val="21"/>
                    </w:rPr>
                    <w:t>组成部分：由机体、箱体部份组成。</w:t>
                  </w:r>
                </w:p>
                <w:p>
                  <w:pPr>
                    <w:pStyle w:val="null3"/>
                    <w:spacing w:before="30"/>
                    <w:ind w:left="120" w:right="105" w:firstLine="5"/>
                    <w:jc w:val="both"/>
                  </w:pPr>
                  <w:r>
                    <w:rPr>
                      <w:rFonts w:ascii="仿宋_GB2312" w:hAnsi="仿宋_GB2312" w:cs="仿宋_GB2312" w:eastAsia="仿宋_GB2312"/>
                      <w:sz w:val="21"/>
                    </w:rPr>
                    <w:t>外形尺寸：</w:t>
                  </w:r>
                  <w:r>
                    <w:rPr>
                      <w:rFonts w:ascii="仿宋_GB2312" w:hAnsi="仿宋_GB2312" w:cs="仿宋_GB2312" w:eastAsia="仿宋_GB2312"/>
                      <w:sz w:val="21"/>
                    </w:rPr>
                    <w:t>≥L750×W750×H1700mm采用蜂窝活性炭吸附烟气中大量有害酸性物质及经高温分解的二噁英类物质，二噁英去除率达98%，使其排放质量浓度≤0.5ngTEQ/m</w:t>
                  </w:r>
                  <w:r>
                    <w:rPr>
                      <w:rFonts w:ascii="仿宋_GB2312" w:hAnsi="仿宋_GB2312" w:cs="仿宋_GB2312" w:eastAsia="仿宋_GB2312"/>
                      <w:sz w:val="21"/>
                    </w:rPr>
                    <w:t>³</w:t>
                  </w:r>
                  <w:r>
                    <w:rPr>
                      <w:rFonts w:ascii="仿宋_GB2312" w:hAnsi="仿宋_GB2312" w:cs="仿宋_GB2312" w:eastAsia="仿宋_GB2312"/>
                      <w:sz w:val="21"/>
                    </w:rPr>
                    <w:t>净化后排放。</w:t>
                  </w:r>
                </w:p>
              </w:tc>
              <w:tc>
                <w:tcPr>
                  <w:tcW w:type="dxa" w:w="92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right="105" w:firstLine="8"/>
                    <w:jc w:val="both"/>
                  </w:pPr>
                  <w:r>
                    <w:rPr>
                      <w:rFonts w:ascii="仿宋_GB2312" w:hAnsi="仿宋_GB2312" w:cs="仿宋_GB2312" w:eastAsia="仿宋_GB2312"/>
                      <w:sz w:val="21"/>
                    </w:rPr>
                    <w:t>▲</w:t>
                  </w:r>
                  <w:r>
                    <w:rPr>
                      <w:rFonts w:ascii="仿宋_GB2312" w:hAnsi="仿宋_GB2312" w:cs="仿宋_GB2312" w:eastAsia="仿宋_GB2312"/>
                      <w:sz w:val="21"/>
                    </w:rPr>
                    <w:t>蜂窝活性炭体积密度</w:t>
                  </w:r>
                  <w:r>
                    <w:rPr>
                      <w:rFonts w:ascii="仿宋_GB2312" w:hAnsi="仿宋_GB2312" w:cs="仿宋_GB2312" w:eastAsia="仿宋_GB2312"/>
                      <w:sz w:val="21"/>
                    </w:rPr>
                    <w:t>≥0.25g/cm3，碘吸附值≥800mg/g，四氯化碳吸附率≥50%，着火点≥300℃,水分≤10%，比表面积≥800㎡/g，动态苯吸附率≥35%，静态苯吸附率≥40%；正面抗压强度不低于0.6MPa，侧面抗压强度不低于0.3Mpa。</w:t>
                  </w:r>
                  <w:r>
                    <w:rPr>
                      <w:rFonts w:ascii="仿宋_GB2312" w:hAnsi="仿宋_GB2312" w:cs="仿宋_GB2312" w:eastAsia="仿宋_GB2312"/>
                      <w:sz w:val="21"/>
                    </w:rPr>
                    <w:t>提供</w:t>
                  </w:r>
                  <w:r>
                    <w:rPr>
                      <w:rFonts w:ascii="仿宋_GB2312" w:hAnsi="仿宋_GB2312" w:cs="仿宋_GB2312" w:eastAsia="仿宋_GB2312"/>
                      <w:sz w:val="21"/>
                    </w:rPr>
                    <w:t>部分由</w:t>
                  </w:r>
                  <w:r>
                    <w:rPr>
                      <w:rFonts w:ascii="仿宋_GB2312" w:hAnsi="仿宋_GB2312" w:cs="仿宋_GB2312" w:eastAsia="仿宋_GB2312"/>
                      <w:sz w:val="21"/>
                    </w:rPr>
                    <w:t>第三</w:t>
                  </w:r>
                  <w:r>
                    <w:rPr>
                      <w:rFonts w:ascii="仿宋_GB2312" w:hAnsi="仿宋_GB2312" w:cs="仿宋_GB2312" w:eastAsia="仿宋_GB2312"/>
                      <w:sz w:val="21"/>
                    </w:rPr>
                    <w:t>方</w:t>
                  </w:r>
                  <w:r>
                    <w:rPr>
                      <w:rFonts w:ascii="仿宋_GB2312" w:hAnsi="仿宋_GB2312" w:cs="仿宋_GB2312" w:eastAsia="仿宋_GB2312"/>
                      <w:sz w:val="21"/>
                    </w:rPr>
                    <w:t>机构出具的</w:t>
                  </w:r>
                  <w:r>
                    <w:rPr>
                      <w:rFonts w:ascii="仿宋_GB2312" w:hAnsi="仿宋_GB2312" w:cs="仿宋_GB2312" w:eastAsia="仿宋_GB2312"/>
                      <w:sz w:val="21"/>
                    </w:rPr>
                    <w:t>CMA 标识</w:t>
                  </w:r>
                  <w:r>
                    <w:rPr>
                      <w:rFonts w:ascii="仿宋_GB2312" w:hAnsi="仿宋_GB2312" w:cs="仿宋_GB2312" w:eastAsia="仿宋_GB2312"/>
                      <w:sz w:val="21"/>
                    </w:rPr>
                    <w:t>检验报告。</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1"/>
                    </w:rPr>
                    <w:t>8</w:t>
                  </w:r>
                </w:p>
              </w:tc>
              <w:tc>
                <w:tcPr>
                  <w:tcW w:type="dxa" w:w="350"/>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50"/>
                    <w:jc w:val="center"/>
                  </w:pPr>
                  <w:r>
                    <w:rPr>
                      <w:rFonts w:ascii="仿宋_GB2312" w:hAnsi="仿宋_GB2312" w:cs="仿宋_GB2312" w:eastAsia="仿宋_GB2312"/>
                      <w:sz w:val="21"/>
                    </w:rPr>
                    <w:t>布袋除尘器</w:t>
                  </w:r>
                </w:p>
              </w:tc>
              <w:tc>
                <w:tcPr>
                  <w:tcW w:type="dxa" w:w="111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105" w:firstLine="18"/>
                  </w:pPr>
                  <w:r>
                    <w:rPr>
                      <w:rFonts w:ascii="仿宋_GB2312" w:hAnsi="仿宋_GB2312" w:cs="仿宋_GB2312" w:eastAsia="仿宋_GB2312"/>
                      <w:sz w:val="21"/>
                    </w:rPr>
                    <w:t>1、布袋除尘器的结构组成：须由箱体、支架、检修平台、滤袋龙骨、滤袋、导流板、收尘室、全干法脉冲自动清灰装置、清灰程序控制、废气进出口采用气动阀门自动控制。</w:t>
                  </w:r>
                </w:p>
                <w:p>
                  <w:pPr>
                    <w:pStyle w:val="null3"/>
                    <w:spacing w:before="30"/>
                    <w:ind w:left="120" w:right="105"/>
                  </w:pPr>
                  <w:r>
                    <w:rPr>
                      <w:rFonts w:ascii="仿宋_GB2312" w:hAnsi="仿宋_GB2312" w:cs="仿宋_GB2312" w:eastAsia="仿宋_GB2312"/>
                      <w:sz w:val="21"/>
                    </w:rPr>
                    <w:t>2、材料要求：布袋除尘器箱体采用≥3mm 厚耐高温、耐腐蚀的不锈钢材质。箱体规格：≥长 2270×宽 2000 ×高 5000mm</w:t>
                  </w:r>
                </w:p>
                <w:p>
                  <w:pPr>
                    <w:pStyle w:val="null3"/>
                    <w:spacing w:before="30"/>
                    <w:ind w:left="120"/>
                  </w:pPr>
                  <w:r>
                    <w:rPr>
                      <w:rFonts w:ascii="仿宋_GB2312" w:hAnsi="仿宋_GB2312" w:cs="仿宋_GB2312" w:eastAsia="仿宋_GB2312"/>
                      <w:sz w:val="21"/>
                    </w:rPr>
                    <w:t>3、尾气通过滤袋的速度：1m/s</w:t>
                  </w:r>
                </w:p>
                <w:p>
                  <w:pPr>
                    <w:pStyle w:val="null3"/>
                    <w:spacing w:before="30"/>
                    <w:ind w:left="120" w:right="105"/>
                  </w:pPr>
                  <w:r>
                    <w:rPr>
                      <w:rFonts w:ascii="仿宋_GB2312" w:hAnsi="仿宋_GB2312" w:cs="仿宋_GB2312" w:eastAsia="仿宋_GB2312"/>
                      <w:sz w:val="21"/>
                    </w:rPr>
                    <w:t>4、滤袋的材质和性能：滤袋在连续工作 200℃情况下，静态除尘效率≥ 99.5% ，动态除尘效率≥99.9%。</w:t>
                  </w:r>
                </w:p>
                <w:p>
                  <w:pPr>
                    <w:pStyle w:val="null3"/>
                    <w:spacing w:before="45"/>
                    <w:ind w:left="120" w:right="105"/>
                    <w:jc w:val="both"/>
                  </w:pPr>
                  <w:r>
                    <w:rPr>
                      <w:rFonts w:ascii="仿宋_GB2312" w:hAnsi="仿宋_GB2312" w:cs="仿宋_GB2312" w:eastAsia="仿宋_GB2312"/>
                      <w:sz w:val="21"/>
                    </w:rPr>
                    <w:t>5、布袋除尘器采用全干法脉冲自动清灰系统，供气量充足，压力达到技术要求，自动清除粘附在滤袋上的粉尘。</w:t>
                  </w:r>
                </w:p>
                <w:p>
                  <w:pPr>
                    <w:pStyle w:val="null3"/>
                    <w:ind w:left="120" w:right="150"/>
                  </w:pPr>
                  <w:r>
                    <w:rPr>
                      <w:rFonts w:ascii="仿宋_GB2312" w:hAnsi="仿宋_GB2312" w:cs="仿宋_GB2312" w:eastAsia="仿宋_GB2312"/>
                      <w:sz w:val="21"/>
                    </w:rPr>
                    <w:t>6、滤袋对各种污染物的去除效果：符合 GB13801-2015 国家排放标准。</w:t>
                  </w:r>
                </w:p>
                <w:p>
                  <w:pPr>
                    <w:pStyle w:val="null3"/>
                    <w:spacing w:before="30"/>
                    <w:ind w:left="120" w:right="105"/>
                  </w:pPr>
                  <w:r>
                    <w:rPr>
                      <w:rFonts w:ascii="仿宋_GB2312" w:hAnsi="仿宋_GB2312" w:cs="仿宋_GB2312" w:eastAsia="仿宋_GB2312"/>
                      <w:sz w:val="21"/>
                    </w:rPr>
                    <w:t>7、布袋除尘器设计有防结露系统，防止因滤袋结露影响火化机正常使用。</w:t>
                  </w:r>
                </w:p>
                <w:p>
                  <w:pPr>
                    <w:pStyle w:val="null3"/>
                    <w:spacing w:before="30"/>
                    <w:ind w:left="120" w:right="105" w:firstLine="4"/>
                  </w:pPr>
                  <w:r>
                    <w:rPr>
                      <w:rFonts w:ascii="仿宋_GB2312" w:hAnsi="仿宋_GB2312" w:cs="仿宋_GB2312" w:eastAsia="仿宋_GB2312"/>
                      <w:sz w:val="21"/>
                    </w:rPr>
                    <w:t>8、附属配置要求：螺杆空压机、储气罐（符合简单压力容器标准）、干燥机、高精密过滤器等。</w:t>
                  </w:r>
                </w:p>
                <w:p>
                  <w:pPr>
                    <w:pStyle w:val="null3"/>
                    <w:spacing w:before="30"/>
                    <w:ind w:left="120" w:right="105"/>
                  </w:pPr>
                  <w:r>
                    <w:rPr>
                      <w:rFonts w:ascii="仿宋_GB2312" w:hAnsi="仿宋_GB2312" w:cs="仿宋_GB2312" w:eastAsia="仿宋_GB2312"/>
                      <w:sz w:val="21"/>
                    </w:rPr>
                    <w:t>9、布袋除尘器需设计有检修孔，随时可以打开检修门查看布袋除尘器箱体内使用情况。</w:t>
                  </w:r>
                </w:p>
                <w:p>
                  <w:pPr>
                    <w:pStyle w:val="null3"/>
                    <w:spacing w:before="30"/>
                    <w:ind w:left="120" w:right="105" w:firstLine="18"/>
                  </w:pPr>
                  <w:r>
                    <w:rPr>
                      <w:rFonts w:ascii="仿宋_GB2312" w:hAnsi="仿宋_GB2312" w:cs="仿宋_GB2312" w:eastAsia="仿宋_GB2312"/>
                      <w:sz w:val="21"/>
                    </w:rPr>
                    <w:t>10、本系统后段使用布袋除尘器，捕捉细微烟尘与黑烟等成份。布袋表面能为吸附载体，以保证较长的停留时间。配备不少于 100 条除尘布袋，规格≥L1500xφ120mm，过滤面积≥100㎡。</w:t>
                  </w:r>
                </w:p>
              </w:tc>
              <w:tc>
                <w:tcPr>
                  <w:tcW w:type="dxa" w:w="929"/>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105" w:firstLine="7"/>
                  </w:pPr>
                  <w:r>
                    <w:rPr>
                      <w:rFonts w:ascii="仿宋_GB2312" w:hAnsi="仿宋_GB2312" w:cs="仿宋_GB2312" w:eastAsia="仿宋_GB2312"/>
                      <w:sz w:val="21"/>
                    </w:rPr>
                    <w:t>系统组成：脉冲布袋除尘器由上箱体、支架、风室、安全护栏、检修人孔，龙骨、覆膜高温滤袋、收尘器、电磁脉冲、清灰装置、清灰程控箱组成。设计制造标准：</w:t>
                  </w:r>
                  <w:r>
                    <w:rPr>
                      <w:rFonts w:ascii="仿宋_GB2312" w:hAnsi="仿宋_GB2312" w:cs="仿宋_GB2312" w:eastAsia="仿宋_GB2312"/>
                      <w:sz w:val="21"/>
                    </w:rPr>
                    <w:t>GB/T6719-2009《袋式除尘器技术要求》、GB13801-2015《火葬场大气污染物排放标准》。</w:t>
                  </w:r>
                </w:p>
                <w:p>
                  <w:pPr>
                    <w:pStyle w:val="null3"/>
                    <w:spacing w:before="45"/>
                    <w:ind w:left="120" w:right="105"/>
                  </w:pPr>
                  <w:r>
                    <w:rPr>
                      <w:rFonts w:ascii="仿宋_GB2312" w:hAnsi="仿宋_GB2312" w:cs="仿宋_GB2312" w:eastAsia="仿宋_GB2312"/>
                      <w:sz w:val="21"/>
                    </w:rPr>
                    <w:t>焊接工艺要求</w:t>
                  </w:r>
                  <w:r>
                    <w:rPr>
                      <w:rFonts w:ascii="仿宋_GB2312" w:hAnsi="仿宋_GB2312" w:cs="仿宋_GB2312" w:eastAsia="仿宋_GB2312"/>
                      <w:sz w:val="21"/>
                    </w:rPr>
                    <w:t>:选择合理焊接工序，有效控制焊接变形。各构件应校正好后方可施焊，不得随意移动垫铁和支撑，以便影响构件刚性和垂直偏差。备焊</w:t>
                  </w:r>
                  <w:r>
                    <w:rPr>
                      <w:rFonts w:ascii="仿宋_GB2312" w:hAnsi="仿宋_GB2312" w:cs="仿宋_GB2312" w:eastAsia="仿宋_GB2312"/>
                      <w:sz w:val="21"/>
                    </w:rPr>
                    <w:t>接头按</w:t>
                  </w:r>
                  <w:r>
                    <w:rPr>
                      <w:rFonts w:ascii="仿宋_GB2312" w:hAnsi="仿宋_GB2312" w:cs="仿宋_GB2312" w:eastAsia="仿宋_GB2312"/>
                      <w:sz w:val="21"/>
                    </w:rPr>
                    <w:t>GB985《手工电弧焊焊接接基本形式与尺寸》标准执行。</w:t>
                  </w:r>
                </w:p>
                <w:p>
                  <w:pPr>
                    <w:pStyle w:val="null3"/>
                    <w:ind w:left="120" w:right="105"/>
                  </w:pPr>
                  <w:r>
                    <w:rPr>
                      <w:rFonts w:ascii="仿宋_GB2312" w:hAnsi="仿宋_GB2312" w:cs="仿宋_GB2312" w:eastAsia="仿宋_GB2312"/>
                      <w:sz w:val="21"/>
                    </w:rPr>
                    <w:t>防护配套设施：楼梯，护拦的焊接接头确保焊接牢固，以保后续安全使用</w:t>
                  </w:r>
                  <w:r>
                    <w:rPr>
                      <w:rFonts w:ascii="仿宋_GB2312" w:hAnsi="仿宋_GB2312" w:cs="仿宋_GB2312" w:eastAsia="仿宋_GB2312"/>
                      <w:sz w:val="21"/>
                    </w:rPr>
                    <w:t>。防护设施喷漆，先用砂布去除锈蚀，喷涂红防锈油漆，底漆干后，喷涂彩兰或银灰面漆至光亮平整。</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9</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right="150"/>
                    <w:jc w:val="center"/>
                  </w:pPr>
                  <w:r>
                    <w:rPr>
                      <w:rFonts w:ascii="仿宋_GB2312" w:hAnsi="仿宋_GB2312" w:cs="仿宋_GB2312" w:eastAsia="仿宋_GB2312"/>
                      <w:sz w:val="20"/>
                    </w:rPr>
                    <w:t>变频引风机</w:t>
                  </w:r>
                </w:p>
              </w:tc>
              <w:tc>
                <w:tcPr>
                  <w:tcW w:type="dxa" w:w="1116"/>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pPr>
                  <w:r>
                    <w:rPr>
                      <w:rFonts w:ascii="仿宋_GB2312" w:hAnsi="仿宋_GB2312" w:cs="仿宋_GB2312" w:eastAsia="仿宋_GB2312"/>
                      <w:sz w:val="20"/>
                    </w:rPr>
                    <w:t>功率：</w:t>
                  </w:r>
                  <w:r>
                    <w:rPr>
                      <w:rFonts w:ascii="仿宋_GB2312" w:hAnsi="仿宋_GB2312" w:cs="仿宋_GB2312" w:eastAsia="仿宋_GB2312"/>
                      <w:sz w:val="20"/>
                    </w:rPr>
                    <w:t>≥18.5KW</w:t>
                  </w:r>
                </w:p>
                <w:p>
                  <w:pPr>
                    <w:pStyle w:val="null3"/>
                    <w:spacing w:before="30"/>
                    <w:ind w:left="120"/>
                  </w:pPr>
                  <w:r>
                    <w:rPr>
                      <w:rFonts w:ascii="仿宋_GB2312" w:hAnsi="仿宋_GB2312" w:cs="仿宋_GB2312" w:eastAsia="仿宋_GB2312"/>
                      <w:sz w:val="20"/>
                    </w:rPr>
                    <w:t>空炉负压：</w:t>
                  </w:r>
                  <w:r>
                    <w:rPr>
                      <w:rFonts w:ascii="仿宋_GB2312" w:hAnsi="仿宋_GB2312" w:cs="仿宋_GB2312" w:eastAsia="仿宋_GB2312"/>
                      <w:sz w:val="20"/>
                    </w:rPr>
                    <w:t>≥-300Pa 以上</w:t>
                  </w:r>
                </w:p>
              </w:tc>
              <w:tc>
                <w:tcPr>
                  <w:tcW w:type="dxa" w:w="9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105"/>
                    <w:jc w:val="both"/>
                  </w:pPr>
                  <w:r>
                    <w:rPr>
                      <w:rFonts w:ascii="仿宋_GB2312" w:hAnsi="仿宋_GB2312" w:cs="仿宋_GB2312" w:eastAsia="仿宋_GB2312"/>
                      <w:sz w:val="20"/>
                    </w:rPr>
                    <w:t>变频器控制调节负压，灵敏度高，运转平稳，有减震装置和清灰门。</w:t>
                  </w:r>
                </w:p>
              </w:tc>
              <w:tc>
                <w:tcPr>
                  <w:tcW w:type="dxa" w:w="15"/>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10</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排放系统</w:t>
                  </w:r>
                </w:p>
              </w:tc>
              <w:tc>
                <w:tcPr>
                  <w:tcW w:type="dxa" w:w="1116"/>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0"/>
                    </w:rPr>
                    <w:t>高度：</w:t>
                  </w:r>
                  <w:r>
                    <w:rPr>
                      <w:rFonts w:ascii="仿宋_GB2312" w:hAnsi="仿宋_GB2312" w:cs="仿宋_GB2312" w:eastAsia="仿宋_GB2312"/>
                      <w:sz w:val="20"/>
                    </w:rPr>
                    <w:t>≥15米</w:t>
                  </w:r>
                </w:p>
                <w:p>
                  <w:pPr>
                    <w:pStyle w:val="null3"/>
                    <w:spacing w:before="30"/>
                    <w:ind w:left="120"/>
                  </w:pPr>
                  <w:r>
                    <w:rPr>
                      <w:rFonts w:ascii="仿宋_GB2312" w:hAnsi="仿宋_GB2312" w:cs="仿宋_GB2312" w:eastAsia="仿宋_GB2312"/>
                      <w:sz w:val="20"/>
                    </w:rPr>
                    <w:t>材质：</w:t>
                  </w:r>
                  <w:r>
                    <w:rPr>
                      <w:rFonts w:ascii="仿宋_GB2312" w:hAnsi="仿宋_GB2312" w:cs="仿宋_GB2312" w:eastAsia="仿宋_GB2312"/>
                      <w:sz w:val="20"/>
                    </w:rPr>
                    <w:t>δ≥3mm 优质不锈钢</w:t>
                  </w:r>
                </w:p>
                <w:p>
                  <w:pPr>
                    <w:pStyle w:val="null3"/>
                    <w:spacing w:before="30"/>
                    <w:ind w:left="120"/>
                  </w:pPr>
                  <w:r>
                    <w:rPr>
                      <w:rFonts w:ascii="仿宋_GB2312" w:hAnsi="仿宋_GB2312" w:cs="仿宋_GB2312" w:eastAsia="仿宋_GB2312"/>
                      <w:sz w:val="20"/>
                    </w:rPr>
                    <w:t>检测口高度：</w:t>
                  </w:r>
                  <w:r>
                    <w:rPr>
                      <w:rFonts w:ascii="仿宋_GB2312" w:hAnsi="仿宋_GB2312" w:cs="仿宋_GB2312" w:eastAsia="仿宋_GB2312"/>
                      <w:sz w:val="20"/>
                    </w:rPr>
                    <w:t>≥3m</w:t>
                  </w:r>
                </w:p>
                <w:p>
                  <w:pPr>
                    <w:pStyle w:val="null3"/>
                    <w:spacing w:before="30"/>
                    <w:ind w:left="120"/>
                  </w:pPr>
                  <w:r>
                    <w:rPr>
                      <w:rFonts w:ascii="仿宋_GB2312" w:hAnsi="仿宋_GB2312" w:cs="仿宋_GB2312" w:eastAsia="仿宋_GB2312"/>
                      <w:sz w:val="20"/>
                    </w:rPr>
                    <w:t>烟囱直径：</w:t>
                  </w:r>
                  <w:r>
                    <w:rPr>
                      <w:rFonts w:ascii="仿宋_GB2312" w:hAnsi="仿宋_GB2312" w:cs="仿宋_GB2312" w:eastAsia="仿宋_GB2312"/>
                      <w:sz w:val="20"/>
                    </w:rPr>
                    <w:t>≥400mm</w:t>
                  </w:r>
                </w:p>
              </w:tc>
              <w:tc>
                <w:tcPr>
                  <w:tcW w:type="dxa" w:w="9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0"/>
                    </w:rPr>
                    <w:t>工作时排放口远近都看不见烟气。</w:t>
                  </w:r>
                </w:p>
              </w:tc>
              <w:tc>
                <w:tcPr>
                  <w:tcW w:type="dxa" w:w="15"/>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11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right="150"/>
                    <w:jc w:val="center"/>
                  </w:pPr>
                  <w:r>
                    <w:rPr>
                      <w:rFonts w:ascii="仿宋_GB2312" w:hAnsi="仿宋_GB2312" w:cs="仿宋_GB2312" w:eastAsia="仿宋_GB2312"/>
                      <w:sz w:val="20"/>
                    </w:rPr>
                    <w:t>螺杆空压机</w:t>
                  </w:r>
                </w:p>
              </w:tc>
              <w:tc>
                <w:tcPr>
                  <w:tcW w:type="dxa" w:w="1116"/>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0"/>
                    </w:rPr>
                    <w:t>功率：</w:t>
                  </w:r>
                  <w:r>
                    <w:rPr>
                      <w:rFonts w:ascii="仿宋_GB2312" w:hAnsi="仿宋_GB2312" w:cs="仿宋_GB2312" w:eastAsia="仿宋_GB2312"/>
                      <w:sz w:val="20"/>
                    </w:rPr>
                    <w:t>≥7.5KW</w:t>
                  </w:r>
                </w:p>
                <w:p>
                  <w:pPr>
                    <w:pStyle w:val="null3"/>
                    <w:spacing w:before="30"/>
                    <w:ind w:left="120"/>
                  </w:pPr>
                  <w:r>
                    <w:rPr>
                      <w:rFonts w:ascii="仿宋_GB2312" w:hAnsi="仿宋_GB2312" w:cs="仿宋_GB2312" w:eastAsia="仿宋_GB2312"/>
                      <w:sz w:val="20"/>
                    </w:rPr>
                    <w:t>气压：</w:t>
                  </w:r>
                  <w:r>
                    <w:rPr>
                      <w:rFonts w:ascii="仿宋_GB2312" w:hAnsi="仿宋_GB2312" w:cs="仿宋_GB2312" w:eastAsia="仿宋_GB2312"/>
                      <w:sz w:val="20"/>
                    </w:rPr>
                    <w:t>≥0.8MPa</w:t>
                  </w:r>
                </w:p>
                <w:p>
                  <w:pPr>
                    <w:pStyle w:val="null3"/>
                    <w:spacing w:before="30"/>
                    <w:ind w:left="120"/>
                  </w:pPr>
                  <w:r>
                    <w:rPr>
                      <w:rFonts w:ascii="仿宋_GB2312" w:hAnsi="仿宋_GB2312" w:cs="仿宋_GB2312" w:eastAsia="仿宋_GB2312"/>
                      <w:sz w:val="20"/>
                    </w:rPr>
                    <w:t>排气量：</w:t>
                  </w:r>
                  <w:r>
                    <w:rPr>
                      <w:rFonts w:ascii="仿宋_GB2312" w:hAnsi="仿宋_GB2312" w:cs="仿宋_GB2312" w:eastAsia="仿宋_GB2312"/>
                      <w:sz w:val="20"/>
                    </w:rPr>
                    <w:t>≥1.7m³/min</w:t>
                  </w:r>
                </w:p>
              </w:tc>
              <w:tc>
                <w:tcPr>
                  <w:tcW w:type="dxa" w:w="9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105"/>
                    <w:jc w:val="both"/>
                  </w:pPr>
                  <w:r>
                    <w:rPr>
                      <w:rFonts w:ascii="仿宋_GB2312" w:hAnsi="仿宋_GB2312" w:cs="仿宋_GB2312" w:eastAsia="仿宋_GB2312"/>
                      <w:sz w:val="20"/>
                    </w:rPr>
                    <w:t>选用螺杆空压机</w:t>
                  </w:r>
                  <w:r>
                    <w:rPr>
                      <w:rFonts w:ascii="仿宋_GB2312" w:hAnsi="仿宋_GB2312" w:cs="仿宋_GB2312" w:eastAsia="仿宋_GB2312"/>
                      <w:sz w:val="20"/>
                    </w:rPr>
                    <w:t>，全自动控制，噪音小，运行平稳、自动报警。</w:t>
                  </w:r>
                </w:p>
              </w:tc>
              <w:tc>
                <w:tcPr>
                  <w:tcW w:type="dxa" w:w="15"/>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0"/>
                    </w:rPr>
                    <w:t>12</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0"/>
                    </w:rPr>
                    <w:t>储气罐</w:t>
                  </w:r>
                </w:p>
              </w:tc>
              <w:tc>
                <w:tcPr>
                  <w:tcW w:type="dxa" w:w="1116"/>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pPr>
                  <w:r>
                    <w:rPr>
                      <w:rFonts w:ascii="仿宋_GB2312" w:hAnsi="仿宋_GB2312" w:cs="仿宋_GB2312" w:eastAsia="仿宋_GB2312"/>
                      <w:sz w:val="20"/>
                    </w:rPr>
                    <w:t>容量：</w:t>
                  </w:r>
                  <w:r>
                    <w:rPr>
                      <w:rFonts w:ascii="仿宋_GB2312" w:hAnsi="仿宋_GB2312" w:cs="仿宋_GB2312" w:eastAsia="仿宋_GB2312"/>
                      <w:sz w:val="20"/>
                    </w:rPr>
                    <w:t>≥</w:t>
                  </w:r>
                  <w:r>
                    <w:rPr>
                      <w:rFonts w:ascii="仿宋_GB2312" w:hAnsi="仿宋_GB2312" w:cs="仿宋_GB2312" w:eastAsia="仿宋_GB2312"/>
                      <w:sz w:val="20"/>
                    </w:rPr>
                    <w:t>0.6m³</w:t>
                  </w:r>
                </w:p>
                <w:p>
                  <w:pPr>
                    <w:pStyle w:val="null3"/>
                    <w:spacing w:before="30"/>
                    <w:ind w:left="120"/>
                  </w:pPr>
                  <w:r>
                    <w:rPr>
                      <w:rFonts w:ascii="仿宋_GB2312" w:hAnsi="仿宋_GB2312" w:cs="仿宋_GB2312" w:eastAsia="仿宋_GB2312"/>
                      <w:sz w:val="20"/>
                    </w:rPr>
                    <w:t>工作压力</w:t>
                  </w:r>
                  <w:r>
                    <w:rPr>
                      <w:rFonts w:ascii="仿宋_GB2312" w:hAnsi="仿宋_GB2312" w:cs="仿宋_GB2312" w:eastAsia="仿宋_GB2312"/>
                      <w:sz w:val="20"/>
                    </w:rPr>
                    <w:t>：</w:t>
                  </w:r>
                  <w:r>
                    <w:rPr>
                      <w:rFonts w:ascii="仿宋_GB2312" w:hAnsi="仿宋_GB2312" w:cs="仿宋_GB2312" w:eastAsia="仿宋_GB2312"/>
                      <w:sz w:val="20"/>
                    </w:rPr>
                    <w:t>≥0.8MPa</w:t>
                  </w:r>
                </w:p>
              </w:tc>
              <w:tc>
                <w:tcPr>
                  <w:tcW w:type="dxa" w:w="9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13</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干燥机</w:t>
                  </w:r>
                </w:p>
              </w:tc>
              <w:tc>
                <w:tcPr>
                  <w:tcW w:type="dxa" w:w="1116"/>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ind w:left="120"/>
                  </w:pPr>
                  <w:r>
                    <w:rPr>
                      <w:rFonts w:ascii="仿宋_GB2312" w:hAnsi="仿宋_GB2312" w:cs="仿宋_GB2312" w:eastAsia="仿宋_GB2312"/>
                      <w:sz w:val="20"/>
                    </w:rPr>
                    <w:t>功率：</w:t>
                  </w:r>
                  <w:r>
                    <w:rPr>
                      <w:rFonts w:ascii="仿宋_GB2312" w:hAnsi="仿宋_GB2312" w:cs="仿宋_GB2312" w:eastAsia="仿宋_GB2312"/>
                      <w:sz w:val="20"/>
                    </w:rPr>
                    <w:t>≥0.7KW</w:t>
                  </w:r>
                </w:p>
                <w:p>
                  <w:pPr>
                    <w:pStyle w:val="null3"/>
                    <w:spacing w:before="30"/>
                    <w:ind w:left="120"/>
                  </w:pPr>
                  <w:r>
                    <w:rPr>
                      <w:rFonts w:ascii="仿宋_GB2312" w:hAnsi="仿宋_GB2312" w:cs="仿宋_GB2312" w:eastAsia="仿宋_GB2312"/>
                      <w:sz w:val="20"/>
                    </w:rPr>
                    <w:t>空气处理量：</w:t>
                  </w:r>
                  <w:r>
                    <w:rPr>
                      <w:rFonts w:ascii="仿宋_GB2312" w:hAnsi="仿宋_GB2312" w:cs="仿宋_GB2312" w:eastAsia="仿宋_GB2312"/>
                      <w:sz w:val="20"/>
                    </w:rPr>
                    <w:t>≥2.5m³/min</w:t>
                  </w:r>
                </w:p>
              </w:tc>
              <w:tc>
                <w:tcPr>
                  <w:tcW w:type="dxa" w:w="9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105"/>
                    <w:jc w:val="both"/>
                  </w:pPr>
                  <w:r>
                    <w:rPr>
                      <w:rFonts w:ascii="仿宋_GB2312" w:hAnsi="仿宋_GB2312" w:cs="仿宋_GB2312" w:eastAsia="仿宋_GB2312"/>
                      <w:sz w:val="20"/>
                    </w:rPr>
                    <w:t>风冷式干燥机，通过风冷再次把压缩空气中的水分烘干保证布袋干燥。</w:t>
                  </w:r>
                </w:p>
              </w:tc>
              <w:tc>
                <w:tcPr>
                  <w:tcW w:type="dxa" w:w="15"/>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0"/>
                    </w:rPr>
                    <w:t>14</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50"/>
                    <w:jc w:val="center"/>
                  </w:pPr>
                  <w:r>
                    <w:rPr>
                      <w:rFonts w:ascii="仿宋_GB2312" w:hAnsi="仿宋_GB2312" w:cs="仿宋_GB2312" w:eastAsia="仿宋_GB2312"/>
                      <w:sz w:val="20"/>
                    </w:rPr>
                    <w:t>自动化电气控制</w:t>
                  </w:r>
                </w:p>
              </w:tc>
              <w:tc>
                <w:tcPr>
                  <w:tcW w:type="dxa" w:w="1116"/>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105"/>
                  </w:pPr>
                  <w:r>
                    <w:rPr>
                      <w:rFonts w:ascii="仿宋_GB2312" w:hAnsi="仿宋_GB2312" w:cs="仿宋_GB2312" w:eastAsia="仿宋_GB2312"/>
                      <w:sz w:val="20"/>
                    </w:rPr>
                    <w:t>操作功能：具有与火化机一体化操作功能；</w:t>
                  </w:r>
                </w:p>
                <w:p>
                  <w:pPr>
                    <w:pStyle w:val="null3"/>
                    <w:ind w:left="120" w:right="90"/>
                  </w:pPr>
                  <w:r>
                    <w:rPr>
                      <w:rFonts w:ascii="仿宋_GB2312" w:hAnsi="仿宋_GB2312" w:cs="仿宋_GB2312" w:eastAsia="仿宋_GB2312"/>
                      <w:sz w:val="20"/>
                    </w:rPr>
                    <w:t>触摸显示屏：选用</w:t>
                  </w:r>
                  <w:r>
                    <w:rPr>
                      <w:rFonts w:ascii="仿宋_GB2312" w:hAnsi="仿宋_GB2312" w:cs="仿宋_GB2312" w:eastAsia="仿宋_GB2312"/>
                      <w:sz w:val="20"/>
                    </w:rPr>
                    <w:t>≥10寸真彩屏，PLC功能模块选用进行程序控制，故障自动诊断报警，触摸屏显示运行参数。操作方式：操作有电脑、手动控制方式、可随时切换。</w:t>
                  </w:r>
                </w:p>
              </w:tc>
              <w:tc>
                <w:tcPr>
                  <w:tcW w:type="dxa" w:w="9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r>
              <w:tc>
                <w:tcPr>
                  <w:tcW w:type="dxa" w:w="15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0"/>
                    </w:rPr>
                    <w:t>15</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center"/>
                  </w:pPr>
                  <w:r>
                    <w:rPr>
                      <w:rFonts w:ascii="仿宋_GB2312" w:hAnsi="仿宋_GB2312" w:cs="仿宋_GB2312" w:eastAsia="仿宋_GB2312"/>
                      <w:sz w:val="20"/>
                    </w:rPr>
                    <w:t>总功率</w:t>
                  </w:r>
                </w:p>
              </w:tc>
              <w:tc>
                <w:tcPr>
                  <w:tcW w:type="dxa" w:w="1116"/>
                  <w:gridSpan w:val="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
                  </w:pPr>
                  <w:r>
                    <w:rPr>
                      <w:rFonts w:ascii="仿宋_GB2312" w:hAnsi="仿宋_GB2312" w:cs="仿宋_GB2312" w:eastAsia="仿宋_GB2312"/>
                      <w:sz w:val="20"/>
                    </w:rPr>
                    <w:t>≤30KW。</w:t>
                  </w:r>
                </w:p>
              </w:tc>
              <w:tc>
                <w:tcPr>
                  <w:tcW w:type="dxa" w:w="9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
                  <w:gridSpan w:val="2"/>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rPr>
                    <w:t xml:space="preserve"> </w:t>
                  </w:r>
                </w:p>
              </w:tc>
            </w:tr>
          </w:tbl>
          <w:p>
            <w:pPr>
              <w:pStyle w:val="null3"/>
              <w:numPr>
                <w:ilvl w:val="0"/>
                <w:numId w:val="1"/>
              </w:numPr>
            </w:pPr>
            <w:r>
              <w:rPr>
                <w:rFonts w:ascii="仿宋_GB2312" w:hAnsi="仿宋_GB2312" w:cs="仿宋_GB2312" w:eastAsia="仿宋_GB2312"/>
                <w:sz w:val="20"/>
              </w:rPr>
              <w:t>三、</w:t>
            </w:r>
            <w:r>
              <w:rPr>
                <w:rFonts w:ascii="仿宋_GB2312" w:hAnsi="仿宋_GB2312" w:cs="仿宋_GB2312" w:eastAsia="仿宋_GB2312"/>
                <w:sz w:val="20"/>
              </w:rPr>
              <w:t>质量标准和要求</w:t>
            </w:r>
            <w:r>
              <w:rPr>
                <w:rFonts w:ascii="仿宋_GB2312" w:hAnsi="仿宋_GB2312" w:cs="仿宋_GB2312" w:eastAsia="仿宋_GB2312"/>
                <w:sz w:val="20"/>
              </w:rPr>
              <w:t>:</w:t>
            </w:r>
            <w:r>
              <w:rPr>
                <w:rFonts w:ascii="仿宋_GB2312" w:hAnsi="仿宋_GB2312" w:cs="仿宋_GB2312" w:eastAsia="仿宋_GB2312"/>
                <w:sz w:val="20"/>
              </w:rPr>
              <w:t>1）采购销烟除尘设备应当符合相关强制性标准；销烟除尘设备应达到环保要求；保证设备在每天正常使用情况下，使用寿命10年以上。</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自合同签订之日起30日历天,交货安装调试完毕。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宜君县殡葬服务中心指定地点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合同签订后乙方设备到场开始安装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安装完成，验收合格</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符合国家相关规定验收合格标准。详见履约验收方案</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1.自验收合格之日起1年，中标人承诺的质保时间超过招标文件要求的，按其承诺时间质保。 2.质保期起始时间为终验合格之日。 3.在货物使用期间，出现故障或异常，供应商应在 24 小时内响应；若故障或异常不能及时解决，应告知采购人并更换备件；故障或异常修复后，应做好维修或更换记录。4.乙方负责对甲方提供的设备应配备远程在线诊断，当出现故障时，可显示报警信息，应能根据报警信息提供解决方案;若硬件类，应能指导远程操作。还能实现远程控制前厅操作系统，实现远程火化。到现场维修不得超过5个工作日。</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华人民共和国政府采购法》及实施条例中的相关条款和本项目合同约定执行。（2）未按合同要求提供产品和服务或不能满足技术要求，采购人有权终止合同，并对中标单位违约行为进行追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采购标的对应的中小企业划分标准所属行业为工业；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二）落实的政府采购政策：1）《政府采购促进中小企业发展管理办法》的通知--财库[2020]46号；2）财政部司法部关于政府采购支持监狱企业发展有关问题的通知--财库〔2014〕68号；3）《国务院办公厅关于建立政府强制采购节能产品制度的通知》--国办发〔2007〕51号；4）《财政部发展改革委生态环境部市场监管总局关于调整优化节能产品、环境标志产品政府采购执 行机制的通知》--（财库[2019]9号）；5）《关于印发环境标志产品政府采购品目清单的通 知》--（财库〔2019〕18号）；6）《关于印发节能产品政府采购品目清单的通知》--（财库〔2019〕19号）；7）《市场监管总局关于发布参与实施政府采购节能产品、环境标志产品认证机构名录的公告》—2019年第16号；8）《财政部民政部中国残疾人联合会关于促进残疾人就业政府采购政策的通知》--（财库 2017〕141号）；9）《关于运用政府采购政策支持乡村产业振兴的通知》（财库〔2021〕19号）；10）陕西省财政厅关于印发《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陕西省工业和信息化厅关于运用政府采购政策支持首台（套）及创新产品有关事项的通知》（陕财办采﹝2021﹞17号）；14）财办库〔2020〕123关于印发《商品包装政府采购需求标准（试行）》、《快递包装政府采购需求标准（试行）》的通知；15）《国务院办公厅关于在政府采购中实施本国产品标准及相关政策的通知》（国办发〔2025〕34号）、关于贯彻落实《国务院办公厅关于在政府采购中实施本国产品标准及相关政策的通知》的意见 （财库〔2025〕30号）；16）《关于推动解决政府采购异常低价问题的通知》财库〔2026〕2号；17）政府采购扶持不发达地区和少数民族地区的政策；18）其他需要落实的政府采购政策；19）如有最新颁布的政府采购政策，按最新的文件执行。 （三）总价包括：所供货物、服务且验收合格的所有费用，包括出厂价、运杂费（含保险）、仓储保管费、安装调试费、检测费、人工费、利润、税费等其他一切相关费用；包括从产品供应地点到交货地点，且使产品具备使用条件的一切费用。合同总价不可变更，不受市场价变化的影响，不受实际数量变化的影响。（四）成交供应商在领取成交通知书时提供纸质版投标文件两套，应通过专用制作软件直接打印，确保与电子投标文件保持一致，不允许修改和补充。提交地点：西安曲江新区雁南五路曲江影视大厦19层。（五）实施本国产品优惠比例 由于财政系统过度，关于在政府采购中实施本国产品标准及相关政策：根据《陕西省财政厅关于在政府采购活动中实施本国产品标准及相关政策的通知》（陕财办采〔2026〕2号）要求，1)对于仅有本国产品参与竞争的政府采购项目，本国产品不享受价格扣除评审优惠。2)对于非专门面向中小企业的采购项目，既有本国产品也有非本国产品参与竞争，且提供本国产品的供应商同时为小微 企业的，应按照《通知》和《政府采购促进中小企业发展管理办法》规定，对该供应商的产品同时给予支持本国产品和小微企业产品的价格评审优惠。相关价格评审扣除优惠，均应该在供应商 原始报价基础上计算，用扣除后的价格参与评审。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 成本之和的比例达到80%以上时，且供应商在投标(响应)文件 中对此作出承诺的，则依法对该供应商提供的全部产品给予价格 评审优惠，即对该供应商提供的全部产品的总报价给予20%的价格扣除，用扣除后的价格参与评审。全部产品是指货物或服务采 购项目或采购包中包含的全部货物、服务产品。（六）补充说明 第三章 招标项目技术、服务、商务及其他要求中涉及标的名称的补充说明：原序号1及2对应的标的名称500000补充说明为序号1标的名称智能彩体平板火化炉、序号2标的名称烟道及尾气处理设备。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财务状况报表</w:t>
            </w:r>
          </w:p>
        </w:tc>
        <w:tc>
          <w:tcPr>
            <w:tcW w:type="dxa" w:w="3322"/>
          </w:tcPr>
          <w:p>
            <w:pPr>
              <w:pStyle w:val="null3"/>
            </w:pPr>
            <w:r>
              <w:rPr>
                <w:rFonts w:ascii="仿宋_GB2312" w:hAnsi="仿宋_GB2312" w:cs="仿宋_GB2312" w:eastAsia="仿宋_GB2312"/>
              </w:rPr>
              <w:t>法人提供2024年度或2025年度经审计的财务报告，或提交自2025年10月1日以来其基本开户银行出具的资信证明及基本存款账户信息，或信用担保机构出具的投标担保函（以上三种形式的资料提供任何一种即可）；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提供供应商2025年至今任意一个月已缴纳的完税凭证或税务机关开具的完税证明（任意税种），依法免税的单位应提供相关证明材料；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提供供应商2025年至今任意一个月的社会保障资金缴存单据或社保机构开具的社会保险参保缴费情况证明。依法不需要缴纳社会保障资金的供应商应提供相关证明文件；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声明书</w:t>
            </w:r>
          </w:p>
        </w:tc>
        <w:tc>
          <w:tcPr>
            <w:tcW w:type="dxa" w:w="3322"/>
          </w:tcPr>
          <w:p>
            <w:pPr>
              <w:pStyle w:val="null3"/>
            </w:pPr>
            <w:r>
              <w:rPr>
                <w:rFonts w:ascii="仿宋_GB2312" w:hAnsi="仿宋_GB2312" w:cs="仿宋_GB2312" w:eastAsia="仿宋_GB2312"/>
              </w:rPr>
              <w:t>出具参加政府采购活动前3年内在经营活动中没有重大违法记录的书面声明；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法定代表人授权书及被授权人身份证(法定代表人直接参加投标，须提交其身份证复印件及法定代表人身份证明)；</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 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tc>
        <w:tc>
          <w:tcPr>
            <w:tcW w:type="dxa" w:w="1661"/>
          </w:tcPr>
          <w:p>
            <w:pPr>
              <w:pStyle w:val="null3"/>
            </w:pPr>
            <w:r>
              <w:rPr>
                <w:rFonts w:ascii="仿宋_GB2312" w:hAnsi="仿宋_GB2312" w:cs="仿宋_GB2312" w:eastAsia="仿宋_GB2312"/>
              </w:rPr>
              <w:t>供应商应提交的相关资格证明材料 其他</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其他</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签字、盖章符合招标文件要求，且无遗漏</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中小企业声明函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（1）投标报价符合唯一性要求； （2）开标一览表填写符合要求； （3）报价货币符合招标文件要求； （4）未超出采购预算或招标文件规定的最高限价。</w:t>
            </w:r>
          </w:p>
        </w:tc>
        <w:tc>
          <w:tcPr>
            <w:tcW w:type="dxa" w:w="1661"/>
          </w:tcPr>
          <w:p>
            <w:pPr>
              <w:pStyle w:val="null3"/>
            </w:pPr>
            <w:r>
              <w:rPr>
                <w:rFonts w:ascii="仿宋_GB2312" w:hAnsi="仿宋_GB2312" w:cs="仿宋_GB2312" w:eastAsia="仿宋_GB2312"/>
              </w:rPr>
              <w:t>货物（产品）分项报价明细表 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响应情况</w:t>
            </w:r>
          </w:p>
        </w:tc>
        <w:tc>
          <w:tcPr>
            <w:tcW w:type="dxa" w:w="3322"/>
          </w:tcPr>
          <w:p>
            <w:pPr>
              <w:pStyle w:val="null3"/>
            </w:pPr>
            <w:r>
              <w:rPr>
                <w:rFonts w:ascii="仿宋_GB2312" w:hAnsi="仿宋_GB2312" w:cs="仿宋_GB2312" w:eastAsia="仿宋_GB2312"/>
              </w:rPr>
              <w:t>应满足招标要求，响应文件未含有采购人不能接受的附加条件，且无其他无效标的情形。</w:t>
            </w:r>
          </w:p>
        </w:tc>
        <w:tc>
          <w:tcPr>
            <w:tcW w:type="dxa" w:w="1661"/>
          </w:tcPr>
          <w:p>
            <w:pPr>
              <w:pStyle w:val="null3"/>
            </w:pPr>
            <w:r>
              <w:rPr>
                <w:rFonts w:ascii="仿宋_GB2312" w:hAnsi="仿宋_GB2312" w:cs="仿宋_GB2312" w:eastAsia="仿宋_GB2312"/>
              </w:rPr>
              <w:t>产品技术参数表 投标函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技术参数和性能指标全部满足采购文件要求或优于采购文件要求得20分，其中“▲”项参数为重要技术指标，不满足招标文件参数要求或未按要求提供相应证明材料的，每有1项扣2分。其他非“▲”技术条款不满足招标文件要求的，每有1项扣1分。此评审项总分20分，扣完为止。“▲”参数提供相应的证明材料。</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货源渠道正规，确保产品无假货、水货、翻新货且无产权纠纷，提供所投核心产品的合法来源渠道证明文件（包括但不限于产品销售协议、代理协议、原厂授权等任意一种），得2分，未提供或者少提供不得分。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供货渠道证明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实施方案包括但不限于：①针对本项目供货、施工的总体部署及实施计划；②提供健全的安装、检测、调试、试运行及验收方案供货运输方案；③劳动力安排计划；④安装调试机械设备配备计划；⑤项目实施过程的安全、文明措施等；以上内容切合本项目实际情况及实施要求，内容与要点相符、每个要点均有展开详细的阐述且能够适用于本项目的计20分；评审内容每有一项缺失扣4分；评审内容有一项内容缺陷（缺陷是指：内容描述过于简单、条理不清晰、与项目内容不匹配、凭空编造、出现常识性错误、不可能实现的夸大情形、存在不适用项目实际情况的情形等）扣1分，扣完为止；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针对本项目提供质量保证方案包括但不限于：①确保项目质量保障措施；②确保环境保护措施；③确保供货期的技术组织措施等；以上内容切合本项目实际情况及实施要求，内容与要点相符、每个要点均有展开详细的阐述且能够适用于本项目的计6分；评审内容每有一项缺失扣2分；评审内容有一项内容缺陷（缺陷是指：内容描述过于简单、条理不清晰、与项目内容不匹配、凭空编造、出现常识性错误、不可能实现的夸大情形、存在不适用项目实际情况的情形等）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应急预案包括但不限于：①启动应急预案的条件；②应急处理流程措施；③恢复流程等；以上内容切合本项目实际情况及实施要求，内容与要点相符、每个要点均有展开详细的阐述且能够适用于本项目的计6分；评审内容每有一项缺失扣2分；评审内容有一项内容缺陷（缺陷是指：内容描述过于简单、条理不清晰、与项目内容不匹配、凭空编造、出现常识性错误、不可能实现的夸大情形、存在不适用项目实际情况的情形等）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包括但不限于：①对备品配件、设备发生故障后的补救措施②维修服务响应时限、维保年限及次数、售后服务承诺等；以上内容切合本项目实际情况及实施要求，内容与要点相符、每个要点均有展开详细的阐述且能够适用于本项目的计6分；评审内容每有一项缺失扣3分；评审内容有一项内容缺陷（缺陷是指：内容描述过于简单、条理不清晰、与项目内容不匹配、凭空编造、出现常识性错误、不可能实现的夸大情形、存在不适用项目实际情况的情形等）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培训措施方案</w:t>
            </w:r>
          </w:p>
        </w:tc>
        <w:tc>
          <w:tcPr>
            <w:tcW w:type="dxa" w:w="2492"/>
          </w:tcPr>
          <w:p>
            <w:pPr>
              <w:pStyle w:val="null3"/>
            </w:pPr>
            <w:r>
              <w:rPr>
                <w:rFonts w:ascii="仿宋_GB2312" w:hAnsi="仿宋_GB2312" w:cs="仿宋_GB2312" w:eastAsia="仿宋_GB2312"/>
              </w:rPr>
              <w:t>针对本项目提供培训措施方案包括但不限于：①培训内容及时间安排；②重点难点及培训结果保障措施；③后期培训支撑服务等；以上内容切合本项目实际情况及实施要求，内容与要点相符、每个要点均有展开详细的阐述且能够适用于本项目的计6分；评审内容每有一项缺失扣2分；评审内容有一项内容缺陷（缺陷是指：内容描述过于简单、条理不清晰、与项目内容不匹配、凭空编造、出现常识性错误、不可能实现的夸大情形、存在不适用项目实际情况的情形等）扣1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提供供应商近年（2022年01月01日至今任意时间段）已完类似项目业绩，每提供一个业绩得2分，本项最高得4分。（以合同复印件加盖供应商公章，以合同时间签订为准）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货物（产品）分项报价明细表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单位的价格分统一按照下列公式计算：投标报价得分=(投标基准价／投标报价)×价格权值×100（保留小数点后两位） 。因落实政府采购政策进行价格调整的，以调整后的价格计算评标基准价和投标报价。（投标报价保留小数点后两位，小数点后第三位“四舍五入”）</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详见附件：货物（产品）分项报价明细表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详见附件：项目方案</w:t>
      </w:r>
    </w:p>
    <w:p>
      <w:pPr>
        <w:pStyle w:val="null3"/>
        <w:ind w:firstLine="960"/>
      </w:pPr>
      <w:r>
        <w:rPr>
          <w:rFonts w:ascii="仿宋_GB2312" w:hAnsi="仿宋_GB2312" w:cs="仿宋_GB2312" w:eastAsia="仿宋_GB2312"/>
        </w:rPr>
        <w:t>详见附件：供货渠道证明</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详见附件：其他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详见附件：第七章 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