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版本号：CG-JMYC-2026-05220260730001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2026年度西乡县桑园镇食用菌立体化种植基地建设项目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CG-JMYC-2026-052</w:t>
      </w:r>
      <w:r>
        <w:br/>
      </w:r>
      <w:r>
        <w:br/>
      </w:r>
      <w:r>
        <w:br/>
      </w:r>
    </w:p>
    <w:p>
      <w:pPr>
        <w:pStyle w:val="null3"/>
        <w:jc w:val="center"/>
        <w:outlineLvl w:val="2"/>
      </w:pPr>
      <w:r>
        <w:rPr>
          <w:rFonts w:ascii="仿宋_GB2312" w:hAnsi="仿宋_GB2312" w:cs="仿宋_GB2312" w:eastAsia="仿宋_GB2312"/>
          <w:sz w:val="28"/>
          <w:b/>
        </w:rPr>
        <w:t>西乡县农业农村局</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西乡县农业农村局</w:t>
      </w:r>
      <w:r>
        <w:rPr>
          <w:rFonts w:ascii="仿宋_GB2312" w:hAnsi="仿宋_GB2312" w:cs="仿宋_GB2312" w:eastAsia="仿宋_GB2312"/>
        </w:rPr>
        <w:t>委托，拟对</w:t>
      </w:r>
      <w:r>
        <w:rPr>
          <w:rFonts w:ascii="仿宋_GB2312" w:hAnsi="仿宋_GB2312" w:cs="仿宋_GB2312" w:eastAsia="仿宋_GB2312"/>
        </w:rPr>
        <w:t>2026年度西乡县桑园镇食用菌立体化种植基地建设项目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2026年度西乡县桑园镇食用菌立体化种植基地建设项目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新建发酵区、钢结构通道、冷库、室外⼯程、养菇棚等。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采购包1（2026年度西乡县桑园镇食用菌立体化种植基地建设项目）：属于专门面向中小企业采购。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事业法⼈、其他组织或⾃然⼈，提供营业执照（事业单位须事业单位法⼈证、组织机构代码证等证明⽂件；其他组织应提供合法证明⽂件、⾃然⼈提供⾝份证明⽂件）；</w:t>
      </w:r>
    </w:p>
    <w:p>
      <w:pPr>
        <w:pStyle w:val="null3"/>
      </w:pPr>
      <w:r>
        <w:rPr>
          <w:rFonts w:ascii="仿宋_GB2312" w:hAnsi="仿宋_GB2312" w:cs="仿宋_GB2312" w:eastAsia="仿宋_GB2312"/>
        </w:rPr>
        <w:t>2、供应商资质要求：供应商具有建筑工程施工总承包三级以上（含三级）资质，具有有效的安全生产许可证；拟派项目经理须具有建筑工程专业注册建造师二级（含二级）以上资格和安全生产考核合格B证，且无在建项目；</w:t>
      </w:r>
    </w:p>
    <w:p>
      <w:pPr>
        <w:pStyle w:val="null3"/>
      </w:pPr>
      <w:r>
        <w:rPr>
          <w:rFonts w:ascii="仿宋_GB2312" w:hAnsi="仿宋_GB2312" w:cs="仿宋_GB2312" w:eastAsia="仿宋_GB2312"/>
        </w:rPr>
        <w:t>3、磋商代表要求：供应商应授权合法的⼈员参加磋商，其中法定代表⼈直接参加的，须出具法定代表⼈⾝份证明书及法⼈⾝份证；授权代表参加的，须出具法定代表⼈授权书及被授权⼈⾝份证；</w:t>
      </w:r>
    </w:p>
    <w:p>
      <w:pPr>
        <w:pStyle w:val="null3"/>
      </w:pPr>
      <w:r>
        <w:rPr>
          <w:rFonts w:ascii="仿宋_GB2312" w:hAnsi="仿宋_GB2312" w:cs="仿宋_GB2312" w:eastAsia="仿宋_GB2312"/>
        </w:rPr>
        <w:t>4、政府采购供应商资格承诺函：供应商具有良好的商业信誉和健全的财务会计制度，具有履⾏合同所必需的设备和专业技术能⼒， 具有依法缴纳税收和社会保障⾦的良好记录，参加本项⽬采购活动前三年内⽆重⼤违法活动记录。 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采购包1：1,362,396.60元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开户名称：陕西金沐烨城项目管理有限公司</w:t>
            </w:r>
          </w:p>
          <w:p>
            <w:pPr>
              <w:pStyle w:val="null3"/>
            </w:pPr>
            <w:r>
              <w:rPr>
                <w:rFonts w:ascii="仿宋_GB2312" w:hAnsi="仿宋_GB2312" w:cs="仿宋_GB2312" w:eastAsia="仿宋_GB2312"/>
              </w:rPr>
              <w:t>开户银行：中国银行汉中陕西理工大学支行</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招标代理服务收费管理暂行办法》计价[2002]1980号和《国家发改委关于招标代理服务收费有关问题的通知》（发改办价格〔2003〕857号）文件及《国家发展改革委关于进一步放开建设项目专业服务价格的通知》（发改价格〔2015〕299号）文件。2、缴费采用银行转账方式一次性交纳。 开户名称：陕西金沐烨城项目管理有限公司 开户银行：中国工商银行股份有限公司汉中北团结街支行 银行账号：2606050309200192113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西乡县农业农村局</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地址：陕西省汉中市西乡县西乡县汉白路西段中图石油东10米院内代理部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1,362,396.60</w:t>
      </w:r>
    </w:p>
    <w:p>
      <w:pPr>
        <w:pStyle w:val="null3"/>
      </w:pPr>
      <w:r>
        <w:rPr>
          <w:rFonts w:ascii="仿宋_GB2312" w:hAnsi="仿宋_GB2312" w:cs="仿宋_GB2312" w:eastAsia="仿宋_GB2312"/>
        </w:rPr>
        <w:t>采购包最高限价（元）: 1,362,396.60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食用菌立体化种植基地建设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1,362,396.60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标的名称：食用菌立体化种植基地建设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both"/>
            </w:pPr>
            <w:r>
              <w:rPr>
                <w:rFonts w:ascii="仿宋_GB2312" w:hAnsi="仿宋_GB2312" w:cs="仿宋_GB2312" w:eastAsia="仿宋_GB2312"/>
              </w:rPr>
              <w:t>一、工程概况：</w:t>
            </w:r>
          </w:p>
          <w:p>
            <w:pPr>
              <w:pStyle w:val="null3"/>
            </w:pPr>
            <w:r>
              <w:rPr>
                <w:rFonts w:ascii="仿宋_GB2312" w:hAnsi="仿宋_GB2312" w:cs="仿宋_GB2312" w:eastAsia="仿宋_GB2312"/>
              </w:rPr>
              <w:t>本工程建设地点位于西乡县桑园镇桑园社区，主要建设内容为：新建发酵区、钢结构通道、冷库、室外工程、养菇棚等。</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1、陕西省工程建设标准《建设工程工程量清单计价标准》DB61/T 5126-2025。</w:t>
            </w:r>
          </w:p>
          <w:p>
            <w:pPr>
              <w:pStyle w:val="null3"/>
            </w:pPr>
            <w:r>
              <w:rPr>
                <w:rFonts w:ascii="仿宋_GB2312" w:hAnsi="仿宋_GB2312" w:cs="仿宋_GB2312" w:eastAsia="仿宋_GB2312"/>
              </w:rPr>
              <w:t>2、陕西省工程建设标准《房屋建筑与装饰工程工程量计算标准》DB61/T 5129-2025、《市政工程工程量计算标准》、《通用安装工程工程量计算标准》。</w:t>
            </w:r>
          </w:p>
          <w:p>
            <w:pPr>
              <w:pStyle w:val="null3"/>
            </w:pPr>
            <w:r>
              <w:rPr>
                <w:rFonts w:ascii="仿宋_GB2312" w:hAnsi="仿宋_GB2312" w:cs="仿宋_GB2312" w:eastAsia="仿宋_GB2312"/>
              </w:rPr>
              <w:t>3、《陕西省建设工程费用规则》（2025）。</w:t>
            </w:r>
          </w:p>
          <w:p>
            <w:pPr>
              <w:pStyle w:val="null3"/>
            </w:pPr>
            <w:r>
              <w:rPr>
                <w:rFonts w:ascii="仿宋_GB2312" w:hAnsi="仿宋_GB2312" w:cs="仿宋_GB2312" w:eastAsia="仿宋_GB2312"/>
              </w:rPr>
              <w:t>4、《陕西省房屋建筑与装饰工程消耗量定额》（2025）、《陕西省市政工程消耗量定额》（2025）、《陕西省通用安装工程消耗量定额》（2025）。</w:t>
            </w:r>
          </w:p>
          <w:p>
            <w:pPr>
              <w:pStyle w:val="null3"/>
            </w:pPr>
            <w:r>
              <w:rPr>
                <w:rFonts w:ascii="仿宋_GB2312" w:hAnsi="仿宋_GB2312" w:cs="仿宋_GB2312" w:eastAsia="仿宋_GB2312"/>
              </w:rPr>
              <w:t>5、《陕西省房屋建筑与装饰工程基价表》(2025)、《陕西省市政工程基价表》(2025)、《陕西省通用安装工程基价表》(2025)。</w:t>
            </w:r>
          </w:p>
          <w:p>
            <w:pPr>
              <w:pStyle w:val="null3"/>
            </w:pPr>
            <w:r>
              <w:rPr>
                <w:rFonts w:ascii="仿宋_GB2312" w:hAnsi="仿宋_GB2312" w:cs="仿宋_GB2312" w:eastAsia="仿宋_GB2312"/>
              </w:rPr>
              <w:t>6、《陕西省建设工程施工机械台班费用定额》（2025）、《陕西省建设工程施工仪器仪表台班费用定额》（2025）。</w:t>
            </w:r>
          </w:p>
          <w:p>
            <w:pPr>
              <w:pStyle w:val="null3"/>
            </w:pPr>
            <w:r>
              <w:rPr>
                <w:rFonts w:ascii="仿宋_GB2312" w:hAnsi="仿宋_GB2312" w:cs="仿宋_GB2312" w:eastAsia="仿宋_GB2312"/>
              </w:rPr>
              <w:t>三、其他有关问题</w:t>
            </w:r>
          </w:p>
          <w:p>
            <w:pPr>
              <w:pStyle w:val="null3"/>
            </w:pPr>
            <w:r>
              <w:rPr>
                <w:rFonts w:ascii="仿宋_GB2312" w:hAnsi="仿宋_GB2312" w:cs="仿宋_GB2312" w:eastAsia="仿宋_GB2312"/>
              </w:rPr>
              <w:t>1、菇棚：图纸设计范围的山墙面（阻燃泡沫夹芯板）、拱架、蘑菇架、山墙面（阻燃泡沫夹芯板）、内外膜、无滴膜、保温棉被、LED灯带不在本招标项目范围内。</w:t>
            </w:r>
          </w:p>
          <w:p>
            <w:pPr>
              <w:pStyle w:val="null3"/>
            </w:pPr>
            <w:r>
              <w:rPr>
                <w:rFonts w:ascii="仿宋_GB2312" w:hAnsi="仿宋_GB2312" w:cs="仿宋_GB2312" w:eastAsia="仿宋_GB2312"/>
              </w:rPr>
              <w:t>2、专业工程暂估价100000元（不含税金额）包含：冷库墙面、顶棚及制冷设备购买及安装。</w:t>
            </w:r>
          </w:p>
          <w:p>
            <w:pPr>
              <w:pStyle w:val="null3"/>
            </w:pPr>
            <w:r>
              <w:rPr>
                <w:rFonts w:ascii="仿宋_GB2312" w:hAnsi="仿宋_GB2312" w:cs="仿宋_GB2312" w:eastAsia="仿宋_GB2312"/>
              </w:rPr>
              <w:t>四、工    期： 60日历天</w:t>
            </w:r>
          </w:p>
          <w:p>
            <w:pPr>
              <w:pStyle w:val="null3"/>
            </w:pPr>
            <w:r>
              <w:rPr>
                <w:rFonts w:ascii="仿宋_GB2312" w:hAnsi="仿宋_GB2312" w:cs="仿宋_GB2312" w:eastAsia="仿宋_GB2312"/>
              </w:rPr>
              <w:t>五、工程质量：合   格</w:t>
            </w:r>
          </w:p>
          <w:p>
            <w:pPr>
              <w:pStyle w:val="null3"/>
            </w:pPr>
            <w:r>
              <w:rPr>
                <w:rFonts w:ascii="仿宋_GB2312" w:hAnsi="仿宋_GB2312" w:cs="仿宋_GB2312" w:eastAsia="仿宋_GB2312"/>
              </w:rPr>
              <w:t>六、计价软件：广联达云计价平台GCCP7.0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事业法⼈、其他组织或⾃然⼈，提供营业执照（事业单位须事业单位法⼈证、组织机构代码证等证明⽂件；其他组织应提供合法证明⽂件、⾃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供应商具有建筑工程施工总承包三级以上（含三级）资质，具有有效的安全生产许可证；拟派项目经理须具有建筑工程专业注册建造师二级（含二级）以上资格和安全生产考核合格B证，且无在建项目；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磋商代表要求</w:t>
            </w:r>
          </w:p>
        </w:tc>
        <w:tc>
          <w:tcPr>
            <w:tcW w:type="dxa" w:w="3322"/>
          </w:tcPr>
          <w:p>
            <w:pPr>
              <w:pStyle w:val="null3"/>
            </w:pPr>
            <w:r>
              <w:rPr>
                <w:rFonts w:ascii="仿宋_GB2312" w:hAnsi="仿宋_GB2312" w:cs="仿宋_GB2312" w:eastAsia="仿宋_GB2312"/>
              </w:rPr>
              <w:t>供应商应授权合法的⼈员参加磋商，其中法定代表⼈直接参加的，须出具法定代表⼈⾝份证明书及法⼈⾝份证；授权代表参加的，须出具法定代表⼈授权书及被授权⼈⾝份证；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供应商具有良好的商业信誉和健全的财务会计制度，具有履⾏合同所必需的设备和专业技术能⼒， 具有依法缴纳税收和社会保障⾦的良好记录，参加本项⽬采购活动前三年内⽆重⼤违法活动记录。 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磋商响应文件按照磋商文件要求的格式编写，内容无重大缺漏项。</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强制优先采购产品承诺函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强制优先采购产品承诺函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磋商报价未超过招标最高限价或采购预算。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60日历天</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⽆法律、法规和采购⽂件规定的其他投标⽆效情形。</w:t>
            </w:r>
          </w:p>
        </w:tc>
        <w:tc>
          <w:tcPr>
            <w:tcW w:type="dxa" w:w="1661"/>
          </w:tcPr>
          <w:p>
            <w:pPr>
              <w:pStyle w:val="null3"/>
            </w:pPr>
            <w:r>
              <w:rPr>
                <w:rFonts w:ascii="仿宋_GB2312" w:hAnsi="仿宋_GB2312" w:cs="仿宋_GB2312" w:eastAsia="仿宋_GB2312"/>
              </w:rPr>
              <w:t>项目经理和主要技术管理人员配置.docx 技术方案.docx 已标价工程量清单 磋商保证金.docx 中小企业声明函 技术服务合同条款及其他商务要求应答表 资格证明文件.docx 强制优先采购产品承诺函 响应文件封面 类似业绩情况表.docx 政府采购供应商拒绝政府采购领域商业贿赂承诺书.docx 项目管理机构组成表 残疾人福利性单位声明函 报价函 标的清单 响应函 监狱企业的证明文件 拟委任的项目经理情况表.docx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投标人针对本项目编制完整的施工方案，内容包含但不限于：①场地平整方案②拌料棚基础施工方案③钢结构通道施工方案④养菇棚主体结构施工方案⑤室外工程方案。 评审标准：各项内容全面详细、阐述条理清晰详尽、符合本项目采购需求、对项目的理解准确、针对性强能有效保障本项目实施得10.0分；评审内容任意⼀项缺项扣2.0分，扣完为⽌；评审内容有缺陷的每项缺陷扣1分，扣完为⽌。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安全文明施工保证体系与措施</w:t>
            </w:r>
          </w:p>
        </w:tc>
        <w:tc>
          <w:tcPr>
            <w:tcW w:type="dxa" w:w="2492"/>
          </w:tcPr>
          <w:p>
            <w:pPr>
              <w:pStyle w:val="null3"/>
            </w:pPr>
            <w:r>
              <w:rPr>
                <w:rFonts w:ascii="仿宋_GB2312" w:hAnsi="仿宋_GB2312" w:cs="仿宋_GB2312" w:eastAsia="仿宋_GB2312"/>
              </w:rPr>
              <w:t>投标人针对本项目编制完整的安全文明施工保证体系与措施，内容包含但不限于：①安全生产管理制度（含安全责任制、安全教育培训计划）②安全防护措施清单（含高空作业、用电安全、钢结构吊装安全）③文明施工措施（含现场围挡、材料堆放、场地硬化）④环境保护措施（含扬尘控制、噪音控制、污水处理）⑤应急预案。 评审标准：各项内容全面详细、阐述条理清晰详尽、符合本项目采购需求、对项目的理解准确、针对性强能有效保障本项目实施得10.0分；评审内容任意⼀项缺项扣2.0分，扣完为⽌；评审内容有缺陷的每项缺陷扣1分，扣完为⽌。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劳动力及主要施工设备配置</w:t>
            </w:r>
          </w:p>
        </w:tc>
        <w:tc>
          <w:tcPr>
            <w:tcW w:type="dxa" w:w="2492"/>
          </w:tcPr>
          <w:p>
            <w:pPr>
              <w:pStyle w:val="null3"/>
            </w:pPr>
            <w:r>
              <w:rPr>
                <w:rFonts w:ascii="仿宋_GB2312" w:hAnsi="仿宋_GB2312" w:cs="仿宋_GB2312" w:eastAsia="仿宋_GB2312"/>
              </w:rPr>
              <w:t>1. 劳动⼒配置（4分） （1）⼯种配置明细：完整列明普⼯、各专业技术⼯种、特种作业⼯种的具体⼈数，⼯种覆盖本项⽬全部施⼯⼯序，得2分；仅列明主要⼯种⼈数，缺失部分辅助⼯种，得1分；仅提供总⼈数，未细分任何⼯种不得分。 （2）进出场时间计划：明确标注每个⼯种的准确进场⽇期、退场⽇期，得1分；仅标注⼤致进场阶段（如“施⼯前期”“主体阶段”），得0.5分；未标注任何进场时间不得分。 （3）与进度计划匹配性：劳动⼒投⼊节奏与施⼯总进度计划、关键线路⼯序节点完全对应，⾼峰期⽤⼯配置充⾜，得1分；基本匹配施⼯进度安排，局部偏差不影响关键⼯期，得0.5分；配置计划与进度计划明显⽭盾不得分。 2. 主要施⼯设备配置（4分） （1）设备清单完整性：完整列明所有核⼼施⼯设备的名称、规格型号、核⼼参数、数量，得2分；列明设备名称及数量，缺失规格型号或参数，得1分；仅罗列设备名称，⽆数量信息，不得分。 （2）进场计划与设备状态：明确标注每台设备的进场时间，同时注明设备权属（⾃有 / 租赁）及有效期内的检验合格证明情况，得1分；仅标注进场时间，未说明设备状态及合规性，得 0.5分；未标注进场时间，不得分。 （3）与施⼯需求匹配性：设备选型、数量完全匹配本项⽬施⼯⼯艺、⼯程量及⼯期要求，核⼼设备有备⽤保障，得1分；基本匹配施⼯需求，⽆明显缺失，得 0.5分；核⼼设备缺失或性能明显不满⾜施⼯要求不得分。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新技术新工艺</w:t>
            </w:r>
          </w:p>
        </w:tc>
        <w:tc>
          <w:tcPr>
            <w:tcW w:type="dxa" w:w="2492"/>
          </w:tcPr>
          <w:p>
            <w:pPr>
              <w:pStyle w:val="null3"/>
            </w:pPr>
            <w:r>
              <w:rPr>
                <w:rFonts w:ascii="仿宋_GB2312" w:hAnsi="仿宋_GB2312" w:cs="仿宋_GB2312" w:eastAsia="仿宋_GB2312"/>
              </w:rPr>
              <w:t>每提供1项国家或行业推广的新技术、新材料、新工艺应用方案，且方案明确应用部位、预期效果及实施步骤，得1分，最高得3分；仅提及技术名称，无具体应用方案的，不得分。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提供2023年至今的类似项目业绩（以中标通知书和合同为准），每提供1个得2.5分，最高得5分；未提供不得分。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vMerge/>
          </w:tcPr>
          <w:p/>
        </w:tc>
        <w:tc>
          <w:tcPr>
            <w:tcW w:type="dxa" w:w="1661"/>
          </w:tcPr>
          <w:p>
            <w:pPr>
              <w:pStyle w:val="null3"/>
            </w:pPr>
            <w:r>
              <w:rPr>
                <w:rFonts w:ascii="仿宋_GB2312" w:hAnsi="仿宋_GB2312" w:cs="仿宋_GB2312" w:eastAsia="仿宋_GB2312"/>
              </w:rPr>
              <w:t>主要技术、管理人员配置</w:t>
            </w:r>
          </w:p>
        </w:tc>
        <w:tc>
          <w:tcPr>
            <w:tcW w:type="dxa" w:w="2492"/>
          </w:tcPr>
          <w:p>
            <w:pPr>
              <w:pStyle w:val="null3"/>
            </w:pPr>
            <w:r>
              <w:rPr>
                <w:rFonts w:ascii="仿宋_GB2312" w:hAnsi="仿宋_GB2312" w:cs="仿宋_GB2312" w:eastAsia="仿宋_GB2312"/>
              </w:rPr>
              <w:t>1.供应商每提供1名拟派主要技术管理人员相关证明材料扫描件，得1.5分，满分9分；证明材料：应提供技术负责人、安全员、质量员、施工员、材料员、资料员等的身份证、毕业证、岗位证书等扫描件，安全员须提供合格有效的安全生产考核合格证书（C证）；未提供证明材料，该人员此项不得分。 2.所提供的技术负责人具有高级职称的得3分，中级职称的得2分，助理工程师职称的1分，无职称不得分。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项目经理和主要技术管理人员配置.docx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投标人针对本项目编制完整的工程质量技术组织措施，内容包含但不限于：①质量管理组织架构图②材料进场检验制度③施工工序质量控制点清单④隐蔽工程验收程序⑤竣工验收流程及标准。 评审标准：各项内容全面详细、阐述条理清晰详尽、符合本项目采购需求、对项目的理解准确、针对性强能有效保障本项目实施得10.0分；评审内容任意⼀项缺项扣2.0分，扣完为⽌；评审内容有缺陷的每项缺陷扣1分，扣完为⽌。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1.进度计划完整性：提供详细的横道图或网络图，明确各分项工程的起止时间和关键线路，得3分；提供简单的进度计划，明确主要分项工程的起止时间，得2分；仅提供总工期安排，无分项工程进度计划，得1分；未提供不得分。2.工期保证措施：同时提供人员保障、材料保障、设备保障、应急赶工措施，得4分；提供3项保障措施，得3分；提供1-2项保障措施，得1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以各供应商满⾜磋商⽂件要求且最后磋商报价最低的为磋商基准价，其价格分为满分。其他供应商的价格分统⼀按照下列公式计算：价格分＝（磋商基准价/最后磋商报价）×35（得分保留两位⼩数）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详见附件：拟委任的项目经理情况表.docx</w:t>
      </w:r>
    </w:p>
    <w:p>
      <w:pPr>
        <w:pStyle w:val="null3"/>
        <w:ind w:firstLine="960"/>
      </w:pPr>
      <w:r>
        <w:rPr>
          <w:rFonts w:ascii="仿宋_GB2312" w:hAnsi="仿宋_GB2312" w:cs="仿宋_GB2312" w:eastAsia="仿宋_GB2312"/>
        </w:rPr>
        <w:t>详见附件：项目经理和主要技术管理人员配置.docx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