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版本号：MRH-2026016-FW20260707002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机动车尾气遥感监测运维项目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MRH-2026016-FW</w:t>
      </w:r>
      <w:r>
        <w:br/>
      </w:r>
      <w:r>
        <w:br/>
      </w:r>
      <w:r>
        <w:br/>
      </w:r>
    </w:p>
    <w:p>
      <w:pPr>
        <w:pStyle w:val="null3"/>
        <w:jc w:val="center"/>
        <w:outlineLvl w:val="2"/>
      </w:pPr>
      <w:r>
        <w:rPr>
          <w:rFonts w:ascii="仿宋_GB2312" w:hAnsi="仿宋_GB2312" w:cs="仿宋_GB2312" w:eastAsia="仿宋_GB2312"/>
          <w:sz w:val="28"/>
          <w:b/>
        </w:rPr>
        <w:t>咸阳市机动车排气污染检测防治中心</w:t>
      </w:r>
    </w:p>
    <w:p>
      <w:pPr>
        <w:pStyle w:val="null3"/>
        <w:jc w:val="center"/>
        <w:outlineLvl w:val="2"/>
      </w:pPr>
      <w:r>
        <w:rPr>
          <w:rFonts w:ascii="仿宋_GB2312" w:hAnsi="仿宋_GB2312" w:cs="仿宋_GB2312" w:eastAsia="仿宋_GB2312"/>
          <w:sz w:val="28"/>
          <w:b/>
        </w:rPr>
        <w:t>陕西明瑞恒项目管理有限公司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陕西明瑞恒项目管理有限公司</w:t>
      </w:r>
      <w:r>
        <w:rPr>
          <w:rFonts w:ascii="仿宋_GB2312" w:hAnsi="仿宋_GB2312" w:cs="仿宋_GB2312" w:eastAsia="仿宋_GB2312"/>
        </w:rPr>
        <w:t>（以下简称“代理机构”）受</w:t>
      </w:r>
      <w:r>
        <w:rPr>
          <w:rFonts w:ascii="仿宋_GB2312" w:hAnsi="仿宋_GB2312" w:cs="仿宋_GB2312" w:eastAsia="仿宋_GB2312"/>
        </w:rPr>
        <w:t>咸阳市机动车排气污染检测防治中心</w:t>
      </w:r>
      <w:r>
        <w:rPr>
          <w:rFonts w:ascii="仿宋_GB2312" w:hAnsi="仿宋_GB2312" w:cs="仿宋_GB2312" w:eastAsia="仿宋_GB2312"/>
        </w:rPr>
        <w:t>委托，拟对</w:t>
      </w:r>
      <w:r>
        <w:rPr>
          <w:rFonts w:ascii="仿宋_GB2312" w:hAnsi="仿宋_GB2312" w:cs="仿宋_GB2312" w:eastAsia="仿宋_GB2312"/>
        </w:rPr>
        <w:t>机动车尾气遥感监测运维项目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MRH-2026016-FW</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机动车尾气遥感监测运维项目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为下一步全市大气污染防治的研判工作做好数据、技术保障，委托第三方机构运维我市机动车排气污染遥感监测系统及黑烟车智能识别系统。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采购包1（一期机动车尾气遥感监测及黑烟车智能识别系统运维）：属于专门面向中小企业采购。</w:t>
      </w:r>
    </w:p>
    <w:p>
      <w:pPr>
        <w:pStyle w:val="null3"/>
      </w:pPr>
      <w:r>
        <w:rPr>
          <w:rFonts w:ascii="仿宋_GB2312" w:hAnsi="仿宋_GB2312" w:cs="仿宋_GB2312" w:eastAsia="仿宋_GB2312"/>
        </w:rPr>
        <w:t>采购包2（二期机动车尾气遥感监测及黑烟车智能识别系统运维）：属于专门面向中小企业采购。</w:t>
      </w:r>
    </w:p>
    <w:p>
      <w:pPr>
        <w:pStyle w:val="null3"/>
      </w:pPr>
      <w:r>
        <w:rPr>
          <w:rFonts w:ascii="仿宋_GB2312" w:hAnsi="仿宋_GB2312" w:cs="仿宋_GB2312" w:eastAsia="仿宋_GB2312"/>
        </w:rPr>
        <w:t>采购包3（三期机动车尾气遥感监测及黑烟车智能识别系统运维和机动车尾气遥感监测系统搬迁）：属于专门面向中小企业采购。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营业执照：具有独立承担民事责任能力，提供投标人合法注册的法人或其他组织的营业执照/事业单位法人证书/非企业专业服务机构执业许可证/民办非企业单位登记证书。（应提供相应证明文件。供应商需在项目电子化交易系统中按要求上传相应证明文件）</w:t>
      </w:r>
    </w:p>
    <w:p>
      <w:pPr>
        <w:pStyle w:val="null3"/>
      </w:pPr>
      <w:r>
        <w:rPr>
          <w:rFonts w:ascii="仿宋_GB2312" w:hAnsi="仿宋_GB2312" w:cs="仿宋_GB2312" w:eastAsia="仿宋_GB2312"/>
        </w:rPr>
        <w:t>2、具有良好的商业信誉和健全的财务会计制度：提供近三年经审计的财务报告（成立时间至提交投标文件截止时间不足一年的可提供成立后任意时段的资产负债表），或其基本存款账户开户银行出具的资信证明。（应提供相应证明文件。供应商需在项目电子化交易系统中按要求上传相应证明文件）</w:t>
      </w:r>
    </w:p>
    <w:p>
      <w:pPr>
        <w:pStyle w:val="null3"/>
      </w:pPr>
      <w:r>
        <w:rPr>
          <w:rFonts w:ascii="仿宋_GB2312" w:hAnsi="仿宋_GB2312" w:cs="仿宋_GB2312" w:eastAsia="仿宋_GB2312"/>
        </w:rPr>
        <w:t>3、具有履行合同所必需的设备和专业技术能力：提供承诺书。（应提供相应证明文件。供应商需在项目电子化交易系统中按要求上传相应证明文件）</w:t>
      </w:r>
    </w:p>
    <w:p>
      <w:pPr>
        <w:pStyle w:val="null3"/>
      </w:pPr>
      <w:r>
        <w:rPr>
          <w:rFonts w:ascii="仿宋_GB2312" w:hAnsi="仿宋_GB2312" w:cs="仿宋_GB2312" w:eastAsia="仿宋_GB2312"/>
        </w:rPr>
        <w:t>4、有依法缴纳税收和社会保障资金的良好记录：依法缴纳税收：提供投标人自投标前3个月以来任意时段已缴纳任意时段完税凭证或税务机关开具的完税证明（任意税种）；依法免税的应提供相关文件证明；社会保障资金提供投标人自开标前3个月以来任意时段已缴存的社会保障资金缴存单据或社保机构开具的社会保险参保缴费情况证明；依法不需要缴纳社会保障资金的应提供相关文件证明。（应提供相应证明文件。供应商需在项目电子化交易系统中按要求上传相应证明文件）</w:t>
      </w:r>
    </w:p>
    <w:p>
      <w:pPr>
        <w:pStyle w:val="null3"/>
      </w:pPr>
      <w:r>
        <w:rPr>
          <w:rFonts w:ascii="仿宋_GB2312" w:hAnsi="仿宋_GB2312" w:cs="仿宋_GB2312" w:eastAsia="仿宋_GB2312"/>
        </w:rPr>
        <w:t>5、参加政府采购活动前三年内，在经营活动中没有重大违法记录：提供书面声明。（应提供相应证明文件。供应商需在项目电子化交易系统中按要求上传相应证明文件）</w:t>
      </w:r>
    </w:p>
    <w:p>
      <w:pPr>
        <w:pStyle w:val="null3"/>
      </w:pPr>
      <w:r>
        <w:rPr>
          <w:rFonts w:ascii="仿宋_GB2312" w:hAnsi="仿宋_GB2312" w:cs="仿宋_GB2312" w:eastAsia="仿宋_GB2312"/>
        </w:rPr>
        <w:t>6、法律、行政法规规定的其他条件：提供书面声明。（应提供相应证明文件。供应商需在项目电子化交易系统中按要求上传相应证明文件）</w:t>
      </w:r>
    </w:p>
    <w:p>
      <w:pPr>
        <w:pStyle w:val="null3"/>
      </w:pPr>
      <w:r>
        <w:rPr>
          <w:rFonts w:ascii="仿宋_GB2312" w:hAnsi="仿宋_GB2312" w:cs="仿宋_GB2312" w:eastAsia="仿宋_GB2312"/>
        </w:rPr>
        <w:t>7、中小企声明函：投标人须提供中小企业声明函。（应提供相应证明文件。供应商需在项目电子化交易系统中按要求上传相应证明文件）</w:t>
      </w:r>
    </w:p>
    <w:p>
      <w:pPr>
        <w:pStyle w:val="null3"/>
      </w:pPr>
      <w:r>
        <w:rPr>
          <w:rFonts w:ascii="仿宋_GB2312" w:hAnsi="仿宋_GB2312" w:cs="仿宋_GB2312" w:eastAsia="仿宋_GB2312"/>
        </w:rPr>
        <w:t>8、信用状况：投标人不得为“中国执行信息公开网”（zxgk.court.gov.cn/shixin/）中列入失信被执行人和“信用中国”（www.creditchina.gov.cn/）列入重大税收违法失信主体的投标人，不得为“中国政府采购网”（www.ccgp.gov.cn）政府采购严重违法失信行为记录名单中被财政部门禁止参加政府采购活动的投标人。（应提供相应证明文件。供应商需在项目电子化交易系统中按要求上传相应证明文件）</w:t>
      </w:r>
    </w:p>
    <w:p>
      <w:pPr>
        <w:pStyle w:val="null3"/>
      </w:pPr>
      <w:r>
        <w:rPr>
          <w:rFonts w:ascii="仿宋_GB2312" w:hAnsi="仿宋_GB2312" w:cs="仿宋_GB2312" w:eastAsia="仿宋_GB2312"/>
        </w:rPr>
        <w:t>9、单位负责人为同一人或者存在直接控股、管理关系的不同投标人，不得参加同一合同项下的政府采购活动：单位负责人为同一人或者存在直接控股、管理关系的不同投标人，不得参加同一合同项下的政府采购活动。（应提供相应证明文件。供应商需在项目电子化交易系统中按要求上传相应证明文件）</w:t>
      </w:r>
    </w:p>
    <w:p>
      <w:pPr>
        <w:pStyle w:val="null3"/>
      </w:pPr>
      <w:r>
        <w:rPr>
          <w:rFonts w:ascii="仿宋_GB2312" w:hAnsi="仿宋_GB2312" w:cs="仿宋_GB2312" w:eastAsia="仿宋_GB2312"/>
        </w:rPr>
        <w:t>10、本采购项目不接受联合体投标：本采购项目不接受联合体投标。（应提供相应证明文件。供应商需在项目电子化交易系统中按要求上传相应证明文件）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提供营业执照：具有独立承担民事责任能力，提供投标人合法注册的法人或其他组织的营业执照/事业单位法人证书/非企业专业服务机构执业许可证/民办非企业单位登记证书。（应提供相应证明文件。供应商需在项目电子化交易系统中按要求上传相应证明文件）</w:t>
      </w:r>
    </w:p>
    <w:p>
      <w:pPr>
        <w:pStyle w:val="null3"/>
      </w:pPr>
      <w:r>
        <w:rPr>
          <w:rFonts w:ascii="仿宋_GB2312" w:hAnsi="仿宋_GB2312" w:cs="仿宋_GB2312" w:eastAsia="仿宋_GB2312"/>
        </w:rPr>
        <w:t>2、具有良好的商业信誉和健全的财务会计制度：提供近三年经审计的财务报告（成立时间至提交投标文件截止时间不足一年的可提供成立后任意时段的资产负债表），或其基本存款账户开户银行出具的资信证明。（应提供相应证明文件。供应商需在项目电子化交易系统中按要求上传相应证明文件）</w:t>
      </w:r>
    </w:p>
    <w:p>
      <w:pPr>
        <w:pStyle w:val="null3"/>
      </w:pPr>
      <w:r>
        <w:rPr>
          <w:rFonts w:ascii="仿宋_GB2312" w:hAnsi="仿宋_GB2312" w:cs="仿宋_GB2312" w:eastAsia="仿宋_GB2312"/>
        </w:rPr>
        <w:t>3、具有履行合同所必需的设备和专业技术能力：提供承诺书。（应提供相应证明文件。供应商需在项目电子化交易系统中按要求上传相应证明文件）</w:t>
      </w:r>
    </w:p>
    <w:p>
      <w:pPr>
        <w:pStyle w:val="null3"/>
      </w:pPr>
      <w:r>
        <w:rPr>
          <w:rFonts w:ascii="仿宋_GB2312" w:hAnsi="仿宋_GB2312" w:cs="仿宋_GB2312" w:eastAsia="仿宋_GB2312"/>
        </w:rPr>
        <w:t>4、有依法缴纳税收和社会保障资金的良好记录：依法缴纳税收：提供投标人自投标前3个月以来任意时段已缴纳任意时段完税凭证或税务机关开具的完税证明（任意税种）；依法免税的应提供相关文件证明；社会保障资金提供投标人自开标前3个月以来任意时段已缴存的社会保障资金缴存单据或社保机构开具的社会保险参保缴费情况证明；依法不需要缴纳社会保障资金的应提供相关文件证明。（应提供相应证明文件。供应商需在项目电子化交易系统中按要求上传相应证明文件）</w:t>
      </w:r>
    </w:p>
    <w:p>
      <w:pPr>
        <w:pStyle w:val="null3"/>
      </w:pPr>
      <w:r>
        <w:rPr>
          <w:rFonts w:ascii="仿宋_GB2312" w:hAnsi="仿宋_GB2312" w:cs="仿宋_GB2312" w:eastAsia="仿宋_GB2312"/>
        </w:rPr>
        <w:t>5、参加政府采购活动前三年内，在经营活动中没有重大违法记录：提供书面声明。（应提供相应证明文件。供应商需在项目电子化交易系统中按要求上传相应证明文件）</w:t>
      </w:r>
    </w:p>
    <w:p>
      <w:pPr>
        <w:pStyle w:val="null3"/>
      </w:pPr>
      <w:r>
        <w:rPr>
          <w:rFonts w:ascii="仿宋_GB2312" w:hAnsi="仿宋_GB2312" w:cs="仿宋_GB2312" w:eastAsia="仿宋_GB2312"/>
        </w:rPr>
        <w:t>6、法律、行政法规规定的其他条件：提供书面声明。（应提供相应证明文件。供应商需在项目电子化交易系统中按要求上传相应证明文件）</w:t>
      </w:r>
    </w:p>
    <w:p>
      <w:pPr>
        <w:pStyle w:val="null3"/>
      </w:pPr>
      <w:r>
        <w:rPr>
          <w:rFonts w:ascii="仿宋_GB2312" w:hAnsi="仿宋_GB2312" w:cs="仿宋_GB2312" w:eastAsia="仿宋_GB2312"/>
        </w:rPr>
        <w:t>7、中小企声明函：投标人须提供中小企业声明函。（应提供相应证明文件。供应商需在项目电子化交易系统中按要求上传相应证明文件）</w:t>
      </w:r>
    </w:p>
    <w:p>
      <w:pPr>
        <w:pStyle w:val="null3"/>
      </w:pPr>
      <w:r>
        <w:rPr>
          <w:rFonts w:ascii="仿宋_GB2312" w:hAnsi="仿宋_GB2312" w:cs="仿宋_GB2312" w:eastAsia="仿宋_GB2312"/>
        </w:rPr>
        <w:t>8、信用状况：投标人不得为“中国执行信息公开网”（zxgk.court.gov.cn/shixin/）中列入失信被执行人和“信用中国”（www.creditchina.gov.cn/）列入重大税收违法失信主体的投标人，不得为“中国政府采购网”（www.ccgp.gov.cn）政府采购严重违法失信行为记录名单中被财政部门禁止参加政府采购活动的投标人。（应提供相应证明文件。供应商需在项目电子化交易系统中按要求上传相应证明文件）</w:t>
      </w:r>
    </w:p>
    <w:p>
      <w:pPr>
        <w:pStyle w:val="null3"/>
      </w:pPr>
      <w:r>
        <w:rPr>
          <w:rFonts w:ascii="仿宋_GB2312" w:hAnsi="仿宋_GB2312" w:cs="仿宋_GB2312" w:eastAsia="仿宋_GB2312"/>
        </w:rPr>
        <w:t>9、单位负责人为同一人或者存在直接控股、管理关系的不同投标人，不得参加同一合同项下的政府采购活动：单位负责人为同一人或者存在直接控股、管理关系的不同投标人，不得参加同一合同项下的政府采购活动。（应提供相应证明文件。供应商需在项目电子化交易系统中按要求上传相应证明文件）</w:t>
      </w:r>
    </w:p>
    <w:p>
      <w:pPr>
        <w:pStyle w:val="null3"/>
      </w:pPr>
      <w:r>
        <w:rPr>
          <w:rFonts w:ascii="仿宋_GB2312" w:hAnsi="仿宋_GB2312" w:cs="仿宋_GB2312" w:eastAsia="仿宋_GB2312"/>
        </w:rPr>
        <w:t>10、本采购项目不接受联合体投标：本采购项目不接受联合体投标。（应提供相应证明文件。供应商需在项目电子化交易系统中按要求上传相应证明文件）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提供营业执照：具有独立承担民事责任能力，提供投标人合法注册的法人或其他组织的营业执照/事业单位法人证书/非企业专业服务机构执业许可证/民办非企业单位登记证书。（应提供相应证明文件。供应商需在项目电子化交易系统中按要求上传相应证明文件）</w:t>
      </w:r>
    </w:p>
    <w:p>
      <w:pPr>
        <w:pStyle w:val="null3"/>
      </w:pPr>
      <w:r>
        <w:rPr>
          <w:rFonts w:ascii="仿宋_GB2312" w:hAnsi="仿宋_GB2312" w:cs="仿宋_GB2312" w:eastAsia="仿宋_GB2312"/>
        </w:rPr>
        <w:t>2、具有良好的商业信誉和健全的财务会计制度：提供近三年经审计的财务报告（成立时间至提交投标文件截止时间不足一年的可提供成立后任意时段的资产负债表），或其基本存款账户开户银行出具的资信证明。（应提供相应证明文件。供应商需在项目电子化交易系统中按要求上传相应证明文件）</w:t>
      </w:r>
    </w:p>
    <w:p>
      <w:pPr>
        <w:pStyle w:val="null3"/>
      </w:pPr>
      <w:r>
        <w:rPr>
          <w:rFonts w:ascii="仿宋_GB2312" w:hAnsi="仿宋_GB2312" w:cs="仿宋_GB2312" w:eastAsia="仿宋_GB2312"/>
        </w:rPr>
        <w:t>3、具有履行合同所必需的设备和专业技术能力：提供承诺书。（应提供相应证明文件。供应商需在项目电子化交易系统中按要求上传相应证明文件）</w:t>
      </w:r>
    </w:p>
    <w:p>
      <w:pPr>
        <w:pStyle w:val="null3"/>
      </w:pPr>
      <w:r>
        <w:rPr>
          <w:rFonts w:ascii="仿宋_GB2312" w:hAnsi="仿宋_GB2312" w:cs="仿宋_GB2312" w:eastAsia="仿宋_GB2312"/>
        </w:rPr>
        <w:t>4、有依法缴纳税收和社会保障资金的良好记录：依法缴纳税收：提供投标人自投标前3个月以来任意时段已缴纳任意时段完税凭证或税务机关开具的完税证明（任意税种）；依法免税的应提供相关文件证明；社会保障资金提供投标人自开标前3个月以来任意时段已缴存的社会保障资金缴存单据或社保机构开具的社会保险参保缴费情况证明；依法不需要缴纳社会保障资金的应提供相关文件证明。（应提供相应证明文件。供应商需在项目电子化交易系统中按要求上传相应证明文件）</w:t>
      </w:r>
    </w:p>
    <w:p>
      <w:pPr>
        <w:pStyle w:val="null3"/>
      </w:pPr>
      <w:r>
        <w:rPr>
          <w:rFonts w:ascii="仿宋_GB2312" w:hAnsi="仿宋_GB2312" w:cs="仿宋_GB2312" w:eastAsia="仿宋_GB2312"/>
        </w:rPr>
        <w:t>5、参加政府采购活动前三年内，在经营活动中没有重大违法记录：提供书面声明。（应提供相应证明文件。供应商需在项目电子化交易系统中按要求上传相应证明文件）</w:t>
      </w:r>
    </w:p>
    <w:p>
      <w:pPr>
        <w:pStyle w:val="null3"/>
      </w:pPr>
      <w:r>
        <w:rPr>
          <w:rFonts w:ascii="仿宋_GB2312" w:hAnsi="仿宋_GB2312" w:cs="仿宋_GB2312" w:eastAsia="仿宋_GB2312"/>
        </w:rPr>
        <w:t>6、法律、行政法规规定的其他条件：提供书面声明。（应提供相应证明文件。供应商需在项目电子化交易系统中按要求上传相应证明文件）</w:t>
      </w:r>
    </w:p>
    <w:p>
      <w:pPr>
        <w:pStyle w:val="null3"/>
      </w:pPr>
      <w:r>
        <w:rPr>
          <w:rFonts w:ascii="仿宋_GB2312" w:hAnsi="仿宋_GB2312" w:cs="仿宋_GB2312" w:eastAsia="仿宋_GB2312"/>
        </w:rPr>
        <w:t>7、中小企声明函：投标人须提供中小企业声明函。（应提供相应证明文件。供应商需在项目电子化交易系统中按要求上传相应证明文件）</w:t>
      </w:r>
    </w:p>
    <w:p>
      <w:pPr>
        <w:pStyle w:val="null3"/>
      </w:pPr>
      <w:r>
        <w:rPr>
          <w:rFonts w:ascii="仿宋_GB2312" w:hAnsi="仿宋_GB2312" w:cs="仿宋_GB2312" w:eastAsia="仿宋_GB2312"/>
        </w:rPr>
        <w:t>8、信用状况：投标人不得为“中国执行信息公开网”（zxgk.court.gov.cn/shixin/）中列入失信被执行人和“信用中国”（www.creditchina.gov.cn/）列入重大税收违法失信主体的投标人，不得为“中国政府采购网”（www.ccgp.gov.cn）政府采购严重违法失信行为记录名单中被财政部门禁止参加政府采购活动的投标人。（应提供相应证明文件。供应商需在项目电子化交易系统中按要求上传相应证明文件）</w:t>
      </w:r>
    </w:p>
    <w:p>
      <w:pPr>
        <w:pStyle w:val="null3"/>
      </w:pPr>
      <w:r>
        <w:rPr>
          <w:rFonts w:ascii="仿宋_GB2312" w:hAnsi="仿宋_GB2312" w:cs="仿宋_GB2312" w:eastAsia="仿宋_GB2312"/>
        </w:rPr>
        <w:t>9、单位负责人为同一人或者存在直接控股、管理关系的不同投标人，不得参加同一合同项下的政府采购活动：单位负责人为同一人或者存在直接控股、管理关系的不同投标人，不得参加同一合同项下的政府采购活动。（应提供相应证明文件。供应商需在项目电子化交易系统中按要求上传相应证明文件）</w:t>
      </w:r>
    </w:p>
    <w:p>
      <w:pPr>
        <w:pStyle w:val="null3"/>
      </w:pPr>
      <w:r>
        <w:rPr>
          <w:rFonts w:ascii="仿宋_GB2312" w:hAnsi="仿宋_GB2312" w:cs="仿宋_GB2312" w:eastAsia="仿宋_GB2312"/>
        </w:rPr>
        <w:t>10、本采购项目不接受联合体投标：本采购项目不接受联合体投标。（应提供相应证明文件。供应商需在项目电子化交易系统中按要求上传相应证明文件）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咸阳市机动车排气污染检测防治中心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咸阳市玉泉西路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咸阳市机动车排气污染检测防治中心经办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029-32085864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陕西明瑞恒项目管理有限公司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西咸新区沣西新城西部云谷二期1号楼1102室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魏琳琳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029-88680557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采购包1：897,000.00元</w:t>
            </w:r>
          </w:p>
          <w:p>
            <w:pPr>
              <w:pStyle w:val="null3"/>
            </w:pPr>
            <w:r>
              <w:rPr>
                <w:rFonts w:ascii="仿宋_GB2312" w:hAnsi="仿宋_GB2312" w:cs="仿宋_GB2312" w:eastAsia="仿宋_GB2312"/>
              </w:rPr>
              <w:t>采购包2：1,021,074.40元</w:t>
            </w:r>
          </w:p>
          <w:p>
            <w:pPr>
              <w:pStyle w:val="null3"/>
            </w:pPr>
            <w:r>
              <w:rPr>
                <w:rFonts w:ascii="仿宋_GB2312" w:hAnsi="仿宋_GB2312" w:cs="仿宋_GB2312" w:eastAsia="仿宋_GB2312"/>
              </w:rPr>
              <w:t>采购包3：1,471,830.40元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代理服务费收费标准：参照原《招标代理服务收费管理暂行办法》（计价格〔2002〕1980号）规定的收费标准计取。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咸阳市机动车排气污染检测防治中心</w:t>
      </w:r>
      <w:r>
        <w:rPr>
          <w:rFonts w:ascii="仿宋_GB2312" w:hAnsi="仿宋_GB2312" w:cs="仿宋_GB2312" w:eastAsia="仿宋_GB2312"/>
        </w:rPr>
        <w:t>和</w:t>
      </w:r>
      <w:r>
        <w:rPr>
          <w:rFonts w:ascii="仿宋_GB2312" w:hAnsi="仿宋_GB2312" w:cs="仿宋_GB2312" w:eastAsia="仿宋_GB2312"/>
        </w:rPr>
        <w:t>陕西明瑞恒项目管理有限公司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咸阳市机动车排气污染检测防治中心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陕西明瑞恒项目管理有限公司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咸阳市机动车排气污染检测防治中心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陕西明瑞恒项目管理有限公司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符合本项目招标文件、投标文件及采购合同的所有约定；服务质量达到合格标准。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符合本项目招标文件、投标文件及采购合同的所有约定；服务质量达到合格标准。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符合本项目招标文件、投标件及采购合同的所有约定；服务质量达到合格标准。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陕西明瑞恒项目管理有限公司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陕西明瑞恒项目管理有限公司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陕西明瑞恒项目管理有限公司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联系人：魏琳琳</w:t>
      </w:r>
    </w:p>
    <w:p>
      <w:pPr>
        <w:pStyle w:val="null3"/>
      </w:pPr>
      <w:r>
        <w:rPr>
          <w:rFonts w:ascii="仿宋_GB2312" w:hAnsi="仿宋_GB2312" w:cs="仿宋_GB2312" w:eastAsia="仿宋_GB2312"/>
        </w:rPr>
        <w:t>联系电话：029-88680557</w:t>
      </w:r>
    </w:p>
    <w:p>
      <w:pPr>
        <w:pStyle w:val="null3"/>
      </w:pPr>
      <w:r>
        <w:rPr>
          <w:rFonts w:ascii="仿宋_GB2312" w:hAnsi="仿宋_GB2312" w:cs="仿宋_GB2312" w:eastAsia="仿宋_GB2312"/>
        </w:rPr>
        <w:t>地址：西咸新区沣西新城西部云谷二期1号楼1102室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为下一步全市大气污染防治的研判工作做好数据、技术保障，委托第三方机构运维我市机动车排气污染遥感监测系统及黑烟车智能识别系统。</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897,000.00</w:t>
      </w:r>
    </w:p>
    <w:p>
      <w:pPr>
        <w:pStyle w:val="null3"/>
      </w:pPr>
      <w:r>
        <w:rPr>
          <w:rFonts w:ascii="仿宋_GB2312" w:hAnsi="仿宋_GB2312" w:cs="仿宋_GB2312" w:eastAsia="仿宋_GB2312"/>
        </w:rPr>
        <w:t>采购包最高限价（元）: 897,000.00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897,000.00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1,021,074.40</w:t>
      </w:r>
    </w:p>
    <w:p>
      <w:pPr>
        <w:pStyle w:val="null3"/>
      </w:pPr>
      <w:r>
        <w:rPr>
          <w:rFonts w:ascii="仿宋_GB2312" w:hAnsi="仿宋_GB2312" w:cs="仿宋_GB2312" w:eastAsia="仿宋_GB2312"/>
        </w:rPr>
        <w:t>采购包最高限价（元）: 1,021,074.40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1,021,074.40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1,471,830.40</w:t>
      </w:r>
    </w:p>
    <w:p>
      <w:pPr>
        <w:pStyle w:val="null3"/>
      </w:pPr>
      <w:r>
        <w:rPr>
          <w:rFonts w:ascii="仿宋_GB2312" w:hAnsi="仿宋_GB2312" w:cs="仿宋_GB2312" w:eastAsia="仿宋_GB2312"/>
        </w:rPr>
        <w:t>采购包最高限价（元）: 1,471,830.40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1,471,830.40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ind w:firstLine="480"/>
              <w:jc w:val="both"/>
            </w:pPr>
            <w:r>
              <w:rPr>
                <w:rFonts w:ascii="仿宋_GB2312" w:hAnsi="仿宋_GB2312" w:cs="仿宋_GB2312" w:eastAsia="仿宋_GB2312"/>
                <w:sz w:val="24"/>
              </w:rPr>
              <w:t>为实现分析机动车污染趋势，追踪车辆排放大户，完成生态环境部机动车遥感监测数据</w:t>
            </w:r>
            <w:r>
              <w:rPr>
                <w:rFonts w:ascii="仿宋_GB2312" w:hAnsi="仿宋_GB2312" w:cs="仿宋_GB2312" w:eastAsia="仿宋_GB2312"/>
                <w:sz w:val="24"/>
              </w:rPr>
              <w:t>“国家—省—市三级联网”任务，并形成分析报告为机动车污染防治工作提供数据支撑。获取咸阳市大气环境移动污染源数据的实时性、连续性、真实性，为下一步全市大气污染防治的研判工作做好数据、技术保障，今年计划委托第三方机构运维我市14套机动车排气污染遥感监测系统及4套独立黑烟车智能识别系统。</w:t>
            </w:r>
            <w:r>
              <w:rPr>
                <w:rFonts w:ascii="仿宋_GB2312" w:hAnsi="仿宋_GB2312" w:cs="仿宋_GB2312" w:eastAsia="仿宋_GB2312"/>
                <w:sz w:val="24"/>
              </w:rPr>
              <w:t>本标段针对建设时间为</w:t>
            </w:r>
            <w:r>
              <w:rPr>
                <w:rFonts w:ascii="仿宋_GB2312" w:hAnsi="仿宋_GB2312" w:cs="仿宋_GB2312" w:eastAsia="仿宋_GB2312"/>
                <w:sz w:val="24"/>
              </w:rPr>
              <w:t>2019年的四个遥感（含黑烟车）点位，运行维服务</w:t>
            </w:r>
            <w:r>
              <w:rPr>
                <w:rFonts w:ascii="仿宋_GB2312" w:hAnsi="仿宋_GB2312" w:cs="仿宋_GB2312" w:eastAsia="仿宋_GB2312"/>
                <w:sz w:val="24"/>
              </w:rPr>
              <w:t>。</w:t>
            </w:r>
          </w:p>
          <w:p>
            <w:pPr>
              <w:pStyle w:val="null3"/>
              <w:jc w:val="left"/>
              <w:outlineLvl w:val="1"/>
            </w:pPr>
            <w:r>
              <w:rPr>
                <w:rFonts w:ascii="仿宋_GB2312" w:hAnsi="仿宋_GB2312" w:cs="仿宋_GB2312" w:eastAsia="仿宋_GB2312"/>
                <w:sz w:val="24"/>
                <w:b/>
              </w:rPr>
              <w:t>二、服务需求</w:t>
            </w:r>
          </w:p>
          <w:tbl>
            <w:tblPr>
              <w:tblInd w:type="dxa" w:w="90"/>
              <w:tblBorders>
                <w:top w:val="none" w:color="000000" w:sz="4"/>
                <w:left w:val="none" w:color="000000" w:sz="4"/>
                <w:bottom w:val="none" w:color="000000" w:sz="4"/>
                <w:right w:val="none" w:color="000000" w:sz="4"/>
                <w:insideH w:val="none"/>
                <w:insideV w:val="none"/>
              </w:tblBorders>
            </w:tblPr>
            <w:tblGrid>
              <w:gridCol w:w="137"/>
              <w:gridCol w:w="556"/>
              <w:gridCol w:w="99"/>
              <w:gridCol w:w="99"/>
              <w:gridCol w:w="180"/>
              <w:gridCol w:w="180"/>
              <w:gridCol w:w="41"/>
              <w:gridCol w:w="311"/>
              <w:gridCol w:w="173"/>
              <w:gridCol w:w="209"/>
              <w:gridCol w:w="556"/>
            </w:tblGrid>
            <w:tr>
              <w:tc>
                <w:tcPr>
                  <w:tcW w:type="dxa" w:w="137"/>
                  <w:tcBorders>
                    <w:top w:val="single" w:color="000000" w:sz="4"/>
                    <w:left w:val="single" w:color="000000" w:sz="4"/>
                    <w:bottom w:val="single" w:color="000000" w:sz="4"/>
                    <w:right w:val="single" w:color="000000" w:sz="4"/>
                  </w:tcBorders>
                  <w:shd w:fill="DBEE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556"/>
                  <w:tcBorders>
                    <w:top w:val="single" w:color="000000" w:sz="4"/>
                    <w:left w:val="single" w:color="000000" w:sz="4"/>
                    <w:bottom w:val="single" w:color="000000" w:sz="4"/>
                    <w:right w:val="single" w:color="000000" w:sz="4"/>
                  </w:tcBorders>
                  <w:shd w:fill="DBEE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w:t>
                  </w:r>
                </w:p>
              </w:tc>
              <w:tc>
                <w:tcPr>
                  <w:tcW w:type="dxa" w:w="198"/>
                  <w:gridSpan w:val="2"/>
                  <w:tcBorders>
                    <w:top w:val="single" w:color="000000" w:sz="4"/>
                    <w:left w:val="single" w:color="000000" w:sz="4"/>
                    <w:bottom w:val="single" w:color="000000" w:sz="4"/>
                    <w:right w:val="single" w:color="000000" w:sz="4"/>
                  </w:tcBorders>
                  <w:shd w:fill="DBEE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w:t>
                  </w:r>
                </w:p>
              </w:tc>
              <w:tc>
                <w:tcPr>
                  <w:tcW w:type="dxa" w:w="360"/>
                  <w:gridSpan w:val="2"/>
                  <w:tcBorders>
                    <w:top w:val="single" w:color="000000" w:sz="4"/>
                    <w:left w:val="single" w:color="000000" w:sz="4"/>
                    <w:bottom w:val="single" w:color="000000" w:sz="4"/>
                    <w:right w:val="single" w:color="000000" w:sz="4"/>
                  </w:tcBorders>
                  <w:shd w:fill="DBEE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明细</w:t>
                  </w:r>
                </w:p>
              </w:tc>
              <w:tc>
                <w:tcPr>
                  <w:tcW w:type="dxa" w:w="352"/>
                  <w:gridSpan w:val="2"/>
                  <w:tcBorders>
                    <w:top w:val="single" w:color="000000" w:sz="4"/>
                    <w:left w:val="single" w:color="000000" w:sz="4"/>
                    <w:bottom w:val="single" w:color="000000" w:sz="4"/>
                    <w:right w:val="single" w:color="000000" w:sz="4"/>
                  </w:tcBorders>
                  <w:shd w:fill="DBEE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w:t>
                  </w:r>
                </w:p>
              </w:tc>
              <w:tc>
                <w:tcPr>
                  <w:tcW w:type="dxa" w:w="173"/>
                  <w:tcBorders>
                    <w:top w:val="single" w:color="000000" w:sz="4"/>
                    <w:left w:val="single" w:color="000000" w:sz="4"/>
                    <w:bottom w:val="single" w:color="000000" w:sz="4"/>
                    <w:right w:val="single" w:color="000000" w:sz="4"/>
                  </w:tcBorders>
                  <w:shd w:fill="DBEE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09"/>
                  <w:tcBorders>
                    <w:top w:val="single" w:color="000000" w:sz="4"/>
                    <w:left w:val="single" w:color="000000" w:sz="4"/>
                    <w:bottom w:val="single" w:color="000000" w:sz="4"/>
                    <w:right w:val="single" w:color="000000" w:sz="4"/>
                  </w:tcBorders>
                  <w:shd w:fill="DBEE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556"/>
                  <w:tcBorders>
                    <w:top w:val="single" w:color="000000" w:sz="4"/>
                    <w:left w:val="single" w:color="000000" w:sz="4"/>
                    <w:bottom w:val="single" w:color="000000" w:sz="4"/>
                    <w:right w:val="single" w:color="000000" w:sz="4"/>
                  </w:tcBorders>
                  <w:shd w:fill="DBEE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运维通勤车辆</w:t>
                  </w:r>
                </w:p>
              </w:tc>
              <w:tc>
                <w:tcPr>
                  <w:tcW w:type="dxa" w:w="1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w:t>
                  </w:r>
                </w:p>
              </w:tc>
              <w:tc>
                <w:tcPr>
                  <w:tcW w:type="dxa" w:w="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w:t>
                  </w:r>
                </w:p>
              </w:tc>
              <w:tc>
                <w:tcPr>
                  <w:tcW w:type="dxa" w:w="3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辆</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04"/>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rFonts w:ascii="仿宋_GB2312" w:hAnsi="仿宋_GB2312" w:cs="仿宋_GB2312" w:eastAsia="仿宋_GB2312"/>
                      <w:sz w:val="21"/>
                      <w:b/>
                    </w:rPr>
                    <w:t>主要设备维护</w:t>
                  </w:r>
                </w:p>
              </w:tc>
            </w:tr>
            <w:tr>
              <w:tc>
                <w:tcPr>
                  <w:tcW w:type="dxa" w:w="1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5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固定式机动车尾气遥感监测系统</w:t>
                  </w:r>
                </w:p>
              </w:tc>
              <w:tc>
                <w:tcPr>
                  <w:tcW w:type="dxa" w:w="198"/>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BDH-1ZG</w:t>
                  </w:r>
                </w:p>
              </w:tc>
              <w:tc>
                <w:tcPr>
                  <w:tcW w:type="dxa" w:w="36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红外激光器</w:t>
                  </w:r>
                </w:p>
              </w:tc>
              <w:tc>
                <w:tcPr>
                  <w:tcW w:type="dxa" w:w="35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BDH-HWJGQ</w:t>
                  </w:r>
                </w:p>
              </w:tc>
              <w:tc>
                <w:tcPr>
                  <w:tcW w:type="dxa" w:w="17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0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5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需更换：恒温空调</w:t>
                  </w:r>
                  <w:r>
                    <w:rPr>
                      <w:rFonts w:ascii="仿宋_GB2312" w:hAnsi="仿宋_GB2312" w:cs="仿宋_GB2312" w:eastAsia="仿宋_GB2312"/>
                      <w:sz w:val="21"/>
                    </w:rPr>
                    <w:t>1台元；速度激光器2个，速度控制板2个；红外激光器1个；绿激光器1个；光谱仪1个；温控板1个。</w:t>
                  </w:r>
                </w:p>
              </w:tc>
            </w:tr>
            <w:tr>
              <w:tc>
                <w:tcPr>
                  <w:tcW w:type="dxa" w:w="137"/>
                  <w:vMerge/>
                  <w:tcBorders>
                    <w:top w:val="none" w:color="000000" w:sz="4"/>
                    <w:left w:val="single" w:color="000000" w:sz="4"/>
                    <w:bottom w:val="single" w:color="000000" w:sz="4"/>
                    <w:right w:val="single" w:color="000000" w:sz="4"/>
                  </w:tcBorders>
                </w:tcPr>
                <w:p/>
              </w:tc>
              <w:tc>
                <w:tcPr>
                  <w:tcW w:type="dxa" w:w="556"/>
                  <w:vMerge/>
                  <w:tcBorders>
                    <w:top w:val="none" w:color="000000" w:sz="4"/>
                    <w:left w:val="single" w:color="000000" w:sz="4"/>
                    <w:bottom w:val="single" w:color="000000" w:sz="4"/>
                    <w:right w:val="single" w:color="000000" w:sz="4"/>
                  </w:tcBorders>
                </w:tcPr>
                <w:p/>
              </w:tc>
              <w:tc>
                <w:tcPr>
                  <w:tcW w:type="dxa" w:w="198"/>
                  <w:gridSpan w:val="2"/>
                  <w:vMerge/>
                  <w:tcBorders>
                    <w:top w:val="single" w:color="000000" w:sz="4"/>
                    <w:left w:val="single" w:color="000000" w:sz="4"/>
                    <w:bottom w:val="single" w:color="000000" w:sz="4"/>
                    <w:right w:val="single" w:color="000000" w:sz="4"/>
                  </w:tcBorders>
                </w:tcPr>
                <w:p/>
              </w:tc>
              <w:tc>
                <w:tcPr>
                  <w:tcW w:type="dxa" w:w="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绿激光器</w:t>
                  </w:r>
                </w:p>
              </w:tc>
              <w:tc>
                <w:tcPr>
                  <w:tcW w:type="dxa" w:w="3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BDH-LJGQ</w:t>
                  </w:r>
                </w:p>
              </w:tc>
            </w:tr>
            <w:tr>
              <w:tc>
                <w:tcPr>
                  <w:tcW w:type="dxa" w:w="137"/>
                  <w:vMerge/>
                  <w:tcBorders>
                    <w:top w:val="none" w:color="000000" w:sz="4"/>
                    <w:left w:val="single" w:color="000000" w:sz="4"/>
                    <w:bottom w:val="single" w:color="000000" w:sz="4"/>
                    <w:right w:val="single" w:color="000000" w:sz="4"/>
                  </w:tcBorders>
                </w:tcPr>
                <w:p/>
              </w:tc>
              <w:tc>
                <w:tcPr>
                  <w:tcW w:type="dxa" w:w="556"/>
                  <w:vMerge/>
                  <w:tcBorders>
                    <w:top w:val="none" w:color="000000" w:sz="4"/>
                    <w:left w:val="single" w:color="000000" w:sz="4"/>
                    <w:bottom w:val="single" w:color="000000" w:sz="4"/>
                    <w:right w:val="single" w:color="000000" w:sz="4"/>
                  </w:tcBorders>
                </w:tcPr>
                <w:p/>
              </w:tc>
              <w:tc>
                <w:tcPr>
                  <w:tcW w:type="dxa" w:w="198"/>
                  <w:gridSpan w:val="2"/>
                  <w:vMerge/>
                  <w:tcBorders>
                    <w:top w:val="single" w:color="000000" w:sz="4"/>
                    <w:left w:val="single" w:color="000000" w:sz="4"/>
                    <w:bottom w:val="single" w:color="000000" w:sz="4"/>
                    <w:right w:val="single" w:color="000000" w:sz="4"/>
                  </w:tcBorders>
                </w:tcPr>
                <w:p/>
              </w:tc>
              <w:tc>
                <w:tcPr>
                  <w:tcW w:type="dxa" w:w="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主板</w:t>
                  </w:r>
                </w:p>
              </w:tc>
              <w:tc>
                <w:tcPr>
                  <w:tcW w:type="dxa" w:w="3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BDH-ZB</w:t>
                  </w:r>
                </w:p>
              </w:tc>
            </w:tr>
            <w:tr>
              <w:tc>
                <w:tcPr>
                  <w:tcW w:type="dxa" w:w="137"/>
                  <w:vMerge/>
                  <w:tcBorders>
                    <w:top w:val="none" w:color="000000" w:sz="4"/>
                    <w:left w:val="single" w:color="000000" w:sz="4"/>
                    <w:bottom w:val="single" w:color="000000" w:sz="4"/>
                    <w:right w:val="single" w:color="000000" w:sz="4"/>
                  </w:tcBorders>
                </w:tcPr>
                <w:p/>
              </w:tc>
              <w:tc>
                <w:tcPr>
                  <w:tcW w:type="dxa" w:w="556"/>
                  <w:vMerge/>
                  <w:tcBorders>
                    <w:top w:val="none" w:color="000000" w:sz="4"/>
                    <w:left w:val="single" w:color="000000" w:sz="4"/>
                    <w:bottom w:val="single" w:color="000000" w:sz="4"/>
                    <w:right w:val="single" w:color="000000" w:sz="4"/>
                  </w:tcBorders>
                </w:tcPr>
                <w:p/>
              </w:tc>
              <w:tc>
                <w:tcPr>
                  <w:tcW w:type="dxa" w:w="198"/>
                  <w:gridSpan w:val="2"/>
                  <w:vMerge/>
                  <w:tcBorders>
                    <w:top w:val="single" w:color="000000" w:sz="4"/>
                    <w:left w:val="single" w:color="000000" w:sz="4"/>
                    <w:bottom w:val="single" w:color="000000" w:sz="4"/>
                    <w:right w:val="single" w:color="000000" w:sz="4"/>
                  </w:tcBorders>
                </w:tcPr>
                <w:p/>
              </w:tc>
              <w:tc>
                <w:tcPr>
                  <w:tcW w:type="dxa" w:w="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信号板</w:t>
                  </w:r>
                </w:p>
              </w:tc>
              <w:tc>
                <w:tcPr>
                  <w:tcW w:type="dxa" w:w="3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BDH-XHB</w:t>
                  </w:r>
                </w:p>
              </w:tc>
            </w:tr>
            <w:tr>
              <w:tc>
                <w:tcPr>
                  <w:tcW w:type="dxa" w:w="137"/>
                  <w:vMerge/>
                  <w:tcBorders>
                    <w:top w:val="none" w:color="000000" w:sz="4"/>
                    <w:left w:val="single" w:color="000000" w:sz="4"/>
                    <w:bottom w:val="single" w:color="000000" w:sz="4"/>
                    <w:right w:val="single" w:color="000000" w:sz="4"/>
                  </w:tcBorders>
                </w:tcPr>
                <w:p/>
              </w:tc>
              <w:tc>
                <w:tcPr>
                  <w:tcW w:type="dxa" w:w="556"/>
                  <w:vMerge/>
                  <w:tcBorders>
                    <w:top w:val="none" w:color="000000" w:sz="4"/>
                    <w:left w:val="single" w:color="000000" w:sz="4"/>
                    <w:bottom w:val="single" w:color="000000" w:sz="4"/>
                    <w:right w:val="single" w:color="000000" w:sz="4"/>
                  </w:tcBorders>
                </w:tcPr>
                <w:p/>
              </w:tc>
              <w:tc>
                <w:tcPr>
                  <w:tcW w:type="dxa" w:w="198"/>
                  <w:gridSpan w:val="2"/>
                  <w:vMerge/>
                  <w:tcBorders>
                    <w:top w:val="single" w:color="000000" w:sz="4"/>
                    <w:left w:val="single" w:color="000000" w:sz="4"/>
                    <w:bottom w:val="single" w:color="000000" w:sz="4"/>
                    <w:right w:val="single" w:color="000000" w:sz="4"/>
                  </w:tcBorders>
                </w:tcPr>
                <w:p/>
              </w:tc>
              <w:tc>
                <w:tcPr>
                  <w:tcW w:type="dxa" w:w="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温控板</w:t>
                  </w:r>
                </w:p>
              </w:tc>
              <w:tc>
                <w:tcPr>
                  <w:tcW w:type="dxa" w:w="3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BDH-WKB</w:t>
                  </w:r>
                </w:p>
              </w:tc>
            </w:tr>
            <w:tr>
              <w:tc>
                <w:tcPr>
                  <w:tcW w:type="dxa" w:w="137"/>
                  <w:vMerge/>
                  <w:tcBorders>
                    <w:top w:val="none" w:color="000000" w:sz="4"/>
                    <w:left w:val="single" w:color="000000" w:sz="4"/>
                    <w:bottom w:val="single" w:color="000000" w:sz="4"/>
                    <w:right w:val="single" w:color="000000" w:sz="4"/>
                  </w:tcBorders>
                </w:tcPr>
                <w:p/>
              </w:tc>
              <w:tc>
                <w:tcPr>
                  <w:tcW w:type="dxa" w:w="556"/>
                  <w:vMerge/>
                  <w:tcBorders>
                    <w:top w:val="none" w:color="000000" w:sz="4"/>
                    <w:left w:val="single" w:color="000000" w:sz="4"/>
                    <w:bottom w:val="single" w:color="000000" w:sz="4"/>
                    <w:right w:val="single" w:color="000000" w:sz="4"/>
                  </w:tcBorders>
                </w:tcPr>
                <w:p/>
              </w:tc>
              <w:tc>
                <w:tcPr>
                  <w:tcW w:type="dxa" w:w="198"/>
                  <w:gridSpan w:val="2"/>
                  <w:vMerge/>
                  <w:tcBorders>
                    <w:top w:val="single" w:color="000000" w:sz="4"/>
                    <w:left w:val="single" w:color="000000" w:sz="4"/>
                    <w:bottom w:val="single" w:color="000000" w:sz="4"/>
                    <w:right w:val="single" w:color="000000" w:sz="4"/>
                  </w:tcBorders>
                </w:tcPr>
                <w:p/>
              </w:tc>
              <w:tc>
                <w:tcPr>
                  <w:tcW w:type="dxa" w:w="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光谱仪</w:t>
                  </w:r>
                </w:p>
              </w:tc>
              <w:tc>
                <w:tcPr>
                  <w:tcW w:type="dxa" w:w="3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BDH-GPY</w:t>
                  </w:r>
                </w:p>
              </w:tc>
            </w:tr>
            <w:tr>
              <w:tc>
                <w:tcPr>
                  <w:tcW w:type="dxa" w:w="137"/>
                  <w:vMerge/>
                  <w:tcBorders>
                    <w:top w:val="none" w:color="000000" w:sz="4"/>
                    <w:left w:val="single" w:color="000000" w:sz="4"/>
                    <w:bottom w:val="single" w:color="000000" w:sz="4"/>
                    <w:right w:val="single" w:color="000000" w:sz="4"/>
                  </w:tcBorders>
                </w:tcPr>
                <w:p/>
              </w:tc>
              <w:tc>
                <w:tcPr>
                  <w:tcW w:type="dxa" w:w="556"/>
                  <w:vMerge/>
                  <w:tcBorders>
                    <w:top w:val="none" w:color="000000" w:sz="4"/>
                    <w:left w:val="single" w:color="000000" w:sz="4"/>
                    <w:bottom w:val="single" w:color="000000" w:sz="4"/>
                    <w:right w:val="single" w:color="000000" w:sz="4"/>
                  </w:tcBorders>
                </w:tcPr>
                <w:p/>
              </w:tc>
              <w:tc>
                <w:tcPr>
                  <w:tcW w:type="dxa" w:w="198"/>
                  <w:gridSpan w:val="2"/>
                  <w:vMerge/>
                  <w:tcBorders>
                    <w:top w:val="single" w:color="000000" w:sz="4"/>
                    <w:left w:val="single" w:color="000000" w:sz="4"/>
                    <w:bottom w:val="single" w:color="000000" w:sz="4"/>
                    <w:right w:val="single" w:color="000000" w:sz="4"/>
                  </w:tcBorders>
                </w:tcPr>
                <w:p/>
              </w:tc>
              <w:tc>
                <w:tcPr>
                  <w:tcW w:type="dxa" w:w="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恒温空调</w:t>
                  </w:r>
                </w:p>
              </w:tc>
              <w:tc>
                <w:tcPr>
                  <w:tcW w:type="dxa" w:w="3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宝龙定制</w:t>
                  </w:r>
                </w:p>
              </w:tc>
            </w:tr>
            <w:tr>
              <w:tc>
                <w:tcPr>
                  <w:tcW w:type="dxa" w:w="137"/>
                  <w:vMerge/>
                  <w:tcBorders>
                    <w:top w:val="none" w:color="000000" w:sz="4"/>
                    <w:left w:val="single" w:color="000000" w:sz="4"/>
                    <w:bottom w:val="single" w:color="000000" w:sz="4"/>
                    <w:right w:val="single" w:color="000000" w:sz="4"/>
                  </w:tcBorders>
                </w:tcPr>
                <w:p/>
              </w:tc>
              <w:tc>
                <w:tcPr>
                  <w:tcW w:type="dxa" w:w="556"/>
                  <w:vMerge/>
                  <w:tcBorders>
                    <w:top w:val="none" w:color="000000" w:sz="4"/>
                    <w:left w:val="single" w:color="000000" w:sz="4"/>
                    <w:bottom w:val="single" w:color="000000" w:sz="4"/>
                    <w:right w:val="single" w:color="000000" w:sz="4"/>
                  </w:tcBorders>
                </w:tcPr>
                <w:p/>
              </w:tc>
              <w:tc>
                <w:tcPr>
                  <w:tcW w:type="dxa" w:w="198"/>
                  <w:gridSpan w:val="2"/>
                  <w:vMerge/>
                  <w:tcBorders>
                    <w:top w:val="single" w:color="000000" w:sz="4"/>
                    <w:left w:val="single" w:color="000000" w:sz="4"/>
                    <w:bottom w:val="single" w:color="000000" w:sz="4"/>
                    <w:right w:val="single" w:color="000000" w:sz="4"/>
                  </w:tcBorders>
                </w:tcPr>
                <w:p/>
              </w:tc>
              <w:tc>
                <w:tcPr>
                  <w:tcW w:type="dxa" w:w="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速度激光器</w:t>
                  </w:r>
                </w:p>
              </w:tc>
              <w:tc>
                <w:tcPr>
                  <w:tcW w:type="dxa" w:w="3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BDH-SDJGQ</w:t>
                  </w:r>
                </w:p>
              </w:tc>
            </w:tr>
            <w:tr>
              <w:tc>
                <w:tcPr>
                  <w:tcW w:type="dxa" w:w="137"/>
                  <w:vMerge/>
                  <w:tcBorders>
                    <w:top w:val="none" w:color="000000" w:sz="4"/>
                    <w:left w:val="single" w:color="000000" w:sz="4"/>
                    <w:bottom w:val="single" w:color="000000" w:sz="4"/>
                    <w:right w:val="single" w:color="000000" w:sz="4"/>
                  </w:tcBorders>
                </w:tcPr>
                <w:p/>
              </w:tc>
              <w:tc>
                <w:tcPr>
                  <w:tcW w:type="dxa" w:w="556"/>
                  <w:vMerge/>
                  <w:tcBorders>
                    <w:top w:val="none" w:color="000000" w:sz="4"/>
                    <w:left w:val="single" w:color="000000" w:sz="4"/>
                    <w:bottom w:val="single" w:color="000000" w:sz="4"/>
                    <w:right w:val="single" w:color="000000" w:sz="4"/>
                  </w:tcBorders>
                </w:tcPr>
                <w:p/>
              </w:tc>
              <w:tc>
                <w:tcPr>
                  <w:tcW w:type="dxa" w:w="198"/>
                  <w:gridSpan w:val="2"/>
                  <w:vMerge/>
                  <w:tcBorders>
                    <w:top w:val="single" w:color="000000" w:sz="4"/>
                    <w:left w:val="single" w:color="000000" w:sz="4"/>
                    <w:bottom w:val="single" w:color="000000" w:sz="4"/>
                    <w:right w:val="single" w:color="000000" w:sz="4"/>
                  </w:tcBorders>
                </w:tcPr>
                <w:p/>
              </w:tc>
              <w:tc>
                <w:tcPr>
                  <w:tcW w:type="dxa" w:w="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速度控制板</w:t>
                  </w:r>
                </w:p>
              </w:tc>
              <w:tc>
                <w:tcPr>
                  <w:tcW w:type="dxa" w:w="3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BDH-SDKZB</w:t>
                  </w:r>
                </w:p>
              </w:tc>
            </w:tr>
            <w:tr>
              <w:tc>
                <w:tcPr>
                  <w:tcW w:type="dxa" w:w="137"/>
                  <w:vMerge/>
                  <w:tcBorders>
                    <w:top w:val="none" w:color="000000" w:sz="4"/>
                    <w:left w:val="single" w:color="000000" w:sz="4"/>
                    <w:bottom w:val="single" w:color="000000" w:sz="4"/>
                    <w:right w:val="single" w:color="000000" w:sz="4"/>
                  </w:tcBorders>
                </w:tcPr>
                <w:p/>
              </w:tc>
              <w:tc>
                <w:tcPr>
                  <w:tcW w:type="dxa" w:w="556"/>
                  <w:vMerge/>
                  <w:tcBorders>
                    <w:top w:val="none" w:color="000000" w:sz="4"/>
                    <w:left w:val="single" w:color="000000" w:sz="4"/>
                    <w:bottom w:val="single" w:color="000000" w:sz="4"/>
                    <w:right w:val="single" w:color="000000" w:sz="4"/>
                  </w:tcBorders>
                </w:tcPr>
                <w:p/>
              </w:tc>
              <w:tc>
                <w:tcPr>
                  <w:tcW w:type="dxa" w:w="198"/>
                  <w:gridSpan w:val="2"/>
                  <w:vMerge/>
                  <w:tcBorders>
                    <w:top w:val="single" w:color="000000" w:sz="4"/>
                    <w:left w:val="single" w:color="000000" w:sz="4"/>
                    <w:bottom w:val="single" w:color="000000" w:sz="4"/>
                    <w:right w:val="single" w:color="000000" w:sz="4"/>
                  </w:tcBorders>
                </w:tcPr>
                <w:p/>
              </w:tc>
              <w:tc>
                <w:tcPr>
                  <w:tcW w:type="dxa" w:w="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电磁阀</w:t>
                  </w:r>
                </w:p>
              </w:tc>
              <w:tc>
                <w:tcPr>
                  <w:tcW w:type="dxa" w:w="3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宝龙定制</w:t>
                  </w:r>
                </w:p>
              </w:tc>
            </w:tr>
            <w:tr>
              <w:tc>
                <w:tcPr>
                  <w:tcW w:type="dxa" w:w="137"/>
                  <w:vMerge/>
                  <w:tcBorders>
                    <w:top w:val="none" w:color="000000" w:sz="4"/>
                    <w:left w:val="single" w:color="000000" w:sz="4"/>
                    <w:bottom w:val="single" w:color="000000" w:sz="4"/>
                    <w:right w:val="single" w:color="000000" w:sz="4"/>
                  </w:tcBorders>
                </w:tcPr>
                <w:p/>
              </w:tc>
              <w:tc>
                <w:tcPr>
                  <w:tcW w:type="dxa" w:w="556"/>
                  <w:vMerge/>
                  <w:tcBorders>
                    <w:top w:val="none" w:color="000000" w:sz="4"/>
                    <w:left w:val="single" w:color="000000" w:sz="4"/>
                    <w:bottom w:val="single" w:color="000000" w:sz="4"/>
                    <w:right w:val="single" w:color="000000" w:sz="4"/>
                  </w:tcBorders>
                </w:tcPr>
                <w:p/>
              </w:tc>
              <w:tc>
                <w:tcPr>
                  <w:tcW w:type="dxa" w:w="198"/>
                  <w:gridSpan w:val="2"/>
                  <w:vMerge/>
                  <w:tcBorders>
                    <w:top w:val="single" w:color="000000" w:sz="4"/>
                    <w:left w:val="single" w:color="000000" w:sz="4"/>
                    <w:bottom w:val="single" w:color="000000" w:sz="4"/>
                    <w:right w:val="single" w:color="000000" w:sz="4"/>
                  </w:tcBorders>
                </w:tcPr>
                <w:p/>
              </w:tc>
              <w:tc>
                <w:tcPr>
                  <w:tcW w:type="dxa" w:w="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w:t>
                  </w:r>
                </w:p>
              </w:tc>
              <w:tc>
                <w:tcPr>
                  <w:tcW w:type="dxa" w:w="3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TP-LINK</w:t>
                  </w:r>
                </w:p>
              </w:tc>
            </w:tr>
            <w:tr>
              <w:tc>
                <w:tcPr>
                  <w:tcW w:type="dxa" w:w="137"/>
                  <w:vMerge/>
                  <w:tcBorders>
                    <w:top w:val="none" w:color="000000" w:sz="4"/>
                    <w:left w:val="single" w:color="000000" w:sz="4"/>
                    <w:bottom w:val="single" w:color="000000" w:sz="4"/>
                    <w:right w:val="single" w:color="000000" w:sz="4"/>
                  </w:tcBorders>
                </w:tcPr>
                <w:p/>
              </w:tc>
              <w:tc>
                <w:tcPr>
                  <w:tcW w:type="dxa" w:w="556"/>
                  <w:vMerge/>
                  <w:tcBorders>
                    <w:top w:val="none" w:color="000000" w:sz="4"/>
                    <w:left w:val="single" w:color="000000" w:sz="4"/>
                    <w:bottom w:val="single" w:color="000000" w:sz="4"/>
                    <w:right w:val="single" w:color="000000" w:sz="4"/>
                  </w:tcBorders>
                </w:tcPr>
                <w:p/>
              </w:tc>
              <w:tc>
                <w:tcPr>
                  <w:tcW w:type="dxa" w:w="198"/>
                  <w:gridSpan w:val="2"/>
                  <w:vMerge/>
                  <w:tcBorders>
                    <w:top w:val="single" w:color="000000" w:sz="4"/>
                    <w:left w:val="single" w:color="000000" w:sz="4"/>
                    <w:bottom w:val="single" w:color="000000" w:sz="4"/>
                    <w:right w:val="single" w:color="000000" w:sz="4"/>
                  </w:tcBorders>
                </w:tcPr>
                <w:p/>
              </w:tc>
              <w:tc>
                <w:tcPr>
                  <w:tcW w:type="dxa" w:w="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压力表</w:t>
                  </w:r>
                </w:p>
              </w:tc>
              <w:tc>
                <w:tcPr>
                  <w:tcW w:type="dxa" w:w="3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宝龙定制</w:t>
                  </w:r>
                </w:p>
              </w:tc>
            </w:tr>
            <w:tr>
              <w:tc>
                <w:tcPr>
                  <w:tcW w:type="dxa" w:w="1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5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黑烟车智能识别系统</w:t>
                  </w:r>
                </w:p>
              </w:tc>
              <w:tc>
                <w:tcPr>
                  <w:tcW w:type="dxa" w:w="19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BLH-1000</w:t>
                  </w:r>
                </w:p>
              </w:tc>
              <w:tc>
                <w:tcPr>
                  <w:tcW w:type="dxa" w:w="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工控机</w:t>
                  </w:r>
                </w:p>
              </w:tc>
              <w:tc>
                <w:tcPr>
                  <w:tcW w:type="dxa" w:w="3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IPC-610L</w:t>
                  </w:r>
                </w:p>
              </w:tc>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需更换：摄像机</w:t>
                  </w:r>
                  <w:r>
                    <w:rPr>
                      <w:rFonts w:ascii="仿宋_GB2312" w:hAnsi="仿宋_GB2312" w:cs="仿宋_GB2312" w:eastAsia="仿宋_GB2312"/>
                      <w:sz w:val="21"/>
                    </w:rPr>
                    <w:t>3台；补光灯12台；硬盘录像机4台；工控机2台。</w:t>
                  </w:r>
                </w:p>
              </w:tc>
            </w:tr>
            <w:tr>
              <w:tc>
                <w:tcPr>
                  <w:tcW w:type="dxa" w:w="137"/>
                  <w:vMerge/>
                  <w:tcBorders>
                    <w:top w:val="none" w:color="000000" w:sz="4"/>
                    <w:left w:val="single" w:color="000000" w:sz="4"/>
                    <w:bottom w:val="single" w:color="000000" w:sz="4"/>
                    <w:right w:val="single" w:color="000000" w:sz="4"/>
                  </w:tcBorders>
                </w:tcPr>
                <w:p/>
              </w:tc>
              <w:tc>
                <w:tcPr>
                  <w:tcW w:type="dxa" w:w="556"/>
                  <w:vMerge/>
                  <w:tcBorders>
                    <w:top w:val="none" w:color="000000" w:sz="4"/>
                    <w:left w:val="single" w:color="000000" w:sz="4"/>
                    <w:bottom w:val="single" w:color="000000" w:sz="4"/>
                    <w:right w:val="single" w:color="000000" w:sz="4"/>
                  </w:tcBorders>
                </w:tcPr>
                <w:p/>
              </w:tc>
              <w:tc>
                <w:tcPr>
                  <w:tcW w:type="dxa" w:w="198"/>
                  <w:gridSpan w:val="2"/>
                  <w:vMerge/>
                  <w:tcBorders>
                    <w:top w:val="none" w:color="000000" w:sz="4"/>
                    <w:left w:val="single" w:color="000000" w:sz="4"/>
                    <w:bottom w:val="single" w:color="000000" w:sz="4"/>
                    <w:right w:val="single" w:color="000000" w:sz="4"/>
                  </w:tcBorders>
                </w:tcPr>
                <w:p/>
              </w:tc>
              <w:tc>
                <w:tcPr>
                  <w:tcW w:type="dxa" w:w="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硬盘录像机</w:t>
                  </w:r>
                </w:p>
              </w:tc>
              <w:tc>
                <w:tcPr>
                  <w:tcW w:type="dxa" w:w="3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DS-7708</w:t>
                  </w:r>
                </w:p>
              </w:tc>
            </w:tr>
            <w:tr>
              <w:tc>
                <w:tcPr>
                  <w:tcW w:type="dxa" w:w="137"/>
                  <w:vMerge/>
                  <w:tcBorders>
                    <w:top w:val="none" w:color="000000" w:sz="4"/>
                    <w:left w:val="single" w:color="000000" w:sz="4"/>
                    <w:bottom w:val="single" w:color="000000" w:sz="4"/>
                    <w:right w:val="single" w:color="000000" w:sz="4"/>
                  </w:tcBorders>
                </w:tcPr>
                <w:p/>
              </w:tc>
              <w:tc>
                <w:tcPr>
                  <w:tcW w:type="dxa" w:w="556"/>
                  <w:vMerge/>
                  <w:tcBorders>
                    <w:top w:val="none" w:color="000000" w:sz="4"/>
                    <w:left w:val="single" w:color="000000" w:sz="4"/>
                    <w:bottom w:val="single" w:color="000000" w:sz="4"/>
                    <w:right w:val="single" w:color="000000" w:sz="4"/>
                  </w:tcBorders>
                </w:tcPr>
                <w:p/>
              </w:tc>
              <w:tc>
                <w:tcPr>
                  <w:tcW w:type="dxa" w:w="198"/>
                  <w:gridSpan w:val="2"/>
                  <w:vMerge/>
                  <w:tcBorders>
                    <w:top w:val="none" w:color="000000" w:sz="4"/>
                    <w:left w:val="single" w:color="000000" w:sz="4"/>
                    <w:bottom w:val="single" w:color="000000" w:sz="4"/>
                    <w:right w:val="single" w:color="000000" w:sz="4"/>
                  </w:tcBorders>
                </w:tcPr>
                <w:p/>
              </w:tc>
              <w:tc>
                <w:tcPr>
                  <w:tcW w:type="dxa" w:w="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摄像机</w:t>
                  </w:r>
                </w:p>
              </w:tc>
              <w:tc>
                <w:tcPr>
                  <w:tcW w:type="dxa" w:w="3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900万</w:t>
                  </w:r>
                </w:p>
              </w:tc>
            </w:tr>
            <w:tr>
              <w:tc>
                <w:tcPr>
                  <w:tcW w:type="dxa" w:w="137"/>
                  <w:vMerge/>
                  <w:tcBorders>
                    <w:top w:val="none" w:color="000000" w:sz="4"/>
                    <w:left w:val="single" w:color="000000" w:sz="4"/>
                    <w:bottom w:val="single" w:color="000000" w:sz="4"/>
                    <w:right w:val="single" w:color="000000" w:sz="4"/>
                  </w:tcBorders>
                </w:tcPr>
                <w:p/>
              </w:tc>
              <w:tc>
                <w:tcPr>
                  <w:tcW w:type="dxa" w:w="556"/>
                  <w:vMerge/>
                  <w:tcBorders>
                    <w:top w:val="none" w:color="000000" w:sz="4"/>
                    <w:left w:val="single" w:color="000000" w:sz="4"/>
                    <w:bottom w:val="single" w:color="000000" w:sz="4"/>
                    <w:right w:val="single" w:color="000000" w:sz="4"/>
                  </w:tcBorders>
                </w:tcPr>
                <w:p/>
              </w:tc>
              <w:tc>
                <w:tcPr>
                  <w:tcW w:type="dxa" w:w="198"/>
                  <w:gridSpan w:val="2"/>
                  <w:vMerge/>
                  <w:tcBorders>
                    <w:top w:val="none" w:color="000000" w:sz="4"/>
                    <w:left w:val="single" w:color="000000" w:sz="4"/>
                    <w:bottom w:val="single" w:color="000000" w:sz="4"/>
                    <w:right w:val="single" w:color="000000" w:sz="4"/>
                  </w:tcBorders>
                </w:tcPr>
                <w:p/>
              </w:tc>
              <w:tc>
                <w:tcPr>
                  <w:tcW w:type="dxa" w:w="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补光灯</w:t>
                  </w:r>
                </w:p>
              </w:tc>
              <w:tc>
                <w:tcPr>
                  <w:tcW w:type="dxa" w:w="3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CXBG</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w:t>
                  </w:r>
                </w:p>
              </w:tc>
              <w:tc>
                <w:tcPr>
                  <w:tcW w:type="dxa" w:w="2404"/>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易损件费用</w:t>
                  </w:r>
                </w:p>
              </w:tc>
            </w:tr>
            <w:tr>
              <w:tc>
                <w:tcPr>
                  <w:tcW w:type="dxa" w:w="1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5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固定式机动车尾气遥感监测系统</w:t>
                  </w:r>
                </w:p>
              </w:tc>
              <w:tc>
                <w:tcPr>
                  <w:tcW w:type="dxa" w:w="198"/>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BDH-1ZG</w:t>
                  </w:r>
                </w:p>
              </w:tc>
              <w:tc>
                <w:tcPr>
                  <w:tcW w:type="dxa" w:w="36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设备标气（</w:t>
                  </w:r>
                  <w:r>
                    <w:rPr>
                      <w:rFonts w:ascii="仿宋_GB2312" w:hAnsi="仿宋_GB2312" w:cs="仿宋_GB2312" w:eastAsia="仿宋_GB2312"/>
                      <w:sz w:val="21"/>
                    </w:rPr>
                    <w:t>2瓶，）</w:t>
                  </w:r>
                </w:p>
              </w:tc>
              <w:tc>
                <w:tcPr>
                  <w:tcW w:type="dxa" w:w="35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NO\CO2</w:t>
                  </w:r>
                </w:p>
              </w:tc>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5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需更换：设备标气（</w:t>
                  </w:r>
                  <w:r>
                    <w:rPr>
                      <w:rFonts w:ascii="仿宋_GB2312" w:hAnsi="仿宋_GB2312" w:cs="仿宋_GB2312" w:eastAsia="仿宋_GB2312"/>
                      <w:sz w:val="21"/>
                    </w:rPr>
                    <w:t>2瓶）每年更换一次，紫外氘灯每年更换两次，氘灯控制板每年更换一次</w:t>
                  </w:r>
                </w:p>
              </w:tc>
            </w:tr>
            <w:tr>
              <w:tc>
                <w:tcPr>
                  <w:tcW w:type="dxa" w:w="137"/>
                  <w:vMerge/>
                  <w:tcBorders>
                    <w:top w:val="none" w:color="000000" w:sz="4"/>
                    <w:left w:val="single" w:color="000000" w:sz="4"/>
                    <w:bottom w:val="single" w:color="000000" w:sz="4"/>
                    <w:right w:val="single" w:color="000000" w:sz="4"/>
                  </w:tcBorders>
                </w:tcPr>
                <w:p/>
              </w:tc>
              <w:tc>
                <w:tcPr>
                  <w:tcW w:type="dxa" w:w="556"/>
                  <w:vMerge/>
                  <w:tcBorders>
                    <w:top w:val="none" w:color="000000" w:sz="4"/>
                    <w:left w:val="single" w:color="000000" w:sz="4"/>
                    <w:bottom w:val="single" w:color="000000" w:sz="4"/>
                    <w:right w:val="single" w:color="000000" w:sz="4"/>
                  </w:tcBorders>
                </w:tcPr>
                <w:p/>
              </w:tc>
              <w:tc>
                <w:tcPr>
                  <w:tcW w:type="dxa" w:w="198"/>
                  <w:gridSpan w:val="2"/>
                  <w:vMerge/>
                  <w:tcBorders>
                    <w:top w:val="single" w:color="000000" w:sz="4"/>
                    <w:left w:val="single" w:color="000000" w:sz="4"/>
                    <w:bottom w:val="single" w:color="000000" w:sz="4"/>
                    <w:right w:val="single" w:color="000000" w:sz="4"/>
                  </w:tcBorders>
                </w:tcPr>
                <w:p/>
              </w:tc>
              <w:tc>
                <w:tcPr>
                  <w:tcW w:type="dxa" w:w="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紫外氘灯</w:t>
                  </w:r>
                </w:p>
              </w:tc>
              <w:tc>
                <w:tcPr>
                  <w:tcW w:type="dxa" w:w="3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L6302</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/次</w:t>
                  </w:r>
                </w:p>
              </w:tc>
            </w:tr>
            <w:tr>
              <w:tc>
                <w:tcPr>
                  <w:tcW w:type="dxa" w:w="137"/>
                  <w:vMerge/>
                  <w:tcBorders>
                    <w:top w:val="none" w:color="000000" w:sz="4"/>
                    <w:left w:val="single" w:color="000000" w:sz="4"/>
                    <w:bottom w:val="single" w:color="000000" w:sz="4"/>
                    <w:right w:val="single" w:color="000000" w:sz="4"/>
                  </w:tcBorders>
                </w:tcPr>
                <w:p/>
              </w:tc>
              <w:tc>
                <w:tcPr>
                  <w:tcW w:type="dxa" w:w="556"/>
                  <w:vMerge/>
                  <w:tcBorders>
                    <w:top w:val="none" w:color="000000" w:sz="4"/>
                    <w:left w:val="single" w:color="000000" w:sz="4"/>
                    <w:bottom w:val="single" w:color="000000" w:sz="4"/>
                    <w:right w:val="single" w:color="000000" w:sz="4"/>
                  </w:tcBorders>
                </w:tcPr>
                <w:p/>
              </w:tc>
              <w:tc>
                <w:tcPr>
                  <w:tcW w:type="dxa" w:w="198"/>
                  <w:gridSpan w:val="2"/>
                  <w:vMerge/>
                  <w:tcBorders>
                    <w:top w:val="single" w:color="000000" w:sz="4"/>
                    <w:left w:val="single" w:color="000000" w:sz="4"/>
                    <w:bottom w:val="single" w:color="000000" w:sz="4"/>
                    <w:right w:val="single" w:color="000000" w:sz="4"/>
                  </w:tcBorders>
                </w:tcPr>
                <w:p/>
              </w:tc>
              <w:tc>
                <w:tcPr>
                  <w:tcW w:type="dxa" w:w="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氘灯控制板</w:t>
                  </w:r>
                </w:p>
              </w:tc>
              <w:tc>
                <w:tcPr>
                  <w:tcW w:type="dxa" w:w="3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宝龙定制</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/次</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4</w:t>
                  </w:r>
                </w:p>
              </w:tc>
              <w:tc>
                <w:tcPr>
                  <w:tcW w:type="dxa" w:w="2404"/>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网费</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固定式机动车尾气遥感监测系统（含黑烟车智能识别系统）</w:t>
                  </w:r>
                </w:p>
              </w:tc>
              <w:tc>
                <w:tcPr>
                  <w:tcW w:type="dxa" w:w="1083"/>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电信环保专网</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点</w:t>
                  </w:r>
                </w:p>
              </w:tc>
              <w:tc>
                <w:tcPr>
                  <w:tcW w:type="dxa" w:w="5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网络带宽要求：环保专网。</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5</w:t>
                  </w:r>
                </w:p>
              </w:tc>
              <w:tc>
                <w:tcPr>
                  <w:tcW w:type="dxa" w:w="2404"/>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电费</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固定式机动车尾气遥感监测系统（含黑烟车智能识别系统）</w:t>
                  </w:r>
                </w:p>
              </w:tc>
              <w:tc>
                <w:tcPr>
                  <w:tcW w:type="dxa" w:w="37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2500w</w:t>
                  </w:r>
                </w:p>
              </w:tc>
              <w:tc>
                <w:tcPr>
                  <w:tcW w:type="dxa" w:w="22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24小时不间断运行</w:t>
                  </w:r>
                </w:p>
              </w:tc>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2500w</w:t>
                  </w:r>
                </w:p>
              </w:tc>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6</w:t>
                  </w:r>
                </w:p>
              </w:tc>
              <w:tc>
                <w:tcPr>
                  <w:tcW w:type="dxa" w:w="2404"/>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软件维护升级</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固定式机动车尾气遥感监测系统升级维护服务</w:t>
                  </w:r>
                </w:p>
              </w:tc>
              <w:tc>
                <w:tcPr>
                  <w:tcW w:type="dxa" w:w="910"/>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遥感软件维护及升级</w:t>
                  </w:r>
                </w:p>
              </w:tc>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1年2次升级4次维护</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黑烟车智能识别系统（独立）升级维护服务</w:t>
                  </w:r>
                </w:p>
              </w:tc>
              <w:tc>
                <w:tcPr>
                  <w:tcW w:type="dxa" w:w="91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黑烟车软件维护及升级</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1年2次升级4次维护</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46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设备校准</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w:t>
                  </w:r>
                </w:p>
              </w:tc>
              <w:tc>
                <w:tcPr>
                  <w:tcW w:type="dxa" w:w="146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固定式机动车尾气遥感监测系统设备计量校准费用</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c>
                <w:tcPr>
                  <w:tcW w:type="dxa" w:w="146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黑烟车智能识别系统计量校准费用</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8</w:t>
                  </w:r>
                </w:p>
              </w:tc>
              <w:tc>
                <w:tcPr>
                  <w:tcW w:type="dxa" w:w="2404"/>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特殊情况费用</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8.1</w:t>
                  </w:r>
                </w:p>
              </w:tc>
              <w:tc>
                <w:tcPr>
                  <w:tcW w:type="dxa" w:w="6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特殊情况（保险）</w:t>
                  </w:r>
                </w:p>
              </w:tc>
              <w:tc>
                <w:tcPr>
                  <w:tcW w:type="dxa" w:w="811"/>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当发生设备被撞或被盗，无法找到责任人或责任人无赔偿能力，以及被自然因素破坏等情况时，设备运维服务单位无偿按照不低于原设备功能、参数的要求进行恢复。</w:t>
                  </w:r>
                </w:p>
              </w:tc>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tbl>
            <w:tblPr>
              <w:tblInd w:type="dxa" w:w="135"/>
              <w:tblBorders>
                <w:top w:val="none" w:color="000000" w:sz="4"/>
                <w:left w:val="none" w:color="000000" w:sz="4"/>
                <w:bottom w:val="none" w:color="000000" w:sz="4"/>
                <w:right w:val="none" w:color="000000" w:sz="4"/>
                <w:insideH w:val="none"/>
                <w:insideV w:val="none"/>
              </w:tblBorders>
            </w:tblPr>
            <w:tblGrid>
              <w:gridCol w:w="409"/>
              <w:gridCol w:w="1421"/>
              <w:gridCol w:w="552"/>
            </w:tblGrid>
            <w:tr>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1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点位地址</w:t>
                  </w:r>
                </w:p>
              </w:tc>
              <w:tc>
                <w:tcPr>
                  <w:tcW w:type="dxa" w:w="5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备注</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在</w:t>
                  </w:r>
                  <w:r>
                    <w:rPr>
                      <w:rFonts w:ascii="仿宋_GB2312" w:hAnsi="仿宋_GB2312" w:cs="仿宋_GB2312" w:eastAsia="仿宋_GB2312"/>
                      <w:sz w:val="21"/>
                    </w:rPr>
                    <w:t>G70高速陕甘交界处(长武)(由西北向东南)</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2019年建设</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咸阳北高速出口</w:t>
                  </w:r>
                  <w:r>
                    <w:rPr>
                      <w:rFonts w:ascii="仿宋_GB2312" w:hAnsi="仿宋_GB2312" w:cs="仿宋_GB2312" w:eastAsia="仿宋_GB2312"/>
                      <w:sz w:val="21"/>
                    </w:rPr>
                    <w:t>(由南向北方向)</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2019年建设</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咸阳高速出口</w:t>
                  </w:r>
                  <w:r>
                    <w:rPr>
                      <w:rFonts w:ascii="仿宋_GB2312" w:hAnsi="仿宋_GB2312" w:cs="仿宋_GB2312" w:eastAsia="仿宋_GB2312"/>
                      <w:sz w:val="21"/>
                    </w:rPr>
                    <w:t>(陈阳寨)转盘西南角(由南向北方向)</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2019年建设</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胭脂路南侧道路（由西向东方向）</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2019年建设</w:t>
                  </w:r>
                </w:p>
              </w:tc>
            </w:tr>
          </w:tbl>
          <w:p>
            <w:pPr>
              <w:pStyle w:val="null3"/>
              <w:jc w:val="left"/>
              <w:outlineLvl w:val="1"/>
            </w:pPr>
            <w:r>
              <w:rPr>
                <w:rFonts w:ascii="仿宋_GB2312" w:hAnsi="仿宋_GB2312" w:cs="仿宋_GB2312" w:eastAsia="仿宋_GB2312"/>
                <w:sz w:val="24"/>
                <w:b/>
              </w:rPr>
              <w:t>三、服务分布区域</w:t>
            </w:r>
          </w:p>
          <w:p>
            <w:pPr>
              <w:pStyle w:val="null3"/>
              <w:jc w:val="left"/>
              <w:outlineLvl w:val="1"/>
            </w:pPr>
            <w:r>
              <w:rPr>
                <w:rFonts w:ascii="仿宋_GB2312" w:hAnsi="仿宋_GB2312" w:cs="仿宋_GB2312" w:eastAsia="仿宋_GB2312"/>
                <w:sz w:val="24"/>
                <w:b/>
              </w:rPr>
              <w:t>四、</w:t>
            </w:r>
            <w:r>
              <w:rPr>
                <w:rFonts w:ascii="仿宋_GB2312" w:hAnsi="仿宋_GB2312" w:cs="仿宋_GB2312" w:eastAsia="仿宋_GB2312"/>
                <w:sz w:val="24"/>
                <w:b/>
              </w:rPr>
              <w:t>总体运维要求</w:t>
            </w:r>
          </w:p>
          <w:p>
            <w:pPr>
              <w:pStyle w:val="null3"/>
              <w:ind w:left="-360" w:firstLine="720"/>
              <w:jc w:val="left"/>
            </w:pPr>
            <w:r>
              <w:rPr>
                <w:rFonts w:ascii="仿宋_GB2312" w:hAnsi="仿宋_GB2312" w:cs="仿宋_GB2312" w:eastAsia="仿宋_GB2312"/>
                <w:sz w:val="24"/>
              </w:rPr>
              <w:t>1、</w:t>
            </w:r>
            <w:r>
              <w:rPr>
                <w:rFonts w:ascii="仿宋_GB2312" w:hAnsi="仿宋_GB2312" w:cs="仿宋_GB2312" w:eastAsia="仿宋_GB2312"/>
                <w:sz w:val="24"/>
              </w:rPr>
              <w:t>对道路上行驶的各类机动车按照《在用柴油车排气污染物测量方法及技术要求（遥感检测法）》（</w:t>
            </w:r>
            <w:r>
              <w:rPr>
                <w:rFonts w:ascii="仿宋_GB2312" w:hAnsi="仿宋_GB2312" w:cs="仿宋_GB2312" w:eastAsia="仿宋_GB2312"/>
                <w:sz w:val="24"/>
              </w:rPr>
              <w:t>HJ845-2017）监测排放的一氧化碳、二氧化碳、碳氢化合物、氮氧化物、烟度等污染物体积浓度。保障机动车尾气遥感监测系统的稳定运行，确保监测数据的实时上传以及柴油货车监督抽测比例不低于保有量50%的任务指标；运用智能运维的在线监测系统工具，提供优质、持续、高效的技术支持服务，协助市级</w:t>
            </w:r>
            <w:r>
              <w:rPr>
                <w:rFonts w:ascii="仿宋_GB2312" w:hAnsi="仿宋_GB2312" w:cs="仿宋_GB2312" w:eastAsia="仿宋_GB2312"/>
                <w:sz w:val="24"/>
              </w:rPr>
              <w:t>生态环境</w:t>
            </w:r>
            <w:r>
              <w:rPr>
                <w:rFonts w:ascii="仿宋_GB2312" w:hAnsi="仿宋_GB2312" w:cs="仿宋_GB2312" w:eastAsia="仿宋_GB2312"/>
                <w:sz w:val="24"/>
              </w:rPr>
              <w:t>部门做好业务系统软件维护、优化、数据联网、调阅、迁移、培训等工作；为数据的准确及时上报提供可靠的支撑，最大程度的保证数据接收、存储、交换、分析的准确性；响应用户数据查询、分析需求，及时反馈数据异常，报告日数据超标情况；按协商好的交付周期按时保质保量完成，用户满意度达到</w:t>
            </w:r>
            <w:r>
              <w:rPr>
                <w:rFonts w:ascii="仿宋_GB2312" w:hAnsi="仿宋_GB2312" w:cs="仿宋_GB2312" w:eastAsia="仿宋_GB2312"/>
                <w:sz w:val="24"/>
              </w:rPr>
              <w:t>95%以上。</w:t>
            </w:r>
          </w:p>
          <w:p>
            <w:pPr>
              <w:pStyle w:val="null3"/>
              <w:ind w:left="-360" w:firstLine="720"/>
              <w:jc w:val="left"/>
            </w:pPr>
            <w:r>
              <w:rPr>
                <w:rFonts w:ascii="仿宋_GB2312" w:hAnsi="仿宋_GB2312" w:cs="仿宋_GB2312" w:eastAsia="仿宋_GB2312"/>
                <w:sz w:val="24"/>
              </w:rPr>
              <w:t>2、</w:t>
            </w:r>
            <w:r>
              <w:rPr>
                <w:rFonts w:ascii="仿宋_GB2312" w:hAnsi="仿宋_GB2312" w:cs="仿宋_GB2312" w:eastAsia="仿宋_GB2312"/>
                <w:sz w:val="24"/>
              </w:rPr>
              <w:t>本运维服务适用于</w:t>
            </w:r>
            <w:r>
              <w:rPr>
                <w:rFonts w:ascii="仿宋_GB2312" w:hAnsi="仿宋_GB2312" w:cs="仿宋_GB2312" w:eastAsia="仿宋_GB2312"/>
                <w:sz w:val="24"/>
                <w:b/>
              </w:rPr>
              <w:t>固定式环境监测系统、智能识别抓拍系统</w:t>
            </w:r>
            <w:r>
              <w:rPr>
                <w:rFonts w:ascii="仿宋_GB2312" w:hAnsi="仿宋_GB2312" w:cs="仿宋_GB2312" w:eastAsia="仿宋_GB2312"/>
                <w:sz w:val="24"/>
              </w:rPr>
              <w:t>全套设备及配套软硬件，实行</w:t>
            </w:r>
            <w:r>
              <w:rPr>
                <w:rFonts w:ascii="仿宋_GB2312" w:hAnsi="仿宋_GB2312" w:cs="仿宋_GB2312" w:eastAsia="仿宋_GB2312"/>
                <w:sz w:val="24"/>
                <w:b/>
              </w:rPr>
              <w:t>7×24 小时不间断运维保障</w:t>
            </w:r>
            <w:r>
              <w:rPr>
                <w:rFonts w:ascii="仿宋_GB2312" w:hAnsi="仿宋_GB2312" w:cs="仿宋_GB2312" w:eastAsia="仿宋_GB2312"/>
                <w:sz w:val="24"/>
              </w:rPr>
              <w:t>，确保系统全天候稳定运行，监测数据、识别图像、运行状态可实时传输至监管平台，数据有效率、传输准确率满足行业监管规范及相关政策标准。</w:t>
            </w:r>
          </w:p>
          <w:p>
            <w:pPr>
              <w:pStyle w:val="null3"/>
              <w:ind w:left="-360" w:firstLine="720"/>
              <w:jc w:val="left"/>
            </w:pPr>
            <w:r>
              <w:rPr>
                <w:rFonts w:ascii="仿宋_GB2312" w:hAnsi="仿宋_GB2312" w:cs="仿宋_GB2312" w:eastAsia="仿宋_GB2312"/>
                <w:sz w:val="24"/>
              </w:rPr>
              <w:t>3、运维全过程严格遵守生态环境监测、智能识别系统运维相关规范，保障监测数据、识别信息真实、准确、合规，完整留存巡检记录、故障台账、配件更换记录、校准报告、运维日志等资料，定期归档备查。</w:t>
            </w:r>
          </w:p>
          <w:p>
            <w:pPr>
              <w:pStyle w:val="null3"/>
              <w:ind w:left="-360" w:firstLine="720"/>
              <w:jc w:val="left"/>
            </w:pPr>
            <w:r>
              <w:rPr>
                <w:rFonts w:ascii="仿宋_GB2312" w:hAnsi="仿宋_GB2312" w:cs="仿宋_GB2312" w:eastAsia="仿宋_GB2312"/>
                <w:sz w:val="24"/>
              </w:rPr>
              <w:t>4、负责支付点位电费、网络等各类费用。</w:t>
            </w:r>
          </w:p>
          <w:p>
            <w:pPr>
              <w:pStyle w:val="null3"/>
              <w:ind w:left="-360" w:firstLine="720"/>
              <w:jc w:val="left"/>
            </w:pPr>
            <w:r>
              <w:rPr>
                <w:rFonts w:ascii="仿宋_GB2312" w:hAnsi="仿宋_GB2312" w:cs="仿宋_GB2312" w:eastAsia="仿宋_GB2312"/>
                <w:sz w:val="24"/>
              </w:rPr>
              <w:t>5、接受采购人的检查和考核，确保监测数据真实有效。</w:t>
            </w:r>
          </w:p>
          <w:p>
            <w:pPr>
              <w:pStyle w:val="null3"/>
              <w:jc w:val="left"/>
              <w:outlineLvl w:val="1"/>
            </w:pPr>
            <w:r>
              <w:rPr>
                <w:rFonts w:ascii="仿宋_GB2312" w:hAnsi="仿宋_GB2312" w:cs="仿宋_GB2312" w:eastAsia="仿宋_GB2312"/>
                <w:sz w:val="24"/>
                <w:b/>
              </w:rPr>
              <w:t>五</w:t>
            </w:r>
            <w:r>
              <w:rPr>
                <w:rFonts w:ascii="仿宋_GB2312" w:hAnsi="仿宋_GB2312" w:cs="仿宋_GB2312" w:eastAsia="仿宋_GB2312"/>
                <w:sz w:val="24"/>
                <w:b/>
              </w:rPr>
              <w:t>、主要硬件设备维护要求</w:t>
            </w:r>
          </w:p>
          <w:p>
            <w:pPr>
              <w:pStyle w:val="null3"/>
              <w:ind w:left="-360" w:firstLine="720"/>
              <w:jc w:val="left"/>
            </w:pPr>
            <w:r>
              <w:rPr>
                <w:rFonts w:ascii="仿宋_GB2312" w:hAnsi="仿宋_GB2312" w:cs="仿宋_GB2312" w:eastAsia="仿宋_GB2312"/>
                <w:sz w:val="24"/>
              </w:rPr>
              <w:t>1、对系统内光学发射接收部件、主控板卡、信号采集板卡、温控模块、光谱分析模块、速度感应部件、执行电磁阀、压力监测部件、网络交换设备、工控主机、存储设备、摄像采集设备、补光设备等全部硬件开展常态化巡检维护。</w:t>
            </w:r>
          </w:p>
          <w:p>
            <w:pPr>
              <w:pStyle w:val="null3"/>
              <w:ind w:left="-360" w:firstLine="720"/>
              <w:jc w:val="left"/>
            </w:pPr>
            <w:r>
              <w:rPr>
                <w:rFonts w:ascii="仿宋_GB2312" w:hAnsi="仿宋_GB2312" w:cs="仿宋_GB2312" w:eastAsia="仿宋_GB2312"/>
                <w:sz w:val="24"/>
              </w:rPr>
              <w:t>2、定期检测光学设备输出稳定性、采集精度，及时清洁镜头、光路，排查功率衰减、信号异常问题；对各类板卡、控制模块检查线</w:t>
            </w:r>
          </w:p>
          <w:p>
            <w:pPr>
              <w:pStyle w:val="null3"/>
              <w:ind w:left="-360" w:firstLine="720"/>
              <w:jc w:val="left"/>
            </w:pPr>
            <w:r>
              <w:rPr>
                <w:rFonts w:ascii="仿宋_GB2312" w:hAnsi="仿宋_GB2312" w:cs="仿宋_GB2312" w:eastAsia="仿宋_GB2312"/>
                <w:sz w:val="24"/>
              </w:rPr>
              <w:t>路连接、元件运行、散热状态，及时处理老化、松动、故障隐患。</w:t>
            </w:r>
          </w:p>
          <w:p>
            <w:pPr>
              <w:pStyle w:val="null3"/>
              <w:ind w:left="-360" w:firstLine="720"/>
              <w:jc w:val="left"/>
            </w:pPr>
            <w:r>
              <w:rPr>
                <w:rFonts w:ascii="仿宋_GB2312" w:hAnsi="仿宋_GB2312" w:cs="仿宋_GB2312" w:eastAsia="仿宋_GB2312"/>
                <w:sz w:val="24"/>
              </w:rPr>
              <w:t>3、温控、恒温设备定期检修，保障设备舱体恒温恒湿运行；网络、存储、摄像、补光设备定期调试优化，保障图像清晰、识别精准、数据存储完整、传输稳定。</w:t>
            </w:r>
          </w:p>
          <w:p>
            <w:pPr>
              <w:pStyle w:val="null3"/>
              <w:ind w:left="-360" w:firstLine="720"/>
              <w:jc w:val="left"/>
            </w:pPr>
            <w:r>
              <w:rPr>
                <w:rFonts w:ascii="仿宋_GB2312" w:hAnsi="仿宋_GB2312" w:cs="仿宋_GB2312" w:eastAsia="仿宋_GB2312"/>
                <w:sz w:val="24"/>
              </w:rPr>
              <w:t>4、硬件配件损坏后，采用同规格、同性能、可兼容配件及时更换，维修更换后完成整机调试，确保设备性能达到运行标准。</w:t>
            </w:r>
          </w:p>
          <w:p>
            <w:pPr>
              <w:pStyle w:val="null3"/>
              <w:jc w:val="left"/>
              <w:outlineLvl w:val="1"/>
            </w:pPr>
            <w:r>
              <w:rPr>
                <w:rFonts w:ascii="仿宋_GB2312" w:hAnsi="仿宋_GB2312" w:cs="仿宋_GB2312" w:eastAsia="仿宋_GB2312"/>
                <w:sz w:val="24"/>
                <w:b/>
              </w:rPr>
              <w:t>六、易损件更换运维要求</w:t>
            </w:r>
          </w:p>
          <w:p>
            <w:pPr>
              <w:pStyle w:val="null3"/>
              <w:ind w:left="-360" w:firstLine="720"/>
              <w:jc w:val="left"/>
            </w:pPr>
            <w:r>
              <w:rPr>
                <w:rFonts w:ascii="仿宋_GB2312" w:hAnsi="仿宋_GB2312" w:cs="仿宋_GB2312" w:eastAsia="仿宋_GB2312"/>
                <w:sz w:val="24"/>
              </w:rPr>
              <w:t>1、按系统运行损耗规律，对标准气体耗材、光源类易损件、光源控制板件等易损耗部件，实行定期检查、按需更换。</w:t>
            </w:r>
          </w:p>
          <w:p>
            <w:pPr>
              <w:pStyle w:val="null3"/>
              <w:ind w:left="-360" w:firstLine="720"/>
              <w:jc w:val="left"/>
            </w:pPr>
            <w:r>
              <w:rPr>
                <w:rFonts w:ascii="仿宋_GB2312" w:hAnsi="仿宋_GB2312" w:cs="仿宋_GB2312" w:eastAsia="仿宋_GB2312"/>
                <w:sz w:val="24"/>
              </w:rPr>
              <w:t>2、耗材及易损件更换后，完成系统校准、精度调试，确保设备监测、识别精度符合技术标准，留存更换及调试记录。</w:t>
            </w:r>
          </w:p>
          <w:p>
            <w:pPr>
              <w:pStyle w:val="null3"/>
              <w:ind w:left="-360" w:firstLine="720"/>
              <w:jc w:val="left"/>
            </w:pPr>
            <w:r>
              <w:rPr>
                <w:rFonts w:ascii="仿宋_GB2312" w:hAnsi="仿宋_GB2312" w:cs="仿宋_GB2312" w:eastAsia="仿宋_GB2312"/>
                <w:sz w:val="24"/>
              </w:rPr>
              <w:t>3、所有更换耗材、配件需符合系统技术适配要求，质量可靠，满足长期稳定运行条件。</w:t>
            </w:r>
          </w:p>
          <w:p>
            <w:pPr>
              <w:pStyle w:val="null3"/>
              <w:jc w:val="left"/>
              <w:outlineLvl w:val="1"/>
            </w:pPr>
            <w:r>
              <w:rPr>
                <w:rFonts w:ascii="仿宋_GB2312" w:hAnsi="仿宋_GB2312" w:cs="仿宋_GB2312" w:eastAsia="仿宋_GB2312"/>
                <w:sz w:val="24"/>
                <w:b/>
              </w:rPr>
              <w:t>七</w:t>
            </w:r>
            <w:r>
              <w:rPr>
                <w:rFonts w:ascii="仿宋_GB2312" w:hAnsi="仿宋_GB2312" w:cs="仿宋_GB2312" w:eastAsia="仿宋_GB2312"/>
                <w:sz w:val="24"/>
                <w:b/>
              </w:rPr>
              <w:t>、网络及电力保障要求</w:t>
            </w:r>
          </w:p>
          <w:p>
            <w:pPr>
              <w:pStyle w:val="null3"/>
              <w:ind w:left="-360" w:firstLine="720"/>
              <w:jc w:val="left"/>
            </w:pPr>
            <w:r>
              <w:rPr>
                <w:rFonts w:ascii="仿宋_GB2312" w:hAnsi="仿宋_GB2312" w:cs="仿宋_GB2312" w:eastAsia="仿宋_GB2312"/>
                <w:sz w:val="24"/>
              </w:rPr>
              <w:t>1、负责系统专用网络的费用缴纳、网络运维，保障专用网络 7×24 小时畅通稳定，实时监测网络传输状态，及时处置断网、卡顿、延迟等故障，确保数据实时上传。</w:t>
            </w:r>
          </w:p>
          <w:p>
            <w:pPr>
              <w:pStyle w:val="null3"/>
              <w:ind w:left="-360" w:firstLine="720"/>
              <w:jc w:val="left"/>
            </w:pPr>
            <w:r>
              <w:rPr>
                <w:rFonts w:ascii="仿宋_GB2312" w:hAnsi="仿宋_GB2312" w:cs="仿宋_GB2312" w:eastAsia="仿宋_GB2312"/>
                <w:sz w:val="24"/>
              </w:rPr>
              <w:t>2、保障系统供电稳定，满足设备24 小时不间断运行的用电需求，协助排查供电线路、电源模块故障，配合完成电费相关对接工作，避免设备因供电问题停机。</w:t>
            </w:r>
          </w:p>
          <w:p>
            <w:pPr>
              <w:pStyle w:val="null3"/>
              <w:jc w:val="left"/>
              <w:outlineLvl w:val="1"/>
            </w:pPr>
            <w:r>
              <w:rPr>
                <w:rFonts w:ascii="仿宋_GB2312" w:hAnsi="仿宋_GB2312" w:cs="仿宋_GB2312" w:eastAsia="仿宋_GB2312"/>
                <w:sz w:val="24"/>
                <w:b/>
              </w:rPr>
              <w:t>八、软件维护升级要求</w:t>
            </w:r>
          </w:p>
          <w:p>
            <w:pPr>
              <w:pStyle w:val="null3"/>
              <w:ind w:left="-360" w:firstLine="720"/>
              <w:jc w:val="left"/>
            </w:pPr>
            <w:r>
              <w:rPr>
                <w:rFonts w:ascii="仿宋_GB2312" w:hAnsi="仿宋_GB2312" w:cs="仿宋_GB2312" w:eastAsia="仿宋_GB2312"/>
                <w:sz w:val="24"/>
              </w:rPr>
              <w:t>1、对监测系统、智能识别系统配套软件提供日常维护、故障修复、版本升级、算法优化服务，保障软件运行流畅，适配监管平台数据传输格式与最新政策规范。</w:t>
            </w:r>
          </w:p>
          <w:p>
            <w:pPr>
              <w:pStyle w:val="null3"/>
              <w:ind w:left="-360" w:firstLine="720"/>
              <w:jc w:val="left"/>
            </w:pPr>
            <w:r>
              <w:rPr>
                <w:rFonts w:ascii="仿宋_GB2312" w:hAnsi="仿宋_GB2312" w:cs="仿宋_GB2312" w:eastAsia="仿宋_GB2312"/>
                <w:sz w:val="24"/>
              </w:rPr>
              <w:t>2、定期修复软件漏洞，优化监测、识别算法，降低误报、漏报概率，保障数据解析、图像识别、信息上传功能正常稳定。</w:t>
            </w:r>
          </w:p>
          <w:p>
            <w:pPr>
              <w:pStyle w:val="null3"/>
              <w:ind w:left="-360" w:firstLine="720"/>
              <w:jc w:val="left"/>
            </w:pPr>
            <w:r>
              <w:rPr>
                <w:rFonts w:ascii="仿宋_GB2312" w:hAnsi="仿宋_GB2312" w:cs="仿宋_GB2312" w:eastAsia="仿宋_GB2312"/>
                <w:sz w:val="24"/>
              </w:rPr>
              <w:t>3、软件类故障优先远程处置，重大软件故障须及时到场排查修复，保障系统功能完整性。</w:t>
            </w:r>
          </w:p>
          <w:p>
            <w:pPr>
              <w:pStyle w:val="null3"/>
              <w:jc w:val="left"/>
              <w:outlineLvl w:val="1"/>
            </w:pPr>
            <w:r>
              <w:rPr>
                <w:rFonts w:ascii="仿宋_GB2312" w:hAnsi="仿宋_GB2312" w:cs="仿宋_GB2312" w:eastAsia="仿宋_GB2312"/>
                <w:sz w:val="24"/>
                <w:b/>
              </w:rPr>
              <w:t>九、设备计量校准要求</w:t>
            </w:r>
          </w:p>
          <w:p>
            <w:pPr>
              <w:pStyle w:val="null3"/>
              <w:ind w:left="-360" w:firstLine="720"/>
              <w:jc w:val="left"/>
            </w:pPr>
            <w:r>
              <w:rPr>
                <w:rFonts w:ascii="仿宋_GB2312" w:hAnsi="仿宋_GB2312" w:cs="仿宋_GB2312" w:eastAsia="仿宋_GB2312"/>
                <w:sz w:val="24"/>
              </w:rPr>
              <w:t>1、按国家及行业规范，定期委托具备合法资质的第三方机构，对整套系统开展计量校准工作，取得合规有效的校准证书。</w:t>
            </w:r>
          </w:p>
          <w:p>
            <w:pPr>
              <w:pStyle w:val="null3"/>
              <w:ind w:left="-360" w:firstLine="720"/>
              <w:jc w:val="left"/>
            </w:pPr>
            <w:r>
              <w:rPr>
                <w:rFonts w:ascii="仿宋_GB2312" w:hAnsi="仿宋_GB2312" w:cs="仿宋_GB2312" w:eastAsia="仿宋_GB2312"/>
                <w:sz w:val="24"/>
              </w:rPr>
              <w:t>2、校准范围包含监测精度、光学精度、识别精度、时序校验、数据传输、设备性能等全部项目，校准后确保设备符合监测执法、数据监管相关标准。</w:t>
            </w:r>
          </w:p>
          <w:p>
            <w:pPr>
              <w:pStyle w:val="null3"/>
              <w:ind w:left="-360" w:firstLine="720"/>
              <w:jc w:val="left"/>
            </w:pPr>
            <w:r>
              <w:rPr>
                <w:rFonts w:ascii="仿宋_GB2312" w:hAnsi="仿宋_GB2312" w:cs="仿宋_GB2312" w:eastAsia="仿宋_GB2312"/>
                <w:sz w:val="24"/>
              </w:rPr>
              <w:t>3、严格按照监管部门要求周期开展校准工作，提前完成校准，保障设备合法合规运行。</w:t>
            </w:r>
          </w:p>
          <w:p>
            <w:pPr>
              <w:pStyle w:val="null3"/>
              <w:jc w:val="left"/>
              <w:outlineLvl w:val="1"/>
            </w:pPr>
            <w:r>
              <w:rPr>
                <w:rFonts w:ascii="仿宋_GB2312" w:hAnsi="仿宋_GB2312" w:cs="仿宋_GB2312" w:eastAsia="仿宋_GB2312"/>
                <w:sz w:val="24"/>
                <w:b/>
              </w:rPr>
              <w:t>十</w:t>
            </w:r>
            <w:r>
              <w:rPr>
                <w:rFonts w:ascii="仿宋_GB2312" w:hAnsi="仿宋_GB2312" w:cs="仿宋_GB2312" w:eastAsia="仿宋_GB2312"/>
                <w:sz w:val="24"/>
                <w:b/>
              </w:rPr>
              <w:t>、通勤及应急保障要求</w:t>
            </w:r>
          </w:p>
          <w:p>
            <w:pPr>
              <w:pStyle w:val="null3"/>
              <w:ind w:left="-360" w:firstLine="720"/>
              <w:jc w:val="left"/>
            </w:pPr>
            <w:r>
              <w:rPr>
                <w:rFonts w:ascii="仿宋_GB2312" w:hAnsi="仿宋_GB2312" w:cs="仿宋_GB2312" w:eastAsia="仿宋_GB2312"/>
                <w:sz w:val="24"/>
              </w:rPr>
              <w:t>1、配备运维通勤保障条件，确保运维人员、维修工具、备用配件可快速抵达服务现场，常规故障24 小时内处置完毕，重大故障 48 小时内完成维修或更换。</w:t>
            </w:r>
          </w:p>
          <w:p>
            <w:pPr>
              <w:pStyle w:val="null3"/>
              <w:ind w:left="-360" w:firstLine="720"/>
              <w:jc w:val="left"/>
            </w:pPr>
            <w:r>
              <w:rPr>
                <w:rFonts w:ascii="仿宋_GB2312" w:hAnsi="仿宋_GB2312" w:cs="仿宋_GB2312" w:eastAsia="仿宋_GB2312"/>
                <w:sz w:val="24"/>
              </w:rPr>
              <w:t>2、建立 7×24 小时运维响应机制，节假日、极端天气期间保持应急值守，突发故障快速响应处置，最大限度缩短设备停机时间。</w:t>
            </w:r>
          </w:p>
          <w:p>
            <w:pPr>
              <w:pStyle w:val="null3"/>
              <w:ind w:left="-360" w:firstLine="720"/>
              <w:jc w:val="left"/>
            </w:pPr>
            <w:r>
              <w:rPr>
                <w:rFonts w:ascii="仿宋_GB2312" w:hAnsi="仿宋_GB2312" w:cs="仿宋_GB2312" w:eastAsia="仿宋_GB2312"/>
                <w:sz w:val="24"/>
              </w:rPr>
              <w:t>3、执行常态化定期巡检制度，提前排查设备隐患，降低故障发生率，形成完整巡检报告。</w:t>
            </w:r>
          </w:p>
          <w:p>
            <w:pPr>
              <w:pStyle w:val="null3"/>
              <w:jc w:val="left"/>
            </w:pPr>
            <w:r>
              <w:rPr>
                <w:rFonts w:ascii="仿宋_GB2312" w:hAnsi="仿宋_GB2312" w:cs="仿宋_GB2312" w:eastAsia="仿宋_GB2312"/>
                <w:sz w:val="24"/>
                <w:b/>
              </w:rPr>
              <w:t>十一、安全及管理服务要求</w:t>
            </w:r>
          </w:p>
          <w:p>
            <w:pPr>
              <w:pStyle w:val="null3"/>
              <w:ind w:left="-360" w:firstLine="720"/>
              <w:jc w:val="left"/>
            </w:pPr>
            <w:r>
              <w:rPr>
                <w:rFonts w:ascii="仿宋_GB2312" w:hAnsi="仿宋_GB2312" w:cs="仿宋_GB2312" w:eastAsia="仿宋_GB2312"/>
                <w:sz w:val="24"/>
              </w:rPr>
              <w:t>1、运维作业严格遵守安全生产规范，做好电气安全、设备安全、数据安全防护，杜绝触电、设备损毁、数据丢失等安全事故。</w:t>
            </w:r>
          </w:p>
          <w:p>
            <w:pPr>
              <w:pStyle w:val="null3"/>
              <w:ind w:left="-360" w:firstLine="720"/>
              <w:jc w:val="left"/>
            </w:pPr>
            <w:r>
              <w:rPr>
                <w:rFonts w:ascii="仿宋_GB2312" w:hAnsi="仿宋_GB2312" w:cs="仿宋_GB2312" w:eastAsia="仿宋_GB2312"/>
                <w:sz w:val="24"/>
              </w:rPr>
              <w:t>2、主动接受采购方及监管部门的监督、检查与考核，及时完成问题整改，保障运维质量、数据质量达标。</w:t>
            </w:r>
          </w:p>
          <w:p>
            <w:pPr>
              <w:pStyle w:val="null3"/>
              <w:ind w:left="-360" w:firstLine="720"/>
              <w:jc w:val="left"/>
            </w:pPr>
            <w:r>
              <w:rPr>
                <w:rFonts w:ascii="仿宋_GB2312" w:hAnsi="仿宋_GB2312" w:cs="仿宋_GB2312" w:eastAsia="仿宋_GB2312"/>
                <w:sz w:val="24"/>
              </w:rPr>
              <w:t>3、提供技术咨询、基础操作培训等配套服务，协助采购方做好系统日常管理工作。</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rPr>
              <w:t>一、</w:t>
            </w:r>
            <w:r>
              <w:rPr>
                <w:rFonts w:ascii="仿宋_GB2312" w:hAnsi="仿宋_GB2312" w:cs="仿宋_GB2312" w:eastAsia="仿宋_GB2312"/>
                <w:sz w:val="28"/>
                <w:b/>
              </w:rPr>
              <w:t>项目概况：</w:t>
            </w:r>
          </w:p>
          <w:p>
            <w:pPr>
              <w:pStyle w:val="null3"/>
              <w:ind w:firstLine="480"/>
              <w:jc w:val="both"/>
            </w:pPr>
            <w:r>
              <w:rPr>
                <w:rFonts w:ascii="仿宋_GB2312" w:hAnsi="仿宋_GB2312" w:cs="仿宋_GB2312" w:eastAsia="仿宋_GB2312"/>
                <w:sz w:val="24"/>
              </w:rPr>
              <w:t>为实现分析机动车污染趋势，追踪车辆排放大户，完成生态环境部机动车遥感监测数据</w:t>
            </w:r>
            <w:r>
              <w:rPr>
                <w:rFonts w:ascii="仿宋_GB2312" w:hAnsi="仿宋_GB2312" w:cs="仿宋_GB2312" w:eastAsia="仿宋_GB2312"/>
                <w:sz w:val="24"/>
              </w:rPr>
              <w:t>“国家—省—市三级联网”任务，并形成分析报告为机动车污染防治工作提供数据支撑。获取咸阳市大气环境移动污染源数据的实时性、连续性、真实性，为下一步全市大气污染防治的研判工作做好数据、技术保障，今年计划委托第三方机构运维我市14套机动车排气污染遥感监测系统及4套独立黑烟车智能识别系统。本标段针对</w:t>
            </w:r>
            <w:r>
              <w:rPr>
                <w:rFonts w:ascii="仿宋_GB2312" w:hAnsi="仿宋_GB2312" w:cs="仿宋_GB2312" w:eastAsia="仿宋_GB2312"/>
                <w:sz w:val="24"/>
              </w:rPr>
              <w:t>建设时间为</w:t>
            </w:r>
            <w:r>
              <w:rPr>
                <w:rFonts w:ascii="仿宋_GB2312" w:hAnsi="仿宋_GB2312" w:cs="仿宋_GB2312" w:eastAsia="仿宋_GB2312"/>
                <w:sz w:val="24"/>
              </w:rPr>
              <w:t>2021年</w:t>
            </w:r>
            <w:r>
              <w:rPr>
                <w:rFonts w:ascii="仿宋_GB2312" w:hAnsi="仿宋_GB2312" w:cs="仿宋_GB2312" w:eastAsia="仿宋_GB2312"/>
                <w:sz w:val="24"/>
              </w:rPr>
              <w:t>的</w:t>
            </w:r>
            <w:r>
              <w:rPr>
                <w:rFonts w:ascii="仿宋_GB2312" w:hAnsi="仿宋_GB2312" w:cs="仿宋_GB2312" w:eastAsia="仿宋_GB2312"/>
                <w:sz w:val="24"/>
              </w:rPr>
              <w:t>五个遥感（含黑烟车）点位，运行维护</w:t>
            </w:r>
            <w:r>
              <w:rPr>
                <w:rFonts w:ascii="仿宋_GB2312" w:hAnsi="仿宋_GB2312" w:cs="仿宋_GB2312" w:eastAsia="仿宋_GB2312"/>
                <w:sz w:val="24"/>
              </w:rPr>
              <w:t>服务。</w:t>
            </w:r>
          </w:p>
          <w:p>
            <w:pPr>
              <w:pStyle w:val="null3"/>
              <w:jc w:val="both"/>
            </w:pPr>
            <w:r>
              <w:rPr>
                <w:rFonts w:ascii="仿宋_GB2312" w:hAnsi="仿宋_GB2312" w:cs="仿宋_GB2312" w:eastAsia="仿宋_GB2312"/>
                <w:sz w:val="24"/>
                <w:b/>
              </w:rPr>
              <w:t>二、服务需求</w:t>
            </w:r>
          </w:p>
          <w:tbl>
            <w:tblPr>
              <w:tblInd w:type="dxa" w:w="90"/>
              <w:tblBorders>
                <w:top w:val="none" w:color="000000" w:sz="4"/>
                <w:left w:val="none" w:color="000000" w:sz="4"/>
                <w:bottom w:val="none" w:color="000000" w:sz="4"/>
                <w:right w:val="none" w:color="000000" w:sz="4"/>
                <w:insideH w:val="none"/>
                <w:insideV w:val="none"/>
              </w:tblBorders>
            </w:tblPr>
            <w:tblGrid>
              <w:gridCol w:w="176"/>
              <w:gridCol w:w="467"/>
              <w:gridCol w:w="224"/>
              <w:gridCol w:w="395"/>
              <w:gridCol w:w="390"/>
              <w:gridCol w:w="34"/>
              <w:gridCol w:w="34"/>
              <w:gridCol w:w="34"/>
              <w:gridCol w:w="34"/>
              <w:gridCol w:w="34"/>
              <w:gridCol w:w="52"/>
              <w:gridCol w:w="52"/>
              <w:gridCol w:w="52"/>
              <w:gridCol w:w="52"/>
              <w:gridCol w:w="5"/>
              <w:gridCol w:w="494"/>
            </w:tblGrid>
            <w:tr>
              <w:tc>
                <w:tcPr>
                  <w:tcW w:type="dxa" w:w="1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6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项目</w:t>
                  </w:r>
                </w:p>
              </w:tc>
              <w:tc>
                <w:tcPr>
                  <w:tcW w:type="dxa" w:w="22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39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明细</w:t>
                  </w:r>
                </w:p>
              </w:tc>
              <w:tc>
                <w:tcPr>
                  <w:tcW w:type="dxa" w:w="39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170"/>
                  <w:gridSpan w:val="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208"/>
                  <w:gridSpan w:val="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499"/>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176"/>
                  <w:vMerge/>
                  <w:tcBorders>
                    <w:top w:val="single" w:color="000000" w:sz="4"/>
                    <w:left w:val="single" w:color="000000" w:sz="4"/>
                    <w:bottom w:val="single" w:color="000000" w:sz="4"/>
                    <w:right w:val="single" w:color="000000" w:sz="4"/>
                  </w:tcBorders>
                </w:tcPr>
                <w:p/>
              </w:tc>
              <w:tc>
                <w:tcPr>
                  <w:tcW w:type="dxa" w:w="467"/>
                  <w:vMerge/>
                  <w:tcBorders>
                    <w:top w:val="single" w:color="000000" w:sz="4"/>
                    <w:left w:val="none" w:color="000000" w:sz="4"/>
                    <w:bottom w:val="single" w:color="000000" w:sz="4"/>
                    <w:right w:val="single" w:color="000000" w:sz="4"/>
                  </w:tcBorders>
                </w:tcPr>
                <w:p/>
              </w:tc>
              <w:tc>
                <w:tcPr>
                  <w:tcW w:type="dxa" w:w="224"/>
                  <w:vMerge/>
                  <w:tcBorders>
                    <w:top w:val="single" w:color="000000" w:sz="4"/>
                    <w:left w:val="none" w:color="000000" w:sz="4"/>
                    <w:bottom w:val="single" w:color="000000" w:sz="4"/>
                    <w:right w:val="single" w:color="000000" w:sz="4"/>
                  </w:tcBorders>
                </w:tcPr>
                <w:p/>
              </w:tc>
              <w:tc>
                <w:tcPr>
                  <w:tcW w:type="dxa" w:w="395"/>
                  <w:vMerge/>
                  <w:tcBorders>
                    <w:top w:val="single" w:color="000000" w:sz="4"/>
                    <w:left w:val="none" w:color="000000" w:sz="4"/>
                    <w:bottom w:val="single" w:color="000000" w:sz="4"/>
                    <w:right w:val="single" w:color="000000" w:sz="4"/>
                  </w:tcBorders>
                </w:tcPr>
                <w:p/>
              </w:tc>
              <w:tc>
                <w:tcPr>
                  <w:tcW w:type="dxa" w:w="390"/>
                  <w:vMerge/>
                  <w:tcBorders>
                    <w:top w:val="single" w:color="000000" w:sz="4"/>
                    <w:left w:val="none" w:color="000000" w:sz="4"/>
                    <w:bottom w:val="single" w:color="000000" w:sz="4"/>
                    <w:right w:val="single" w:color="000000" w:sz="4"/>
                  </w:tcBorders>
                </w:tc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运维通勤车辆</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w:t>
                  </w:r>
                </w:p>
              </w:tc>
              <w:tc>
                <w:tcPr>
                  <w:tcW w:type="dxa" w:w="170"/>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20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辆</w:t>
                  </w:r>
                </w:p>
              </w:tc>
              <w:tc>
                <w:tcPr>
                  <w:tcW w:type="dxa" w:w="49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2353"/>
                  <w:gridSpan w:val="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主要设备维护</w:t>
                  </w:r>
                </w:p>
              </w:tc>
            </w:tr>
            <w:tr>
              <w:tc>
                <w:tcPr>
                  <w:tcW w:type="dxa" w:w="1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4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固定式机动车尾气遥感监测系统</w:t>
                  </w:r>
                </w:p>
              </w:tc>
              <w:tc>
                <w:tcPr>
                  <w:tcW w:type="dxa" w:w="22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BDH-1ZG</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红外激光器</w:t>
                  </w:r>
                </w:p>
              </w:tc>
              <w:tc>
                <w:tcPr>
                  <w:tcW w:type="dxa" w:w="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BDH-HWJGQ</w:t>
                  </w:r>
                </w:p>
              </w:tc>
              <w:tc>
                <w:tcPr>
                  <w:tcW w:type="dxa" w:w="170"/>
                  <w:gridSpan w:val="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08"/>
                  <w:gridSpan w:val="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99"/>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本年运维需更换恒温空调</w:t>
                  </w:r>
                  <w:r>
                    <w:rPr>
                      <w:rFonts w:ascii="仿宋_GB2312" w:hAnsi="仿宋_GB2312" w:cs="仿宋_GB2312" w:eastAsia="仿宋_GB2312"/>
                      <w:sz w:val="24"/>
                    </w:rPr>
                    <w:t>1台；速度激光器3个，速度控制板2个；红外激光器1个；绿激光器1个；光谱仪1个；温控板1个，电磁阀1个，压力表3个。</w:t>
                  </w:r>
                </w:p>
              </w:tc>
            </w:tr>
            <w:tr>
              <w:tc>
                <w:tcPr>
                  <w:tcW w:type="dxa" w:w="176"/>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224"/>
                  <w:vMerge/>
                  <w:tcBorders>
                    <w:top w:val="singl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绿激光器</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BDH-LJGQ</w:t>
                  </w:r>
                </w:p>
              </w:tc>
            </w:tr>
            <w:tr>
              <w:tc>
                <w:tcPr>
                  <w:tcW w:type="dxa" w:w="176"/>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224"/>
                  <w:vMerge/>
                  <w:tcBorders>
                    <w:top w:val="singl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主板</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BDH-ZB</w:t>
                  </w:r>
                </w:p>
              </w:tc>
            </w:tr>
            <w:tr>
              <w:tc>
                <w:tcPr>
                  <w:tcW w:type="dxa" w:w="176"/>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224"/>
                  <w:vMerge/>
                  <w:tcBorders>
                    <w:top w:val="singl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信号板</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BDH-XHB</w:t>
                  </w:r>
                </w:p>
              </w:tc>
            </w:tr>
            <w:tr>
              <w:tc>
                <w:tcPr>
                  <w:tcW w:type="dxa" w:w="176"/>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224"/>
                  <w:vMerge/>
                  <w:tcBorders>
                    <w:top w:val="singl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温控板</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BDH-WKB</w:t>
                  </w:r>
                </w:p>
              </w:tc>
            </w:tr>
            <w:tr>
              <w:tc>
                <w:tcPr>
                  <w:tcW w:type="dxa" w:w="176"/>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224"/>
                  <w:vMerge/>
                  <w:tcBorders>
                    <w:top w:val="singl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光谱仪</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BDH-GPY</w:t>
                  </w:r>
                </w:p>
              </w:tc>
            </w:tr>
            <w:tr>
              <w:tc>
                <w:tcPr>
                  <w:tcW w:type="dxa" w:w="176"/>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224"/>
                  <w:vMerge/>
                  <w:tcBorders>
                    <w:top w:val="singl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恒温空调</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宝龙定制</w:t>
                  </w:r>
                </w:p>
              </w:tc>
            </w:tr>
            <w:tr>
              <w:tc>
                <w:tcPr>
                  <w:tcW w:type="dxa" w:w="176"/>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224"/>
                  <w:vMerge/>
                  <w:tcBorders>
                    <w:top w:val="singl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速度激光器</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BDH-SDJGQ</w:t>
                  </w:r>
                </w:p>
              </w:tc>
            </w:tr>
            <w:tr>
              <w:tc>
                <w:tcPr>
                  <w:tcW w:type="dxa" w:w="176"/>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224"/>
                  <w:vMerge/>
                  <w:tcBorders>
                    <w:top w:val="singl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速度控制板</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BDH-SDKZB</w:t>
                  </w:r>
                </w:p>
              </w:tc>
            </w:tr>
            <w:tr>
              <w:tc>
                <w:tcPr>
                  <w:tcW w:type="dxa" w:w="176"/>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224"/>
                  <w:vMerge/>
                  <w:tcBorders>
                    <w:top w:val="singl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电磁阀</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宝龙定制</w:t>
                  </w:r>
                </w:p>
              </w:tc>
            </w:tr>
            <w:tr>
              <w:tc>
                <w:tcPr>
                  <w:tcW w:type="dxa" w:w="176"/>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224"/>
                  <w:vMerge/>
                  <w:tcBorders>
                    <w:top w:val="singl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交换机</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TP-LINK</w:t>
                  </w:r>
                </w:p>
              </w:tc>
            </w:tr>
            <w:tr>
              <w:tc>
                <w:tcPr>
                  <w:tcW w:type="dxa" w:w="176"/>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224"/>
                  <w:vMerge/>
                  <w:tcBorders>
                    <w:top w:val="singl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压力表</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宝龙定制</w:t>
                  </w:r>
                </w:p>
              </w:tc>
            </w:tr>
            <w:tr>
              <w:tc>
                <w:tcPr>
                  <w:tcW w:type="dxa" w:w="1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4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黑烟车智能识别系统</w:t>
                  </w: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BLH-1000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工控机</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IPC-610L</w:t>
                  </w:r>
                </w:p>
              </w:tc>
              <w:tc>
                <w:tcPr>
                  <w:tcW w:type="dxa" w:w="170"/>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08"/>
                  <w:gridSpan w:val="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99"/>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本年运维需更换摄像机</w:t>
                  </w:r>
                  <w:r>
                    <w:rPr>
                      <w:rFonts w:ascii="仿宋_GB2312" w:hAnsi="仿宋_GB2312" w:cs="仿宋_GB2312" w:eastAsia="仿宋_GB2312"/>
                      <w:sz w:val="24"/>
                    </w:rPr>
                    <w:t>5台；补光灯15台；硬盘录像机5台；工控机1台。</w:t>
                  </w:r>
                </w:p>
              </w:tc>
            </w:tr>
            <w:tr>
              <w:tc>
                <w:tcPr>
                  <w:tcW w:type="dxa" w:w="176"/>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硬盘录像机</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DS-7708</w:t>
                  </w:r>
                </w:p>
              </w:tc>
            </w:tr>
            <w:tr>
              <w:tc>
                <w:tcPr>
                  <w:tcW w:type="dxa" w:w="176"/>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摄像机</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900万</w:t>
                  </w:r>
                </w:p>
              </w:tc>
            </w:tr>
            <w:tr>
              <w:tc>
                <w:tcPr>
                  <w:tcW w:type="dxa" w:w="176"/>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补光灯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CXBG</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2353"/>
                  <w:gridSpan w:val="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易损件</w:t>
                  </w:r>
                </w:p>
              </w:tc>
            </w:tr>
            <w:tr>
              <w:tc>
                <w:tcPr>
                  <w:tcW w:type="dxa" w:w="1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4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固定式机动车尾气遥感监测系统</w:t>
                  </w:r>
                </w:p>
              </w:tc>
              <w:tc>
                <w:tcPr>
                  <w:tcW w:type="dxa" w:w="22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BDH-1ZG</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设备标气（</w:t>
                  </w:r>
                  <w:r>
                    <w:rPr>
                      <w:rFonts w:ascii="仿宋_GB2312" w:hAnsi="仿宋_GB2312" w:cs="仿宋_GB2312" w:eastAsia="仿宋_GB2312"/>
                      <w:sz w:val="24"/>
                    </w:rPr>
                    <w:t>2瓶，）</w:t>
                  </w:r>
                </w:p>
              </w:tc>
              <w:tc>
                <w:tcPr>
                  <w:tcW w:type="dxa" w:w="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NO\CO2</w:t>
                  </w:r>
                </w:p>
              </w:tc>
              <w:tc>
                <w:tcPr>
                  <w:tcW w:type="dxa" w:w="170"/>
                  <w:gridSpan w:val="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08"/>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99"/>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本年运维需更换设备标气</w:t>
                  </w:r>
                  <w:r>
                    <w:rPr>
                      <w:rFonts w:ascii="仿宋_GB2312" w:hAnsi="仿宋_GB2312" w:cs="仿宋_GB2312" w:eastAsia="仿宋_GB2312"/>
                      <w:sz w:val="24"/>
                    </w:rPr>
                    <w:t>2瓶，紫外氘灯2套次，氘灯控制板1套/次</w:t>
                  </w:r>
                </w:p>
              </w:tc>
            </w:tr>
            <w:tr>
              <w:tc>
                <w:tcPr>
                  <w:tcW w:type="dxa" w:w="176"/>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224"/>
                  <w:vMerge/>
                  <w:tcBorders>
                    <w:top w:val="singl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紫外氘灯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L6302</w:t>
                  </w:r>
                </w:p>
              </w:tc>
              <w:tc>
                <w:tcPr>
                  <w:tcW w:type="dxa" w:w="170"/>
                  <w:gridSpan w:val="5"/>
                  <w:vMerge/>
                  <w:tcBorders>
                    <w:top w:val="single" w:color="000000" w:sz="4"/>
                    <w:left w:val="none" w:color="000000" w:sz="4"/>
                    <w:bottom w:val="single" w:color="000000" w:sz="4"/>
                    <w:right w:val="single" w:color="000000" w:sz="4"/>
                  </w:tcBorders>
                </w:tcPr>
                <w:p/>
              </w:tc>
              <w:tc>
                <w:tcPr>
                  <w:tcW w:type="dxa" w:w="20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r>
                    <w:rPr>
                      <w:rFonts w:ascii="仿宋_GB2312" w:hAnsi="仿宋_GB2312" w:cs="仿宋_GB2312" w:eastAsia="仿宋_GB2312"/>
                      <w:sz w:val="24"/>
                    </w:rPr>
                    <w:t>/次</w:t>
                  </w:r>
                </w:p>
              </w:tc>
            </w:tr>
            <w:tr>
              <w:tc>
                <w:tcPr>
                  <w:tcW w:type="dxa" w:w="176"/>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224"/>
                  <w:vMerge/>
                  <w:tcBorders>
                    <w:top w:val="singl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氘灯控制板</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宝龙定制</w:t>
                  </w:r>
                </w:p>
              </w:tc>
              <w:tc>
                <w:tcPr>
                  <w:tcW w:type="dxa" w:w="170"/>
                  <w:gridSpan w:val="5"/>
                  <w:vMerge/>
                  <w:tcBorders>
                    <w:top w:val="single" w:color="000000" w:sz="4"/>
                    <w:left w:val="none" w:color="000000" w:sz="4"/>
                    <w:bottom w:val="single" w:color="000000" w:sz="4"/>
                    <w:right w:val="single" w:color="000000" w:sz="4"/>
                  </w:tcBorders>
                </w:tcPr>
                <w:p/>
              </w:tc>
              <w:tc>
                <w:tcPr>
                  <w:tcW w:type="dxa" w:w="20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r>
                    <w:rPr>
                      <w:rFonts w:ascii="仿宋_GB2312" w:hAnsi="仿宋_GB2312" w:cs="仿宋_GB2312" w:eastAsia="仿宋_GB2312"/>
                      <w:sz w:val="24"/>
                    </w:rPr>
                    <w:t>/次</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2353"/>
                  <w:gridSpan w:val="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网费</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固定式机动车尾气遥感监测系统（含黑烟车智能识别系统）</w:t>
                  </w:r>
                </w:p>
              </w:tc>
              <w:tc>
                <w:tcPr>
                  <w:tcW w:type="dxa" w:w="1043"/>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电信环保专网</w:t>
                  </w:r>
                </w:p>
              </w:tc>
              <w:tc>
                <w:tcPr>
                  <w:tcW w:type="dxa" w:w="188"/>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61"/>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4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网络带宽要求：环保专网。</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2353"/>
                  <w:gridSpan w:val="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电费</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固定式机动车尾气遥感监测系统（含黑烟车智能识别系统）</w:t>
                  </w:r>
                </w:p>
              </w:tc>
              <w:tc>
                <w:tcPr>
                  <w:tcW w:type="dxa" w:w="1043"/>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24小时不间断运行</w:t>
                  </w:r>
                </w:p>
              </w:tc>
              <w:tc>
                <w:tcPr>
                  <w:tcW w:type="dxa" w:w="188"/>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61"/>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2353"/>
                  <w:gridSpan w:val="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软件维护升级</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固定式机动车尾气遥感监测系统升级维护服务</w:t>
                  </w:r>
                </w:p>
              </w:tc>
              <w:tc>
                <w:tcPr>
                  <w:tcW w:type="dxa" w:w="1077"/>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遥感软件维护及升级</w:t>
                  </w:r>
                </w:p>
              </w:tc>
              <w:tc>
                <w:tcPr>
                  <w:tcW w:type="dxa" w:w="206"/>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09"/>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1年2次升级4次维护</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黑烟车智能识别系统（独立）升级维护服务</w:t>
                  </w:r>
                </w:p>
              </w:tc>
              <w:tc>
                <w:tcPr>
                  <w:tcW w:type="dxa" w:w="1077"/>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黑烟车软件维护及升级</w:t>
                  </w:r>
                </w:p>
              </w:tc>
              <w:tc>
                <w:tcPr>
                  <w:tcW w:type="dxa" w:w="206"/>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0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1年2次升级4次维护</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2353"/>
                  <w:gridSpan w:val="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设备校准</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固定式机动车尾气遥感监测系统设备计量校准</w:t>
                  </w:r>
                </w:p>
              </w:tc>
              <w:tc>
                <w:tcPr>
                  <w:tcW w:type="dxa" w:w="1111"/>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4"/>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黑烟车智能识别系统计量校准费用</w:t>
                  </w:r>
                </w:p>
              </w:tc>
              <w:tc>
                <w:tcPr>
                  <w:tcW w:type="dxa" w:w="1145"/>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9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2353"/>
                  <w:gridSpan w:val="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特殊情况</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特殊情况（保险）</w:t>
                  </w:r>
                </w:p>
              </w:tc>
              <w:tc>
                <w:tcPr>
                  <w:tcW w:type="dxa" w:w="1145"/>
                  <w:gridSpan w:val="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当发生设备被撞或被盗，无法找到责任人或责任人无赔偿能力，以及被自然因素破坏等情况时，设备运维服务单位无偿按照不低于原设备功能、参数的要求进行恢复。</w:t>
                  </w:r>
                </w:p>
              </w:tc>
              <w:tc>
                <w:tcPr>
                  <w:tcW w:type="dxa" w:w="19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4"/>
                <w:b/>
              </w:rPr>
              <w:t>三、服务分布区域</w:t>
            </w:r>
          </w:p>
          <w:tbl>
            <w:tblPr>
              <w:tblInd w:type="dxa" w:w="135"/>
              <w:tblBorders>
                <w:top w:val="none" w:color="000000" w:sz="4"/>
                <w:left w:val="none" w:color="000000" w:sz="4"/>
                <w:bottom w:val="none" w:color="000000" w:sz="4"/>
                <w:right w:val="none" w:color="000000" w:sz="4"/>
                <w:insideH w:val="none"/>
                <w:insideV w:val="none"/>
              </w:tblBorders>
            </w:tblPr>
            <w:tblGrid>
              <w:gridCol w:w="279"/>
              <w:gridCol w:w="1224"/>
              <w:gridCol w:w="1039"/>
            </w:tblGrid>
            <w:tr>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点位地址</w:t>
                  </w:r>
                </w:p>
              </w:tc>
              <w:tc>
                <w:tcPr>
                  <w:tcW w:type="dxa" w:w="10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咸平路与文兴路十字向南（马泉花苑小区附近）</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2021年建设</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咸兴路（陕西双汇食品工业园附近）</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2021年建设</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文林路（三丰四季阳光小区附近）</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2021年建设</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望贤路（紫韵东城小区南门附近）</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2021年建设</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312国道与兴平店张街道出口往市区方向</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2021年建设</w:t>
                  </w:r>
                </w:p>
              </w:tc>
            </w:tr>
          </w:tbl>
          <w:p>
            <w:pPr>
              <w:pStyle w:val="null3"/>
              <w:jc w:val="left"/>
              <w:outlineLvl w:val="1"/>
            </w:pPr>
            <w:r>
              <w:rPr>
                <w:rFonts w:ascii="仿宋_GB2312" w:hAnsi="仿宋_GB2312" w:cs="仿宋_GB2312" w:eastAsia="仿宋_GB2312"/>
                <w:sz w:val="24"/>
                <w:b/>
              </w:rPr>
              <w:t>四、</w:t>
            </w:r>
            <w:r>
              <w:rPr>
                <w:rFonts w:ascii="仿宋_GB2312" w:hAnsi="仿宋_GB2312" w:cs="仿宋_GB2312" w:eastAsia="仿宋_GB2312"/>
                <w:sz w:val="24"/>
                <w:b/>
              </w:rPr>
              <w:t>总体运维要求</w:t>
            </w:r>
          </w:p>
          <w:p>
            <w:pPr>
              <w:pStyle w:val="null3"/>
              <w:ind w:left="-360" w:firstLine="720"/>
              <w:jc w:val="left"/>
            </w:pPr>
            <w:r>
              <w:rPr>
                <w:rFonts w:ascii="仿宋_GB2312" w:hAnsi="仿宋_GB2312" w:cs="仿宋_GB2312" w:eastAsia="仿宋_GB2312"/>
                <w:sz w:val="24"/>
              </w:rPr>
              <w:t>1、</w:t>
            </w:r>
            <w:r>
              <w:rPr>
                <w:rFonts w:ascii="仿宋_GB2312" w:hAnsi="仿宋_GB2312" w:cs="仿宋_GB2312" w:eastAsia="仿宋_GB2312"/>
                <w:sz w:val="24"/>
              </w:rPr>
              <w:t>对道路上行驶的各类机动车按照《在用柴油车排气污染物测量方法及技术要求（遥感检测法）》（</w:t>
            </w:r>
            <w:r>
              <w:rPr>
                <w:rFonts w:ascii="仿宋_GB2312" w:hAnsi="仿宋_GB2312" w:cs="仿宋_GB2312" w:eastAsia="仿宋_GB2312"/>
                <w:sz w:val="24"/>
              </w:rPr>
              <w:t>HJ845-2017）监测排放的一氧化碳、二氧化碳、碳氢化合物、氮氧化物、烟度等污染物体积浓度。保障机动车尾气遥感监测系统的稳定运行，确保监测数据的实时上传以及柴油货车监督抽测比例不低于保有量50%的任务指标；运用智能运维的在线监测系统工具，提供优质、持续、高效的技术支持服务，协助市级</w:t>
            </w:r>
            <w:r>
              <w:rPr>
                <w:rFonts w:ascii="仿宋_GB2312" w:hAnsi="仿宋_GB2312" w:cs="仿宋_GB2312" w:eastAsia="仿宋_GB2312"/>
                <w:sz w:val="24"/>
              </w:rPr>
              <w:t>生态环境</w:t>
            </w:r>
            <w:r>
              <w:rPr>
                <w:rFonts w:ascii="仿宋_GB2312" w:hAnsi="仿宋_GB2312" w:cs="仿宋_GB2312" w:eastAsia="仿宋_GB2312"/>
                <w:sz w:val="24"/>
              </w:rPr>
              <w:t>部门做好业务系统软件维护、优化、数据联网、调阅、迁移、培训等工作；为数据的准确及时上报提供可靠的支撑，最大程度的保证数据接收、存储、交换、分析的准确性；响应用户数据查询、分析需求，及时反馈数据异常，报告日数据超标情况；按协商好的交付周期按时保质保量完成，用户满意度达到</w:t>
            </w:r>
            <w:r>
              <w:rPr>
                <w:rFonts w:ascii="仿宋_GB2312" w:hAnsi="仿宋_GB2312" w:cs="仿宋_GB2312" w:eastAsia="仿宋_GB2312"/>
                <w:sz w:val="24"/>
              </w:rPr>
              <w:t>95%以上。</w:t>
            </w:r>
          </w:p>
          <w:p>
            <w:pPr>
              <w:pStyle w:val="null3"/>
              <w:ind w:left="-360" w:firstLine="720"/>
              <w:jc w:val="left"/>
            </w:pPr>
            <w:r>
              <w:rPr>
                <w:rFonts w:ascii="仿宋_GB2312" w:hAnsi="仿宋_GB2312" w:cs="仿宋_GB2312" w:eastAsia="仿宋_GB2312"/>
                <w:sz w:val="24"/>
              </w:rPr>
              <w:t>2、</w:t>
            </w:r>
            <w:r>
              <w:rPr>
                <w:rFonts w:ascii="仿宋_GB2312" w:hAnsi="仿宋_GB2312" w:cs="仿宋_GB2312" w:eastAsia="仿宋_GB2312"/>
                <w:sz w:val="24"/>
              </w:rPr>
              <w:t>本运维服务适用于</w:t>
            </w:r>
            <w:r>
              <w:rPr>
                <w:rFonts w:ascii="仿宋_GB2312" w:hAnsi="仿宋_GB2312" w:cs="仿宋_GB2312" w:eastAsia="仿宋_GB2312"/>
                <w:sz w:val="24"/>
                <w:b/>
              </w:rPr>
              <w:t>固定式环境监测系统、智能识别抓拍系统</w:t>
            </w:r>
            <w:r>
              <w:rPr>
                <w:rFonts w:ascii="仿宋_GB2312" w:hAnsi="仿宋_GB2312" w:cs="仿宋_GB2312" w:eastAsia="仿宋_GB2312"/>
                <w:sz w:val="24"/>
              </w:rPr>
              <w:t>全套设备及配套软硬件，实行</w:t>
            </w:r>
            <w:r>
              <w:rPr>
                <w:rFonts w:ascii="仿宋_GB2312" w:hAnsi="仿宋_GB2312" w:cs="仿宋_GB2312" w:eastAsia="仿宋_GB2312"/>
                <w:sz w:val="24"/>
                <w:b/>
              </w:rPr>
              <w:t>7×24 小时不间断运维保障</w:t>
            </w:r>
            <w:r>
              <w:rPr>
                <w:rFonts w:ascii="仿宋_GB2312" w:hAnsi="仿宋_GB2312" w:cs="仿宋_GB2312" w:eastAsia="仿宋_GB2312"/>
                <w:sz w:val="24"/>
              </w:rPr>
              <w:t>，确保系统全天候稳定运行，监测数据、识别图像、运行状态可实时传输至监管平台，数据有效率、传输准确率满足行业监管规范及相关政策标准。</w:t>
            </w:r>
          </w:p>
          <w:p>
            <w:pPr>
              <w:pStyle w:val="null3"/>
              <w:ind w:left="-360" w:firstLine="720"/>
              <w:jc w:val="left"/>
            </w:pPr>
            <w:r>
              <w:rPr>
                <w:rFonts w:ascii="仿宋_GB2312" w:hAnsi="仿宋_GB2312" w:cs="仿宋_GB2312" w:eastAsia="仿宋_GB2312"/>
                <w:sz w:val="24"/>
              </w:rPr>
              <w:t>3、运维全过程严格遵守生态环境监测、智能识别系统运维相关规范，保障监测数据、识别信息真实、准确、合规，完整留存巡检记录、故障台账、配件更换记录、校准报告、运维日志等资料，定期归档备查。</w:t>
            </w:r>
          </w:p>
          <w:p>
            <w:pPr>
              <w:pStyle w:val="null3"/>
              <w:ind w:left="-360" w:firstLine="720"/>
              <w:jc w:val="left"/>
            </w:pPr>
            <w:r>
              <w:rPr>
                <w:rFonts w:ascii="仿宋_GB2312" w:hAnsi="仿宋_GB2312" w:cs="仿宋_GB2312" w:eastAsia="仿宋_GB2312"/>
                <w:sz w:val="24"/>
              </w:rPr>
              <w:t>4、负责支付点位电费、网络等各类费用。</w:t>
            </w:r>
          </w:p>
          <w:p>
            <w:pPr>
              <w:pStyle w:val="null3"/>
              <w:ind w:left="-360" w:firstLine="720"/>
              <w:jc w:val="left"/>
            </w:pPr>
            <w:r>
              <w:rPr>
                <w:rFonts w:ascii="仿宋_GB2312" w:hAnsi="仿宋_GB2312" w:cs="仿宋_GB2312" w:eastAsia="仿宋_GB2312"/>
                <w:sz w:val="24"/>
              </w:rPr>
              <w:t>5、接受采购人的检查和考核，确保监测数据真实有效。</w:t>
            </w:r>
          </w:p>
          <w:p>
            <w:pPr>
              <w:pStyle w:val="null3"/>
              <w:jc w:val="left"/>
              <w:outlineLvl w:val="1"/>
            </w:pPr>
            <w:r>
              <w:rPr>
                <w:rFonts w:ascii="仿宋_GB2312" w:hAnsi="仿宋_GB2312" w:cs="仿宋_GB2312" w:eastAsia="仿宋_GB2312"/>
                <w:sz w:val="24"/>
                <w:b/>
              </w:rPr>
              <w:t>五、</w:t>
            </w:r>
            <w:r>
              <w:rPr>
                <w:rFonts w:ascii="仿宋_GB2312" w:hAnsi="仿宋_GB2312" w:cs="仿宋_GB2312" w:eastAsia="仿宋_GB2312"/>
                <w:sz w:val="24"/>
                <w:b/>
              </w:rPr>
              <w:t>主要硬件设备维护要求</w:t>
            </w:r>
          </w:p>
          <w:p>
            <w:pPr>
              <w:pStyle w:val="null3"/>
              <w:ind w:left="-360" w:firstLine="720"/>
              <w:jc w:val="left"/>
            </w:pPr>
            <w:r>
              <w:rPr>
                <w:rFonts w:ascii="仿宋_GB2312" w:hAnsi="仿宋_GB2312" w:cs="仿宋_GB2312" w:eastAsia="仿宋_GB2312"/>
                <w:sz w:val="24"/>
              </w:rPr>
              <w:t>1、对系统内光学发射接收部件、主控板卡、信号采集板卡、温控模块、光谱分析模块、速度感应部件、执行电磁阀、压力监测部件、网络交换设备、工控主机、存储设备、摄像采集设备、补光设备等全部硬件开展常态化巡检维护。</w:t>
            </w:r>
          </w:p>
          <w:p>
            <w:pPr>
              <w:pStyle w:val="null3"/>
              <w:ind w:left="-360" w:firstLine="720"/>
              <w:jc w:val="left"/>
            </w:pPr>
            <w:r>
              <w:rPr>
                <w:rFonts w:ascii="仿宋_GB2312" w:hAnsi="仿宋_GB2312" w:cs="仿宋_GB2312" w:eastAsia="仿宋_GB2312"/>
                <w:sz w:val="24"/>
              </w:rPr>
              <w:t>2、定期检测光学设备输出稳定性、采集精度，及时清洁镜头、光路，排查功率衰减、信号异常问题；对各类板卡、控制模块检查线</w:t>
            </w:r>
          </w:p>
          <w:p>
            <w:pPr>
              <w:pStyle w:val="null3"/>
              <w:ind w:left="-360" w:firstLine="720"/>
              <w:jc w:val="left"/>
            </w:pPr>
            <w:r>
              <w:rPr>
                <w:rFonts w:ascii="仿宋_GB2312" w:hAnsi="仿宋_GB2312" w:cs="仿宋_GB2312" w:eastAsia="仿宋_GB2312"/>
                <w:sz w:val="24"/>
              </w:rPr>
              <w:t>路连接、元件运行、散热状态，及时处理老化、松动、故障隐患。</w:t>
            </w:r>
          </w:p>
          <w:p>
            <w:pPr>
              <w:pStyle w:val="null3"/>
              <w:ind w:left="-360" w:firstLine="720"/>
              <w:jc w:val="left"/>
            </w:pPr>
            <w:r>
              <w:rPr>
                <w:rFonts w:ascii="仿宋_GB2312" w:hAnsi="仿宋_GB2312" w:cs="仿宋_GB2312" w:eastAsia="仿宋_GB2312"/>
                <w:sz w:val="24"/>
              </w:rPr>
              <w:t>3、温控、恒温设备定期检修，保障设备舱体恒温恒湿运行；网络、存储、摄像、补光设备定期调试优化，保障图像清晰、识别精准、数据存储完整、传输稳定。</w:t>
            </w:r>
          </w:p>
          <w:p>
            <w:pPr>
              <w:pStyle w:val="null3"/>
              <w:ind w:left="-360" w:firstLine="720"/>
              <w:jc w:val="left"/>
            </w:pPr>
            <w:r>
              <w:rPr>
                <w:rFonts w:ascii="仿宋_GB2312" w:hAnsi="仿宋_GB2312" w:cs="仿宋_GB2312" w:eastAsia="仿宋_GB2312"/>
                <w:sz w:val="24"/>
              </w:rPr>
              <w:t>4、硬件配件损坏后，采用同规格、同性能、可兼容配件及时更换，维修更换后完成整机调试，确保设备性能达到运行标准。</w:t>
            </w:r>
          </w:p>
          <w:p>
            <w:pPr>
              <w:pStyle w:val="null3"/>
              <w:jc w:val="left"/>
              <w:outlineLvl w:val="1"/>
            </w:pPr>
            <w:r>
              <w:rPr>
                <w:rFonts w:ascii="仿宋_GB2312" w:hAnsi="仿宋_GB2312" w:cs="仿宋_GB2312" w:eastAsia="仿宋_GB2312"/>
                <w:sz w:val="24"/>
                <w:b/>
              </w:rPr>
              <w:t>六、易损件更换运维要求</w:t>
            </w:r>
          </w:p>
          <w:p>
            <w:pPr>
              <w:pStyle w:val="null3"/>
              <w:ind w:left="-360" w:firstLine="720"/>
              <w:jc w:val="left"/>
            </w:pPr>
            <w:r>
              <w:rPr>
                <w:rFonts w:ascii="仿宋_GB2312" w:hAnsi="仿宋_GB2312" w:cs="仿宋_GB2312" w:eastAsia="仿宋_GB2312"/>
                <w:sz w:val="24"/>
              </w:rPr>
              <w:t>1、按系统运行损耗规律，对标准气体耗材、光源类易损件、光源控制板件等易损耗部件，实行定期检查、按需更换。</w:t>
            </w:r>
          </w:p>
          <w:p>
            <w:pPr>
              <w:pStyle w:val="null3"/>
              <w:ind w:left="-360" w:firstLine="720"/>
              <w:jc w:val="left"/>
            </w:pPr>
            <w:r>
              <w:rPr>
                <w:rFonts w:ascii="仿宋_GB2312" w:hAnsi="仿宋_GB2312" w:cs="仿宋_GB2312" w:eastAsia="仿宋_GB2312"/>
                <w:sz w:val="24"/>
              </w:rPr>
              <w:t>2、耗材及易损件更换后，完成系统校准、精度调试，确保设备监测、识别精度符合技术标准，留存更换及调试记录。</w:t>
            </w:r>
          </w:p>
          <w:p>
            <w:pPr>
              <w:pStyle w:val="null3"/>
              <w:ind w:left="-360" w:firstLine="720"/>
              <w:jc w:val="left"/>
            </w:pPr>
            <w:r>
              <w:rPr>
                <w:rFonts w:ascii="仿宋_GB2312" w:hAnsi="仿宋_GB2312" w:cs="仿宋_GB2312" w:eastAsia="仿宋_GB2312"/>
                <w:sz w:val="24"/>
              </w:rPr>
              <w:t>3、所有更换耗材、配件需符合系统技术适配要求，质量可靠，满足长期稳定运行条件。</w:t>
            </w:r>
          </w:p>
          <w:p>
            <w:pPr>
              <w:pStyle w:val="null3"/>
              <w:jc w:val="left"/>
              <w:outlineLvl w:val="1"/>
            </w:pPr>
            <w:r>
              <w:rPr>
                <w:rFonts w:ascii="仿宋_GB2312" w:hAnsi="仿宋_GB2312" w:cs="仿宋_GB2312" w:eastAsia="仿宋_GB2312"/>
                <w:sz w:val="24"/>
                <w:b/>
              </w:rPr>
              <w:t>七、</w:t>
            </w:r>
            <w:r>
              <w:rPr>
                <w:rFonts w:ascii="仿宋_GB2312" w:hAnsi="仿宋_GB2312" w:cs="仿宋_GB2312" w:eastAsia="仿宋_GB2312"/>
                <w:sz w:val="24"/>
                <w:b/>
              </w:rPr>
              <w:t>网络及电力保障要求</w:t>
            </w:r>
          </w:p>
          <w:p>
            <w:pPr>
              <w:pStyle w:val="null3"/>
              <w:ind w:left="-360" w:firstLine="720"/>
              <w:jc w:val="left"/>
            </w:pPr>
            <w:r>
              <w:rPr>
                <w:rFonts w:ascii="仿宋_GB2312" w:hAnsi="仿宋_GB2312" w:cs="仿宋_GB2312" w:eastAsia="仿宋_GB2312"/>
                <w:sz w:val="24"/>
              </w:rPr>
              <w:t>1、负责系统专用网络的费用缴纳、网络运维，保障专用网络 7×24 小时畅通稳定，实时监测网络传输状态，及时处置断网、卡顿、延迟等故障，确保数据实时上传。</w:t>
            </w:r>
          </w:p>
          <w:p>
            <w:pPr>
              <w:pStyle w:val="null3"/>
              <w:ind w:left="-360" w:firstLine="720"/>
              <w:jc w:val="left"/>
            </w:pPr>
            <w:r>
              <w:rPr>
                <w:rFonts w:ascii="仿宋_GB2312" w:hAnsi="仿宋_GB2312" w:cs="仿宋_GB2312" w:eastAsia="仿宋_GB2312"/>
                <w:sz w:val="24"/>
              </w:rPr>
              <w:t>2、保障系统供电稳定，满足设备24 小时不间断运行的用电需求，协助排查供电线路、电源模块故障，配合完成电费相关对接工作，避免设备因供电问题停机。</w:t>
            </w:r>
          </w:p>
          <w:p>
            <w:pPr>
              <w:pStyle w:val="null3"/>
              <w:jc w:val="left"/>
              <w:outlineLvl w:val="1"/>
            </w:pPr>
            <w:r>
              <w:rPr>
                <w:rFonts w:ascii="仿宋_GB2312" w:hAnsi="仿宋_GB2312" w:cs="仿宋_GB2312" w:eastAsia="仿宋_GB2312"/>
                <w:sz w:val="24"/>
                <w:b/>
              </w:rPr>
              <w:t>八、软件维护升级要求</w:t>
            </w:r>
          </w:p>
          <w:p>
            <w:pPr>
              <w:pStyle w:val="null3"/>
              <w:ind w:left="-360" w:firstLine="720"/>
              <w:jc w:val="left"/>
            </w:pPr>
            <w:r>
              <w:rPr>
                <w:rFonts w:ascii="仿宋_GB2312" w:hAnsi="仿宋_GB2312" w:cs="仿宋_GB2312" w:eastAsia="仿宋_GB2312"/>
                <w:sz w:val="24"/>
              </w:rPr>
              <w:t>1、对监测系统、智能识别系统配套软件提供日常维护、故障修复、版本升级、算法优化服务，保障软件运行流畅，适配监管平台数据传输格式与最新政策规范。</w:t>
            </w:r>
          </w:p>
          <w:p>
            <w:pPr>
              <w:pStyle w:val="null3"/>
              <w:ind w:left="-360" w:firstLine="720"/>
              <w:jc w:val="left"/>
            </w:pPr>
            <w:r>
              <w:rPr>
                <w:rFonts w:ascii="仿宋_GB2312" w:hAnsi="仿宋_GB2312" w:cs="仿宋_GB2312" w:eastAsia="仿宋_GB2312"/>
                <w:sz w:val="24"/>
              </w:rPr>
              <w:t>2、定期修复软件漏洞，优化监测、识别算法，降低误报、漏报概率，保障数据解析、图像识别、信息上传功能正常稳定。</w:t>
            </w:r>
          </w:p>
          <w:p>
            <w:pPr>
              <w:pStyle w:val="null3"/>
              <w:ind w:left="-360" w:firstLine="720"/>
              <w:jc w:val="left"/>
            </w:pPr>
            <w:r>
              <w:rPr>
                <w:rFonts w:ascii="仿宋_GB2312" w:hAnsi="仿宋_GB2312" w:cs="仿宋_GB2312" w:eastAsia="仿宋_GB2312"/>
                <w:sz w:val="24"/>
              </w:rPr>
              <w:t>3、软件类故障优先远程处置，重大软件故障须及时到场排查修复，保障系统功能完整性。</w:t>
            </w:r>
          </w:p>
          <w:p>
            <w:pPr>
              <w:pStyle w:val="null3"/>
              <w:jc w:val="left"/>
              <w:outlineLvl w:val="1"/>
            </w:pPr>
            <w:r>
              <w:rPr>
                <w:rFonts w:ascii="仿宋_GB2312" w:hAnsi="仿宋_GB2312" w:cs="仿宋_GB2312" w:eastAsia="仿宋_GB2312"/>
                <w:sz w:val="24"/>
                <w:b/>
              </w:rPr>
              <w:t>九、设备计量校准要求</w:t>
            </w:r>
          </w:p>
          <w:p>
            <w:pPr>
              <w:pStyle w:val="null3"/>
              <w:ind w:left="-360" w:firstLine="720"/>
              <w:jc w:val="left"/>
            </w:pPr>
            <w:r>
              <w:rPr>
                <w:rFonts w:ascii="仿宋_GB2312" w:hAnsi="仿宋_GB2312" w:cs="仿宋_GB2312" w:eastAsia="仿宋_GB2312"/>
                <w:sz w:val="24"/>
              </w:rPr>
              <w:t>1、按国家及行业规范，定期委托具备合法资质的第三方机构，对整套系统开展计量校准工作，取得合规有效的校准证书。</w:t>
            </w:r>
          </w:p>
          <w:p>
            <w:pPr>
              <w:pStyle w:val="null3"/>
              <w:ind w:left="-360" w:firstLine="720"/>
              <w:jc w:val="left"/>
            </w:pPr>
            <w:r>
              <w:rPr>
                <w:rFonts w:ascii="仿宋_GB2312" w:hAnsi="仿宋_GB2312" w:cs="仿宋_GB2312" w:eastAsia="仿宋_GB2312"/>
                <w:sz w:val="24"/>
              </w:rPr>
              <w:t>2、校准范围包含监测精度、光学精度、识别精度、时序校验、数据传输、设备性能等全部项目，校准后确保设备符合监测执法、数据监管相关标准。</w:t>
            </w:r>
          </w:p>
          <w:p>
            <w:pPr>
              <w:pStyle w:val="null3"/>
              <w:ind w:left="-360" w:firstLine="720"/>
              <w:jc w:val="left"/>
            </w:pPr>
            <w:r>
              <w:rPr>
                <w:rFonts w:ascii="仿宋_GB2312" w:hAnsi="仿宋_GB2312" w:cs="仿宋_GB2312" w:eastAsia="仿宋_GB2312"/>
                <w:sz w:val="24"/>
              </w:rPr>
              <w:t>3、严格按照监管部门要求周期开展校准工作，提前完成校准，保障设备合法合规运行。</w:t>
            </w:r>
          </w:p>
          <w:p>
            <w:pPr>
              <w:pStyle w:val="null3"/>
              <w:jc w:val="left"/>
              <w:outlineLvl w:val="1"/>
            </w:pPr>
            <w:r>
              <w:rPr>
                <w:rFonts w:ascii="仿宋_GB2312" w:hAnsi="仿宋_GB2312" w:cs="仿宋_GB2312" w:eastAsia="仿宋_GB2312"/>
                <w:sz w:val="24"/>
                <w:b/>
              </w:rPr>
              <w:t>十、</w:t>
            </w:r>
            <w:r>
              <w:rPr>
                <w:rFonts w:ascii="仿宋_GB2312" w:hAnsi="仿宋_GB2312" w:cs="仿宋_GB2312" w:eastAsia="仿宋_GB2312"/>
                <w:sz w:val="24"/>
                <w:b/>
              </w:rPr>
              <w:t>通勤及应急保障要求</w:t>
            </w:r>
          </w:p>
          <w:p>
            <w:pPr>
              <w:pStyle w:val="null3"/>
              <w:ind w:left="-360" w:firstLine="720"/>
              <w:jc w:val="left"/>
            </w:pPr>
            <w:r>
              <w:rPr>
                <w:rFonts w:ascii="仿宋_GB2312" w:hAnsi="仿宋_GB2312" w:cs="仿宋_GB2312" w:eastAsia="仿宋_GB2312"/>
                <w:sz w:val="24"/>
              </w:rPr>
              <w:t>1、配备运维通勤保障条件，确保运维人员、维修工具、备用配件可快速抵达服务现场，常规故障24 小时内处置完毕，重大故障 48 小时内完成维修或更换。</w:t>
            </w:r>
          </w:p>
          <w:p>
            <w:pPr>
              <w:pStyle w:val="null3"/>
              <w:ind w:left="-360" w:firstLine="720"/>
              <w:jc w:val="left"/>
            </w:pPr>
            <w:r>
              <w:rPr>
                <w:rFonts w:ascii="仿宋_GB2312" w:hAnsi="仿宋_GB2312" w:cs="仿宋_GB2312" w:eastAsia="仿宋_GB2312"/>
                <w:sz w:val="24"/>
              </w:rPr>
              <w:t>2、建立 7×24 小时运维响应机制，节假日、极端天气期间保持应急值守，突发故障快速响应处置，最大限度缩短设备停机时间。</w:t>
            </w:r>
          </w:p>
          <w:p>
            <w:pPr>
              <w:pStyle w:val="null3"/>
              <w:ind w:left="-360" w:firstLine="720"/>
              <w:jc w:val="left"/>
            </w:pPr>
            <w:r>
              <w:rPr>
                <w:rFonts w:ascii="仿宋_GB2312" w:hAnsi="仿宋_GB2312" w:cs="仿宋_GB2312" w:eastAsia="仿宋_GB2312"/>
                <w:sz w:val="24"/>
              </w:rPr>
              <w:t>3、执行常态化定期巡检制度，提前排查设备隐患，降低故障发生率，形成完整巡检报告。</w:t>
            </w:r>
          </w:p>
          <w:p>
            <w:pPr>
              <w:pStyle w:val="null3"/>
              <w:jc w:val="left"/>
            </w:pPr>
            <w:r>
              <w:rPr>
                <w:rFonts w:ascii="仿宋_GB2312" w:hAnsi="仿宋_GB2312" w:cs="仿宋_GB2312" w:eastAsia="仿宋_GB2312"/>
                <w:sz w:val="24"/>
                <w:b/>
              </w:rPr>
              <w:t>十一、安全及管理服务要求</w:t>
            </w:r>
          </w:p>
          <w:p>
            <w:pPr>
              <w:pStyle w:val="null3"/>
              <w:ind w:left="-360" w:firstLine="720"/>
              <w:jc w:val="left"/>
            </w:pPr>
            <w:r>
              <w:rPr>
                <w:rFonts w:ascii="仿宋_GB2312" w:hAnsi="仿宋_GB2312" w:cs="仿宋_GB2312" w:eastAsia="仿宋_GB2312"/>
                <w:sz w:val="24"/>
              </w:rPr>
              <w:t>1、运维作业严格遵守安全生产规范，做好电气安全、设备安全、数据安全防护，杜绝触电、设备损毁、数据丢失等安全事故。</w:t>
            </w:r>
          </w:p>
          <w:p>
            <w:pPr>
              <w:pStyle w:val="null3"/>
              <w:ind w:left="-360" w:firstLine="720"/>
              <w:jc w:val="left"/>
            </w:pPr>
            <w:r>
              <w:rPr>
                <w:rFonts w:ascii="仿宋_GB2312" w:hAnsi="仿宋_GB2312" w:cs="仿宋_GB2312" w:eastAsia="仿宋_GB2312"/>
                <w:sz w:val="24"/>
              </w:rPr>
              <w:t>2、主动接受采购方及监管部门的监督、检查与考核，及时完成问题整改，保障运维质量、数据质量达标。</w:t>
            </w:r>
          </w:p>
          <w:p>
            <w:pPr>
              <w:pStyle w:val="null3"/>
            </w:pPr>
            <w:r>
              <w:rPr>
                <w:rFonts w:ascii="仿宋_GB2312" w:hAnsi="仿宋_GB2312" w:cs="仿宋_GB2312" w:eastAsia="仿宋_GB2312"/>
                <w:sz w:val="24"/>
              </w:rPr>
              <w:t xml:space="preserve">  3、提供技术咨询、基础操作培训等配套服务，协助采购方做好系统日常管理工作。</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00"/>
              <w:jc w:val="both"/>
            </w:pPr>
            <w:r>
              <w:rPr>
                <w:rFonts w:ascii="仿宋_GB2312" w:hAnsi="仿宋_GB2312" w:cs="仿宋_GB2312" w:eastAsia="仿宋_GB2312"/>
                <w:sz w:val="28"/>
                <w:b/>
              </w:rPr>
              <w:t>一、项目概况</w:t>
            </w:r>
          </w:p>
          <w:p>
            <w:pPr>
              <w:pStyle w:val="null3"/>
              <w:ind w:firstLine="480"/>
              <w:jc w:val="both"/>
            </w:pPr>
            <w:r>
              <w:rPr>
                <w:rFonts w:ascii="仿宋_GB2312" w:hAnsi="仿宋_GB2312" w:cs="仿宋_GB2312" w:eastAsia="仿宋_GB2312"/>
                <w:sz w:val="24"/>
              </w:rPr>
              <w:t>为实现分析机动车污染趋势，追踪车辆排放大户，完成生态环境部机动车遥感监测数据</w:t>
            </w:r>
            <w:r>
              <w:rPr>
                <w:rFonts w:ascii="仿宋_GB2312" w:hAnsi="仿宋_GB2312" w:cs="仿宋_GB2312" w:eastAsia="仿宋_GB2312"/>
                <w:sz w:val="24"/>
              </w:rPr>
              <w:t>“国家—省—市三级联网”任务，并形成</w:t>
            </w:r>
            <w:r>
              <w:rPr>
                <w:rFonts w:ascii="仿宋_GB2312" w:hAnsi="仿宋_GB2312" w:cs="仿宋_GB2312" w:eastAsia="仿宋_GB2312"/>
                <w:sz w:val="24"/>
              </w:rPr>
              <w:t>分析报告为机动车污染防治工作提供数据支撑。获取咸阳市大气环境移动污染源数据的实时性、连续性、真实性，为下一步全市大气污染防治的研判工作做好数据、技术保障，今年计划委托第三方机构运维我市</w:t>
            </w:r>
            <w:r>
              <w:rPr>
                <w:rFonts w:ascii="仿宋_GB2312" w:hAnsi="仿宋_GB2312" w:cs="仿宋_GB2312" w:eastAsia="仿宋_GB2312"/>
                <w:sz w:val="24"/>
              </w:rPr>
              <w:t>14套机动车排气污染遥感监测系统及4套独立黑烟车智能识别系统。本标段针对建设时间为2023年的五个遥感（含黑烟车）点位，独立黑烟车智能识别系统建设四个点位，运行维</w:t>
            </w:r>
            <w:r>
              <w:rPr>
                <w:rFonts w:ascii="仿宋_GB2312" w:hAnsi="仿宋_GB2312" w:cs="仿宋_GB2312" w:eastAsia="仿宋_GB2312"/>
                <w:sz w:val="24"/>
              </w:rPr>
              <w:t>护</w:t>
            </w:r>
            <w:r>
              <w:rPr>
                <w:rFonts w:ascii="仿宋_GB2312" w:hAnsi="仿宋_GB2312" w:cs="仿宋_GB2312" w:eastAsia="仿宋_GB2312"/>
                <w:sz w:val="24"/>
              </w:rPr>
              <w:t>服务；</w:t>
            </w:r>
            <w:r>
              <w:rPr>
                <w:rFonts w:ascii="仿宋_GB2312" w:hAnsi="仿宋_GB2312" w:cs="仿宋_GB2312" w:eastAsia="仿宋_GB2312"/>
                <w:sz w:val="24"/>
              </w:rPr>
              <w:t>2套机动车尾气遥感监测系统搬迁。</w:t>
            </w:r>
          </w:p>
          <w:p>
            <w:pPr>
              <w:pStyle w:val="null3"/>
              <w:numPr>
                <w:ilvl w:val="0"/>
                <w:numId w:val="1"/>
              </w:numPr>
              <w:jc w:val="both"/>
            </w:pPr>
            <w:r>
              <w:rPr>
                <w:rFonts w:ascii="仿宋_GB2312" w:hAnsi="仿宋_GB2312" w:cs="仿宋_GB2312" w:eastAsia="仿宋_GB2312"/>
                <w:sz w:val="28"/>
                <w:b/>
              </w:rPr>
              <w:t>服务需求</w:t>
            </w:r>
          </w:p>
          <w:p>
            <w:pPr>
              <w:pStyle w:val="null3"/>
              <w:jc w:val="left"/>
            </w:pPr>
            <w:r>
              <w:rPr>
                <w:rFonts w:ascii="仿宋_GB2312" w:hAnsi="仿宋_GB2312" w:cs="仿宋_GB2312" w:eastAsia="仿宋_GB2312"/>
                <w:sz w:val="28"/>
                <w:b/>
              </w:rPr>
              <w:t>（一）机动车尾气遥感监测及黑烟车智能识别系统运维</w:t>
            </w:r>
          </w:p>
          <w:tbl>
            <w:tblPr>
              <w:tblInd w:type="dxa" w:w="90"/>
              <w:tblBorders>
                <w:top w:val="none" w:color="000000" w:sz="4"/>
                <w:left w:val="none" w:color="000000" w:sz="4"/>
                <w:bottom w:val="none" w:color="000000" w:sz="4"/>
                <w:right w:val="none" w:color="000000" w:sz="4"/>
                <w:insideH w:val="none"/>
                <w:insideV w:val="none"/>
              </w:tblBorders>
            </w:tblPr>
            <w:tblGrid>
              <w:gridCol w:w="224"/>
              <w:gridCol w:w="570"/>
              <w:gridCol w:w="254"/>
              <w:gridCol w:w="313"/>
              <w:gridCol w:w="175"/>
              <w:gridCol w:w="175"/>
              <w:gridCol w:w="4"/>
              <w:gridCol w:w="4"/>
              <w:gridCol w:w="155"/>
              <w:gridCol w:w="141"/>
              <w:gridCol w:w="527"/>
            </w:tblGrid>
            <w:tr>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项目</w:t>
                  </w:r>
                </w:p>
              </w:tc>
              <w:tc>
                <w:tcPr>
                  <w:tcW w:type="dxa" w:w="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明细</w:t>
                  </w:r>
                </w:p>
              </w:tc>
              <w:tc>
                <w:tcPr>
                  <w:tcW w:type="dxa" w:w="35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163"/>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运维通勤车辆</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w:t>
                  </w:r>
                </w:p>
              </w:tc>
              <w:tc>
                <w:tcPr>
                  <w:tcW w:type="dxa" w:w="16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2318"/>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主要设备维护</w:t>
                  </w:r>
                </w:p>
              </w:tc>
            </w:tr>
            <w:tr>
              <w:tc>
                <w:tcPr>
                  <w:tcW w:type="dxa" w:w="2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5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固定式机动车尾气遥感监测系统</w:t>
                  </w:r>
                </w:p>
              </w:tc>
              <w:tc>
                <w:tcPr>
                  <w:tcW w:type="dxa" w:w="25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BDH-1ZG</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红外激光器</w:t>
                  </w:r>
                </w:p>
              </w:tc>
              <w:tc>
                <w:tcPr>
                  <w:tcW w:type="dxa" w:w="35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BDH-HWJGQ</w:t>
                  </w:r>
                </w:p>
              </w:tc>
              <w:tc>
                <w:tcPr>
                  <w:tcW w:type="dxa" w:w="163"/>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2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本年运维需更换恒温空调</w:t>
                  </w:r>
                  <w:r>
                    <w:rPr>
                      <w:rFonts w:ascii="仿宋_GB2312" w:hAnsi="仿宋_GB2312" w:cs="仿宋_GB2312" w:eastAsia="仿宋_GB2312"/>
                      <w:sz w:val="24"/>
                    </w:rPr>
                    <w:t>1台；速度激光器2个，速度控制板2个；红外激光器1个；绿激光器1个；光谱仪1个；温控板1个，电磁阀1个，压力表3个。</w:t>
                  </w:r>
                </w:p>
              </w:tc>
            </w:tr>
            <w:tr>
              <w:tc>
                <w:tcPr>
                  <w:tcW w:type="dxa" w:w="224"/>
                  <w:vMerge/>
                  <w:tcBorders>
                    <w:top w:val="none" w:color="000000" w:sz="4"/>
                    <w:left w:val="single" w:color="000000" w:sz="4"/>
                    <w:bottom w:val="single" w:color="000000" w:sz="4"/>
                    <w:right w:val="single" w:color="000000" w:sz="4"/>
                  </w:tcBorders>
                </w:tcPr>
                <w:p/>
              </w:tc>
              <w:tc>
                <w:tcPr>
                  <w:tcW w:type="dxa" w:w="570"/>
                  <w:vMerge/>
                  <w:tcBorders>
                    <w:top w:val="none" w:color="000000" w:sz="4"/>
                    <w:left w:val="none" w:color="000000" w:sz="4"/>
                    <w:bottom w:val="single" w:color="000000" w:sz="4"/>
                    <w:right w:val="single" w:color="000000" w:sz="4"/>
                  </w:tcBorders>
                </w:tcPr>
                <w:p/>
              </w:tc>
              <w:tc>
                <w:tcPr>
                  <w:tcW w:type="dxa" w:w="254"/>
                  <w:vMerge/>
                  <w:tcBorders>
                    <w:top w:val="singl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绿激光器</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BDH-LJGQ</w:t>
                  </w:r>
                </w:p>
              </w:tc>
            </w:tr>
            <w:tr>
              <w:tc>
                <w:tcPr>
                  <w:tcW w:type="dxa" w:w="224"/>
                  <w:vMerge/>
                  <w:tcBorders>
                    <w:top w:val="none" w:color="000000" w:sz="4"/>
                    <w:left w:val="single" w:color="000000" w:sz="4"/>
                    <w:bottom w:val="single" w:color="000000" w:sz="4"/>
                    <w:right w:val="single" w:color="000000" w:sz="4"/>
                  </w:tcBorders>
                </w:tcPr>
                <w:p/>
              </w:tc>
              <w:tc>
                <w:tcPr>
                  <w:tcW w:type="dxa" w:w="570"/>
                  <w:vMerge/>
                  <w:tcBorders>
                    <w:top w:val="none" w:color="000000" w:sz="4"/>
                    <w:left w:val="none" w:color="000000" w:sz="4"/>
                    <w:bottom w:val="single" w:color="000000" w:sz="4"/>
                    <w:right w:val="single" w:color="000000" w:sz="4"/>
                  </w:tcBorders>
                </w:tcPr>
                <w:p/>
              </w:tc>
              <w:tc>
                <w:tcPr>
                  <w:tcW w:type="dxa" w:w="254"/>
                  <w:vMerge/>
                  <w:tcBorders>
                    <w:top w:val="singl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主板</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BDH-ZB</w:t>
                  </w:r>
                </w:p>
              </w:tc>
            </w:tr>
            <w:tr>
              <w:tc>
                <w:tcPr>
                  <w:tcW w:type="dxa" w:w="224"/>
                  <w:vMerge/>
                  <w:tcBorders>
                    <w:top w:val="none" w:color="000000" w:sz="4"/>
                    <w:left w:val="single" w:color="000000" w:sz="4"/>
                    <w:bottom w:val="single" w:color="000000" w:sz="4"/>
                    <w:right w:val="single" w:color="000000" w:sz="4"/>
                  </w:tcBorders>
                </w:tcPr>
                <w:p/>
              </w:tc>
              <w:tc>
                <w:tcPr>
                  <w:tcW w:type="dxa" w:w="570"/>
                  <w:vMerge/>
                  <w:tcBorders>
                    <w:top w:val="none" w:color="000000" w:sz="4"/>
                    <w:left w:val="none" w:color="000000" w:sz="4"/>
                    <w:bottom w:val="single" w:color="000000" w:sz="4"/>
                    <w:right w:val="single" w:color="000000" w:sz="4"/>
                  </w:tcBorders>
                </w:tcPr>
                <w:p/>
              </w:tc>
              <w:tc>
                <w:tcPr>
                  <w:tcW w:type="dxa" w:w="254"/>
                  <w:vMerge/>
                  <w:tcBorders>
                    <w:top w:val="singl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信号板</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BDH-XHB</w:t>
                  </w:r>
                </w:p>
              </w:tc>
            </w:tr>
            <w:tr>
              <w:tc>
                <w:tcPr>
                  <w:tcW w:type="dxa" w:w="224"/>
                  <w:vMerge/>
                  <w:tcBorders>
                    <w:top w:val="none" w:color="000000" w:sz="4"/>
                    <w:left w:val="single" w:color="000000" w:sz="4"/>
                    <w:bottom w:val="single" w:color="000000" w:sz="4"/>
                    <w:right w:val="single" w:color="000000" w:sz="4"/>
                  </w:tcBorders>
                </w:tcPr>
                <w:p/>
              </w:tc>
              <w:tc>
                <w:tcPr>
                  <w:tcW w:type="dxa" w:w="570"/>
                  <w:vMerge/>
                  <w:tcBorders>
                    <w:top w:val="none" w:color="000000" w:sz="4"/>
                    <w:left w:val="none" w:color="000000" w:sz="4"/>
                    <w:bottom w:val="single" w:color="000000" w:sz="4"/>
                    <w:right w:val="single" w:color="000000" w:sz="4"/>
                  </w:tcBorders>
                </w:tcPr>
                <w:p/>
              </w:tc>
              <w:tc>
                <w:tcPr>
                  <w:tcW w:type="dxa" w:w="254"/>
                  <w:vMerge/>
                  <w:tcBorders>
                    <w:top w:val="singl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温控板</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BDH-WKB</w:t>
                  </w:r>
                </w:p>
              </w:tc>
            </w:tr>
            <w:tr>
              <w:tc>
                <w:tcPr>
                  <w:tcW w:type="dxa" w:w="224"/>
                  <w:vMerge/>
                  <w:tcBorders>
                    <w:top w:val="none" w:color="000000" w:sz="4"/>
                    <w:left w:val="single" w:color="000000" w:sz="4"/>
                    <w:bottom w:val="single" w:color="000000" w:sz="4"/>
                    <w:right w:val="single" w:color="000000" w:sz="4"/>
                  </w:tcBorders>
                </w:tcPr>
                <w:p/>
              </w:tc>
              <w:tc>
                <w:tcPr>
                  <w:tcW w:type="dxa" w:w="570"/>
                  <w:vMerge/>
                  <w:tcBorders>
                    <w:top w:val="none" w:color="000000" w:sz="4"/>
                    <w:left w:val="none" w:color="000000" w:sz="4"/>
                    <w:bottom w:val="single" w:color="000000" w:sz="4"/>
                    <w:right w:val="single" w:color="000000" w:sz="4"/>
                  </w:tcBorders>
                </w:tcPr>
                <w:p/>
              </w:tc>
              <w:tc>
                <w:tcPr>
                  <w:tcW w:type="dxa" w:w="254"/>
                  <w:vMerge/>
                  <w:tcBorders>
                    <w:top w:val="singl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光谱仪</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BDH-GPY</w:t>
                  </w:r>
                </w:p>
              </w:tc>
            </w:tr>
            <w:tr>
              <w:tc>
                <w:tcPr>
                  <w:tcW w:type="dxa" w:w="224"/>
                  <w:vMerge/>
                  <w:tcBorders>
                    <w:top w:val="none" w:color="000000" w:sz="4"/>
                    <w:left w:val="single" w:color="000000" w:sz="4"/>
                    <w:bottom w:val="single" w:color="000000" w:sz="4"/>
                    <w:right w:val="single" w:color="000000" w:sz="4"/>
                  </w:tcBorders>
                </w:tcPr>
                <w:p/>
              </w:tc>
              <w:tc>
                <w:tcPr>
                  <w:tcW w:type="dxa" w:w="570"/>
                  <w:vMerge/>
                  <w:tcBorders>
                    <w:top w:val="none" w:color="000000" w:sz="4"/>
                    <w:left w:val="none" w:color="000000" w:sz="4"/>
                    <w:bottom w:val="single" w:color="000000" w:sz="4"/>
                    <w:right w:val="single" w:color="000000" w:sz="4"/>
                  </w:tcBorders>
                </w:tcPr>
                <w:p/>
              </w:tc>
              <w:tc>
                <w:tcPr>
                  <w:tcW w:type="dxa" w:w="254"/>
                  <w:vMerge/>
                  <w:tcBorders>
                    <w:top w:val="singl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恒温空调</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宝龙定制</w:t>
                  </w:r>
                </w:p>
              </w:tc>
            </w:tr>
            <w:tr>
              <w:tc>
                <w:tcPr>
                  <w:tcW w:type="dxa" w:w="224"/>
                  <w:vMerge/>
                  <w:tcBorders>
                    <w:top w:val="none" w:color="000000" w:sz="4"/>
                    <w:left w:val="single" w:color="000000" w:sz="4"/>
                    <w:bottom w:val="single" w:color="000000" w:sz="4"/>
                    <w:right w:val="single" w:color="000000" w:sz="4"/>
                  </w:tcBorders>
                </w:tcPr>
                <w:p/>
              </w:tc>
              <w:tc>
                <w:tcPr>
                  <w:tcW w:type="dxa" w:w="570"/>
                  <w:vMerge/>
                  <w:tcBorders>
                    <w:top w:val="none" w:color="000000" w:sz="4"/>
                    <w:left w:val="none" w:color="000000" w:sz="4"/>
                    <w:bottom w:val="single" w:color="000000" w:sz="4"/>
                    <w:right w:val="single" w:color="000000" w:sz="4"/>
                  </w:tcBorders>
                </w:tcPr>
                <w:p/>
              </w:tc>
              <w:tc>
                <w:tcPr>
                  <w:tcW w:type="dxa" w:w="254"/>
                  <w:vMerge/>
                  <w:tcBorders>
                    <w:top w:val="singl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速度激光器</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BDH-SDJGQ</w:t>
                  </w:r>
                </w:p>
              </w:tc>
            </w:tr>
            <w:tr>
              <w:tc>
                <w:tcPr>
                  <w:tcW w:type="dxa" w:w="224"/>
                  <w:vMerge/>
                  <w:tcBorders>
                    <w:top w:val="none" w:color="000000" w:sz="4"/>
                    <w:left w:val="single" w:color="000000" w:sz="4"/>
                    <w:bottom w:val="single" w:color="000000" w:sz="4"/>
                    <w:right w:val="single" w:color="000000" w:sz="4"/>
                  </w:tcBorders>
                </w:tcPr>
                <w:p/>
              </w:tc>
              <w:tc>
                <w:tcPr>
                  <w:tcW w:type="dxa" w:w="570"/>
                  <w:vMerge/>
                  <w:tcBorders>
                    <w:top w:val="none" w:color="000000" w:sz="4"/>
                    <w:left w:val="none" w:color="000000" w:sz="4"/>
                    <w:bottom w:val="single" w:color="000000" w:sz="4"/>
                    <w:right w:val="single" w:color="000000" w:sz="4"/>
                  </w:tcBorders>
                </w:tcPr>
                <w:p/>
              </w:tc>
              <w:tc>
                <w:tcPr>
                  <w:tcW w:type="dxa" w:w="254"/>
                  <w:vMerge/>
                  <w:tcBorders>
                    <w:top w:val="singl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速度控制板</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BDH-SDKZB</w:t>
                  </w:r>
                </w:p>
              </w:tc>
            </w:tr>
            <w:tr>
              <w:tc>
                <w:tcPr>
                  <w:tcW w:type="dxa" w:w="224"/>
                  <w:vMerge/>
                  <w:tcBorders>
                    <w:top w:val="none" w:color="000000" w:sz="4"/>
                    <w:left w:val="single" w:color="000000" w:sz="4"/>
                    <w:bottom w:val="single" w:color="000000" w:sz="4"/>
                    <w:right w:val="single" w:color="000000" w:sz="4"/>
                  </w:tcBorders>
                </w:tcPr>
                <w:p/>
              </w:tc>
              <w:tc>
                <w:tcPr>
                  <w:tcW w:type="dxa" w:w="570"/>
                  <w:vMerge/>
                  <w:tcBorders>
                    <w:top w:val="none" w:color="000000" w:sz="4"/>
                    <w:left w:val="none" w:color="000000" w:sz="4"/>
                    <w:bottom w:val="single" w:color="000000" w:sz="4"/>
                    <w:right w:val="single" w:color="000000" w:sz="4"/>
                  </w:tcBorders>
                </w:tcPr>
                <w:p/>
              </w:tc>
              <w:tc>
                <w:tcPr>
                  <w:tcW w:type="dxa" w:w="254"/>
                  <w:vMerge/>
                  <w:tcBorders>
                    <w:top w:val="singl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电磁阀</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宝龙定制</w:t>
                  </w:r>
                </w:p>
              </w:tc>
            </w:tr>
            <w:tr>
              <w:tc>
                <w:tcPr>
                  <w:tcW w:type="dxa" w:w="224"/>
                  <w:vMerge/>
                  <w:tcBorders>
                    <w:top w:val="none" w:color="000000" w:sz="4"/>
                    <w:left w:val="single" w:color="000000" w:sz="4"/>
                    <w:bottom w:val="single" w:color="000000" w:sz="4"/>
                    <w:right w:val="single" w:color="000000" w:sz="4"/>
                  </w:tcBorders>
                </w:tcPr>
                <w:p/>
              </w:tc>
              <w:tc>
                <w:tcPr>
                  <w:tcW w:type="dxa" w:w="570"/>
                  <w:vMerge/>
                  <w:tcBorders>
                    <w:top w:val="none" w:color="000000" w:sz="4"/>
                    <w:left w:val="none" w:color="000000" w:sz="4"/>
                    <w:bottom w:val="single" w:color="000000" w:sz="4"/>
                    <w:right w:val="single" w:color="000000" w:sz="4"/>
                  </w:tcBorders>
                </w:tcPr>
                <w:p/>
              </w:tc>
              <w:tc>
                <w:tcPr>
                  <w:tcW w:type="dxa" w:w="254"/>
                  <w:vMerge/>
                  <w:tcBorders>
                    <w:top w:val="singl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交换机</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TP-LINK</w:t>
                  </w:r>
                </w:p>
              </w:tc>
            </w:tr>
            <w:tr>
              <w:tc>
                <w:tcPr>
                  <w:tcW w:type="dxa" w:w="224"/>
                  <w:vMerge/>
                  <w:tcBorders>
                    <w:top w:val="none" w:color="000000" w:sz="4"/>
                    <w:left w:val="single" w:color="000000" w:sz="4"/>
                    <w:bottom w:val="single" w:color="000000" w:sz="4"/>
                    <w:right w:val="single" w:color="000000" w:sz="4"/>
                  </w:tcBorders>
                </w:tcPr>
                <w:p/>
              </w:tc>
              <w:tc>
                <w:tcPr>
                  <w:tcW w:type="dxa" w:w="570"/>
                  <w:vMerge/>
                  <w:tcBorders>
                    <w:top w:val="none" w:color="000000" w:sz="4"/>
                    <w:left w:val="none" w:color="000000" w:sz="4"/>
                    <w:bottom w:val="single" w:color="000000" w:sz="4"/>
                    <w:right w:val="single" w:color="000000" w:sz="4"/>
                  </w:tcBorders>
                </w:tcPr>
                <w:p/>
              </w:tc>
              <w:tc>
                <w:tcPr>
                  <w:tcW w:type="dxa" w:w="254"/>
                  <w:vMerge/>
                  <w:tcBorders>
                    <w:top w:val="singl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压力表</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宝龙定制</w:t>
                  </w:r>
                </w:p>
              </w:tc>
            </w:tr>
            <w:tr>
              <w:tc>
                <w:tcPr>
                  <w:tcW w:type="dxa" w:w="2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5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黑烟车智能识别系统（含</w:t>
                  </w:r>
                  <w:r>
                    <w:rPr>
                      <w:rFonts w:ascii="仿宋_GB2312" w:hAnsi="仿宋_GB2312" w:cs="仿宋_GB2312" w:eastAsia="仿宋_GB2312"/>
                      <w:sz w:val="24"/>
                    </w:rPr>
                    <w:t>4个独立黑烟车智能识别系统）</w:t>
                  </w:r>
                </w:p>
              </w:tc>
              <w:tc>
                <w:tcPr>
                  <w:tcW w:type="dxa" w:w="2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BLH-1000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工控机</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IPC-610L</w:t>
                  </w:r>
                </w:p>
              </w:tc>
              <w:tc>
                <w:tcPr>
                  <w:tcW w:type="dxa" w:w="16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本年运维需更换摄像机</w:t>
                  </w:r>
                  <w:r>
                    <w:rPr>
                      <w:rFonts w:ascii="仿宋_GB2312" w:hAnsi="仿宋_GB2312" w:cs="仿宋_GB2312" w:eastAsia="仿宋_GB2312"/>
                      <w:sz w:val="24"/>
                    </w:rPr>
                    <w:t>10台；补光灯30台；硬盘录像机5台；工控机4台。</w:t>
                  </w:r>
                </w:p>
              </w:tc>
            </w:tr>
            <w:tr>
              <w:tc>
                <w:tcPr>
                  <w:tcW w:type="dxa" w:w="224"/>
                  <w:vMerge/>
                  <w:tcBorders>
                    <w:top w:val="none" w:color="000000" w:sz="4"/>
                    <w:left w:val="single" w:color="000000" w:sz="4"/>
                    <w:bottom w:val="single" w:color="000000" w:sz="4"/>
                    <w:right w:val="single" w:color="000000" w:sz="4"/>
                  </w:tcBorders>
                </w:tcPr>
                <w:p/>
              </w:tc>
              <w:tc>
                <w:tcPr>
                  <w:tcW w:type="dxa" w:w="570"/>
                  <w:vMerge/>
                  <w:tcBorders>
                    <w:top w:val="none" w:color="000000" w:sz="4"/>
                    <w:left w:val="none" w:color="000000" w:sz="4"/>
                    <w:bottom w:val="single" w:color="000000" w:sz="4"/>
                    <w:right w:val="single" w:color="000000" w:sz="4"/>
                  </w:tcBorders>
                </w:tcPr>
                <w:p/>
              </w:tc>
              <w:tc>
                <w:tcPr>
                  <w:tcW w:type="dxa" w:w="254"/>
                  <w:vMerge/>
                  <w:tcBorders>
                    <w:top w:val="non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硬盘录像机</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DS-7708</w:t>
                  </w:r>
                </w:p>
              </w:tc>
              <w:tc>
                <w:tcPr>
                  <w:tcW w:type="dxa" w:w="16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r>
            <w:tr>
              <w:tc>
                <w:tcPr>
                  <w:tcW w:type="dxa" w:w="224"/>
                  <w:vMerge/>
                  <w:tcBorders>
                    <w:top w:val="none" w:color="000000" w:sz="4"/>
                    <w:left w:val="single" w:color="000000" w:sz="4"/>
                    <w:bottom w:val="single" w:color="000000" w:sz="4"/>
                    <w:right w:val="single" w:color="000000" w:sz="4"/>
                  </w:tcBorders>
                </w:tcPr>
                <w:p/>
              </w:tc>
              <w:tc>
                <w:tcPr>
                  <w:tcW w:type="dxa" w:w="570"/>
                  <w:vMerge/>
                  <w:tcBorders>
                    <w:top w:val="none" w:color="000000" w:sz="4"/>
                    <w:left w:val="none" w:color="000000" w:sz="4"/>
                    <w:bottom w:val="single" w:color="000000" w:sz="4"/>
                    <w:right w:val="single" w:color="000000" w:sz="4"/>
                  </w:tcBorders>
                </w:tcPr>
                <w:p/>
              </w:tc>
              <w:tc>
                <w:tcPr>
                  <w:tcW w:type="dxa" w:w="254"/>
                  <w:vMerge/>
                  <w:tcBorders>
                    <w:top w:val="non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摄像机</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900万</w:t>
                  </w:r>
                </w:p>
              </w:tc>
              <w:tc>
                <w:tcPr>
                  <w:tcW w:type="dxa" w:w="16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r>
            <w:tr>
              <w:tc>
                <w:tcPr>
                  <w:tcW w:type="dxa" w:w="224"/>
                  <w:vMerge/>
                  <w:tcBorders>
                    <w:top w:val="none" w:color="000000" w:sz="4"/>
                    <w:left w:val="single" w:color="000000" w:sz="4"/>
                    <w:bottom w:val="single" w:color="000000" w:sz="4"/>
                    <w:right w:val="single" w:color="000000" w:sz="4"/>
                  </w:tcBorders>
                </w:tcPr>
                <w:p/>
              </w:tc>
              <w:tc>
                <w:tcPr>
                  <w:tcW w:type="dxa" w:w="570"/>
                  <w:vMerge/>
                  <w:tcBorders>
                    <w:top w:val="none" w:color="000000" w:sz="4"/>
                    <w:left w:val="none" w:color="000000" w:sz="4"/>
                    <w:bottom w:val="single" w:color="000000" w:sz="4"/>
                    <w:right w:val="single" w:color="000000" w:sz="4"/>
                  </w:tcBorders>
                </w:tcPr>
                <w:p/>
              </w:tc>
              <w:tc>
                <w:tcPr>
                  <w:tcW w:type="dxa" w:w="254"/>
                  <w:vMerge/>
                  <w:tcBorders>
                    <w:top w:val="non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补光灯</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CXBG</w:t>
                  </w:r>
                </w:p>
              </w:tc>
              <w:tc>
                <w:tcPr>
                  <w:tcW w:type="dxa" w:w="16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r>
            <w:tr>
              <w:tc>
                <w:tcPr>
                  <w:tcW w:type="dxa" w:w="224"/>
                  <w:vMerge/>
                  <w:tcBorders>
                    <w:top w:val="none" w:color="000000" w:sz="4"/>
                    <w:left w:val="single" w:color="000000" w:sz="4"/>
                    <w:bottom w:val="single" w:color="000000" w:sz="4"/>
                    <w:right w:val="single" w:color="000000" w:sz="4"/>
                  </w:tcBorders>
                </w:tcPr>
                <w:p/>
              </w:tc>
              <w:tc>
                <w:tcPr>
                  <w:tcW w:type="dxa" w:w="570"/>
                  <w:vMerge/>
                  <w:tcBorders>
                    <w:top w:val="none" w:color="000000" w:sz="4"/>
                    <w:left w:val="none" w:color="000000" w:sz="4"/>
                    <w:bottom w:val="single" w:color="000000" w:sz="4"/>
                    <w:right w:val="single" w:color="000000" w:sz="4"/>
                  </w:tcBorders>
                </w:tcPr>
                <w:p/>
              </w:tc>
              <w:tc>
                <w:tcPr>
                  <w:tcW w:type="dxa" w:w="2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后端服务器维护服务</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数据服务器</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2488HV5</w:t>
                  </w:r>
                </w:p>
              </w:tc>
              <w:tc>
                <w:tcPr>
                  <w:tcW w:type="dxa" w:w="16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4"/>
                  <w:vMerge/>
                  <w:tcBorders>
                    <w:top w:val="none" w:color="000000" w:sz="4"/>
                    <w:left w:val="single" w:color="000000" w:sz="4"/>
                    <w:bottom w:val="single" w:color="000000" w:sz="4"/>
                    <w:right w:val="single" w:color="000000" w:sz="4"/>
                  </w:tcBorders>
                </w:tcPr>
                <w:p/>
              </w:tc>
              <w:tc>
                <w:tcPr>
                  <w:tcW w:type="dxa" w:w="570"/>
                  <w:vMerge/>
                  <w:tcBorders>
                    <w:top w:val="none" w:color="000000" w:sz="4"/>
                    <w:left w:val="none" w:color="000000" w:sz="4"/>
                    <w:bottom w:val="single" w:color="000000" w:sz="4"/>
                    <w:right w:val="single" w:color="000000" w:sz="4"/>
                  </w:tcBorders>
                </w:tcPr>
                <w:p/>
              </w:tc>
              <w:tc>
                <w:tcPr>
                  <w:tcW w:type="dxa" w:w="254"/>
                  <w:vMerge/>
                  <w:tcBorders>
                    <w:top w:val="non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云平台</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w:t>
                  </w:r>
                </w:p>
              </w:tc>
              <w:tc>
                <w:tcPr>
                  <w:tcW w:type="dxa" w:w="16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4"/>
                  <w:vMerge/>
                  <w:tcBorders>
                    <w:top w:val="none" w:color="000000" w:sz="4"/>
                    <w:left w:val="single" w:color="000000" w:sz="4"/>
                    <w:bottom w:val="single" w:color="000000" w:sz="4"/>
                    <w:right w:val="single" w:color="000000" w:sz="4"/>
                  </w:tcBorders>
                </w:tcPr>
                <w:p/>
              </w:tc>
              <w:tc>
                <w:tcPr>
                  <w:tcW w:type="dxa" w:w="570"/>
                  <w:vMerge/>
                  <w:tcBorders>
                    <w:top w:val="none" w:color="000000" w:sz="4"/>
                    <w:left w:val="none" w:color="000000" w:sz="4"/>
                    <w:bottom w:val="single" w:color="000000" w:sz="4"/>
                    <w:right w:val="single" w:color="000000" w:sz="4"/>
                  </w:tcBorders>
                </w:tcPr>
                <w:p/>
              </w:tc>
              <w:tc>
                <w:tcPr>
                  <w:tcW w:type="dxa" w:w="254"/>
                  <w:vMerge/>
                  <w:tcBorders>
                    <w:top w:val="non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核心交换机</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QuidayS7706</w:t>
                  </w:r>
                </w:p>
              </w:tc>
              <w:tc>
                <w:tcPr>
                  <w:tcW w:type="dxa" w:w="16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4"/>
                  <w:vMerge/>
                  <w:tcBorders>
                    <w:top w:val="none" w:color="000000" w:sz="4"/>
                    <w:left w:val="single" w:color="000000" w:sz="4"/>
                    <w:bottom w:val="single" w:color="000000" w:sz="4"/>
                    <w:right w:val="single" w:color="000000" w:sz="4"/>
                  </w:tcBorders>
                </w:tcPr>
                <w:p/>
              </w:tc>
              <w:tc>
                <w:tcPr>
                  <w:tcW w:type="dxa" w:w="570"/>
                  <w:vMerge/>
                  <w:tcBorders>
                    <w:top w:val="none" w:color="000000" w:sz="4"/>
                    <w:left w:val="none" w:color="000000" w:sz="4"/>
                    <w:bottom w:val="single" w:color="000000" w:sz="4"/>
                    <w:right w:val="single" w:color="000000" w:sz="4"/>
                  </w:tcBorders>
                </w:tcPr>
                <w:p/>
              </w:tc>
              <w:tc>
                <w:tcPr>
                  <w:tcW w:type="dxa" w:w="254"/>
                  <w:vMerge/>
                  <w:tcBorders>
                    <w:top w:val="non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汇聚光纤交换机</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CloudEngine S6735-S24x6c</w:t>
                  </w:r>
                </w:p>
              </w:tc>
              <w:tc>
                <w:tcPr>
                  <w:tcW w:type="dxa" w:w="16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4"/>
                  <w:vMerge/>
                  <w:tcBorders>
                    <w:top w:val="none" w:color="000000" w:sz="4"/>
                    <w:left w:val="single" w:color="000000" w:sz="4"/>
                    <w:bottom w:val="single" w:color="000000" w:sz="4"/>
                    <w:right w:val="single" w:color="000000" w:sz="4"/>
                  </w:tcBorders>
                </w:tcPr>
                <w:p/>
              </w:tc>
              <w:tc>
                <w:tcPr>
                  <w:tcW w:type="dxa" w:w="570"/>
                  <w:vMerge/>
                  <w:tcBorders>
                    <w:top w:val="none" w:color="000000" w:sz="4"/>
                    <w:left w:val="none" w:color="000000" w:sz="4"/>
                    <w:bottom w:val="single" w:color="000000" w:sz="4"/>
                    <w:right w:val="single" w:color="000000" w:sz="4"/>
                  </w:tcBorders>
                </w:tcPr>
                <w:p/>
              </w:tc>
              <w:tc>
                <w:tcPr>
                  <w:tcW w:type="dxa" w:w="254"/>
                  <w:vMerge/>
                  <w:tcBorders>
                    <w:top w:val="non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防火墙维</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PowerV600-F3510E</w:t>
                  </w:r>
                </w:p>
              </w:tc>
              <w:tc>
                <w:tcPr>
                  <w:tcW w:type="dxa" w:w="16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4"/>
                  <w:vMerge/>
                  <w:tcBorders>
                    <w:top w:val="none" w:color="000000" w:sz="4"/>
                    <w:left w:val="single" w:color="000000" w:sz="4"/>
                    <w:bottom w:val="single" w:color="000000" w:sz="4"/>
                    <w:right w:val="single" w:color="000000" w:sz="4"/>
                  </w:tcBorders>
                </w:tcPr>
                <w:p/>
              </w:tc>
              <w:tc>
                <w:tcPr>
                  <w:tcW w:type="dxa" w:w="570"/>
                  <w:vMerge/>
                  <w:tcBorders>
                    <w:top w:val="none" w:color="000000" w:sz="4"/>
                    <w:left w:val="none" w:color="000000" w:sz="4"/>
                    <w:bottom w:val="single" w:color="000000" w:sz="4"/>
                    <w:right w:val="single" w:color="000000" w:sz="4"/>
                  </w:tcBorders>
                </w:tcPr>
                <w:p/>
              </w:tc>
              <w:tc>
                <w:tcPr>
                  <w:tcW w:type="dxa" w:w="254"/>
                  <w:vMerge/>
                  <w:tcBorders>
                    <w:top w:val="non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磁盘阵列</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OceanSt or 6810 V5</w:t>
                  </w:r>
                </w:p>
              </w:tc>
              <w:tc>
                <w:tcPr>
                  <w:tcW w:type="dxa" w:w="16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2318"/>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易损件</w:t>
                  </w:r>
                </w:p>
              </w:tc>
            </w:tr>
            <w:tr>
              <w:tc>
                <w:tcPr>
                  <w:tcW w:type="dxa" w:w="2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5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固定式机动车尾气遥感监测系统</w:t>
                  </w:r>
                </w:p>
              </w:tc>
              <w:tc>
                <w:tcPr>
                  <w:tcW w:type="dxa" w:w="25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BDH-1ZG</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设备标气（</w:t>
                  </w:r>
                  <w:r>
                    <w:rPr>
                      <w:rFonts w:ascii="仿宋_GB2312" w:hAnsi="仿宋_GB2312" w:cs="仿宋_GB2312" w:eastAsia="仿宋_GB2312"/>
                      <w:sz w:val="24"/>
                    </w:rPr>
                    <w:t>2瓶，）</w:t>
                  </w:r>
                </w:p>
              </w:tc>
              <w:tc>
                <w:tcPr>
                  <w:tcW w:type="dxa" w:w="35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NO\CO2</w:t>
                  </w:r>
                </w:p>
              </w:tc>
              <w:tc>
                <w:tcPr>
                  <w:tcW w:type="dxa" w:w="163"/>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2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本年运维需更换设备标气（</w:t>
                  </w:r>
                  <w:r>
                    <w:rPr>
                      <w:rFonts w:ascii="仿宋_GB2312" w:hAnsi="仿宋_GB2312" w:cs="仿宋_GB2312" w:eastAsia="仿宋_GB2312"/>
                      <w:sz w:val="24"/>
                    </w:rPr>
                    <w:t>2瓶），紫外氘灯两次，氘灯控制板一次。</w:t>
                  </w:r>
                </w:p>
              </w:tc>
            </w:tr>
            <w:tr>
              <w:tc>
                <w:tcPr>
                  <w:tcW w:type="dxa" w:w="224"/>
                  <w:vMerge/>
                  <w:tcBorders>
                    <w:top w:val="none" w:color="000000" w:sz="4"/>
                    <w:left w:val="single" w:color="000000" w:sz="4"/>
                    <w:bottom w:val="single" w:color="000000" w:sz="4"/>
                    <w:right w:val="single" w:color="000000" w:sz="4"/>
                  </w:tcBorders>
                </w:tcPr>
                <w:p/>
              </w:tc>
              <w:tc>
                <w:tcPr>
                  <w:tcW w:type="dxa" w:w="570"/>
                  <w:vMerge/>
                  <w:tcBorders>
                    <w:top w:val="none" w:color="000000" w:sz="4"/>
                    <w:left w:val="none" w:color="000000" w:sz="4"/>
                    <w:bottom w:val="single" w:color="000000" w:sz="4"/>
                    <w:right w:val="single" w:color="000000" w:sz="4"/>
                  </w:tcBorders>
                </w:tcPr>
                <w:p/>
              </w:tc>
              <w:tc>
                <w:tcPr>
                  <w:tcW w:type="dxa" w:w="254"/>
                  <w:vMerge/>
                  <w:tcBorders>
                    <w:top w:val="singl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紫外氘灯</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L6302</w:t>
                  </w:r>
                </w:p>
              </w:tc>
            </w:tr>
            <w:tr>
              <w:tc>
                <w:tcPr>
                  <w:tcW w:type="dxa" w:w="224"/>
                  <w:vMerge/>
                  <w:tcBorders>
                    <w:top w:val="none" w:color="000000" w:sz="4"/>
                    <w:left w:val="single" w:color="000000" w:sz="4"/>
                    <w:bottom w:val="single" w:color="000000" w:sz="4"/>
                    <w:right w:val="single" w:color="000000" w:sz="4"/>
                  </w:tcBorders>
                </w:tcPr>
                <w:p/>
              </w:tc>
              <w:tc>
                <w:tcPr>
                  <w:tcW w:type="dxa" w:w="570"/>
                  <w:vMerge/>
                  <w:tcBorders>
                    <w:top w:val="none" w:color="000000" w:sz="4"/>
                    <w:left w:val="none" w:color="000000" w:sz="4"/>
                    <w:bottom w:val="single" w:color="000000" w:sz="4"/>
                    <w:right w:val="single" w:color="000000" w:sz="4"/>
                  </w:tcBorders>
                </w:tcPr>
                <w:p/>
              </w:tc>
              <w:tc>
                <w:tcPr>
                  <w:tcW w:type="dxa" w:w="254"/>
                  <w:vMerge/>
                  <w:tcBorders>
                    <w:top w:val="singl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氘灯控制板</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宝龙定制</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黑烟车智能识别系统</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BLH-1000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相机清洗</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维护</w:t>
                  </w:r>
                </w:p>
              </w:tc>
              <w:tc>
                <w:tcPr>
                  <w:tcW w:type="dxa" w:w="16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r>
                    <w:rPr>
                      <w:rFonts w:ascii="仿宋_GB2312" w:hAnsi="仿宋_GB2312" w:cs="仿宋_GB2312" w:eastAsia="仿宋_GB2312"/>
                      <w:sz w:val="24"/>
                    </w:rPr>
                    <w:t>/次</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相机清洗两次</w:t>
                  </w:r>
                  <w:r>
                    <w:rPr>
                      <w:rFonts w:ascii="仿宋_GB2312" w:hAnsi="仿宋_GB2312" w:cs="仿宋_GB2312" w:eastAsia="仿宋_GB2312"/>
                      <w:sz w:val="24"/>
                    </w:rPr>
                    <w:t>,含升降车。</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2318"/>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网费</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固定式机动车尾气遥感监测系统（含</w:t>
                  </w:r>
                  <w:r>
                    <w:rPr>
                      <w:rFonts w:ascii="仿宋_GB2312" w:hAnsi="仿宋_GB2312" w:cs="仿宋_GB2312" w:eastAsia="仿宋_GB2312"/>
                      <w:sz w:val="24"/>
                    </w:rPr>
                    <w:t>4个独立黑烟车智能识别系统）</w:t>
                  </w:r>
                </w:p>
              </w:tc>
              <w:tc>
                <w:tcPr>
                  <w:tcW w:type="dxa" w:w="742"/>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电信环保专网</w:t>
                  </w:r>
                </w:p>
              </w:tc>
              <w:tc>
                <w:tcPr>
                  <w:tcW w:type="dxa" w:w="338"/>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网络带宽要求：环保专网。</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2318"/>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电费</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固定式机动车尾气遥感监测系统（含黑烟车智能识别系统）</w:t>
                  </w:r>
                </w:p>
              </w:tc>
              <w:tc>
                <w:tcPr>
                  <w:tcW w:type="dxa" w:w="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2500W</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24小时不间断运行</w:t>
                  </w:r>
                </w:p>
              </w:tc>
              <w:tc>
                <w:tcPr>
                  <w:tcW w:type="dxa" w:w="35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2500W</w:t>
                  </w:r>
                </w:p>
              </w:tc>
              <w:tc>
                <w:tcPr>
                  <w:tcW w:type="dxa" w:w="163"/>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黑烟车智能识别系统（独立）</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24小时不间断运行</w:t>
                  </w:r>
                </w:p>
              </w:tc>
              <w:tc>
                <w:tcPr>
                  <w:tcW w:type="dxa" w:w="3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w:t>
                  </w:r>
                </w:p>
              </w:tc>
              <w:tc>
                <w:tcPr>
                  <w:tcW w:type="dxa" w:w="16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2318"/>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软件维护升级</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固定式机动车尾气遥感监测系统升级维护服务</w:t>
                  </w:r>
                </w:p>
              </w:tc>
              <w:tc>
                <w:tcPr>
                  <w:tcW w:type="dxa" w:w="925"/>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遥感软件系统维护及升级</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1年2次升级4次</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黑烟车智能识别系统（独立）升级维护服务</w:t>
                  </w:r>
                </w:p>
              </w:tc>
              <w:tc>
                <w:tcPr>
                  <w:tcW w:type="dxa" w:w="925"/>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黑烟车软件系统维护及升级</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1年2次升级4次</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2318"/>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设备校准</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固定式机动车尾气遥感监测系统设备计量校准费用</w:t>
                  </w:r>
                </w:p>
              </w:tc>
              <w:tc>
                <w:tcPr>
                  <w:tcW w:type="dxa" w:w="921"/>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黑烟车智能识别系统计量校准费用</w:t>
                  </w:r>
                </w:p>
              </w:tc>
              <w:tc>
                <w:tcPr>
                  <w:tcW w:type="dxa" w:w="921"/>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2318"/>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特殊情况</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特殊情况（保险）</w:t>
                  </w:r>
                </w:p>
              </w:tc>
              <w:tc>
                <w:tcPr>
                  <w:tcW w:type="dxa" w:w="921"/>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当发生设备被撞或被盗，无法找到责任人或责任人无赔偿能力，以及被自然因素破坏等情况时，设备运维服务单位无偿按照不低于原设备功能、参数的要求进行恢复。</w:t>
                  </w:r>
                </w:p>
              </w:tc>
              <w:tc>
                <w:tcPr>
                  <w:tcW w:type="dxa" w:w="15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8"/>
                <w:b/>
              </w:rPr>
              <w:t>（二）机动车尾气遥感监测系统搬迁</w:t>
            </w:r>
          </w:p>
          <w:tbl>
            <w:tblPr>
              <w:tblInd w:type="dxa" w:w="90"/>
              <w:tblBorders>
                <w:top w:val="none" w:color="000000" w:sz="4"/>
                <w:left w:val="none" w:color="000000" w:sz="4"/>
                <w:bottom w:val="none" w:color="000000" w:sz="4"/>
                <w:right w:val="none" w:color="000000" w:sz="4"/>
                <w:insideH w:val="none"/>
                <w:insideV w:val="none"/>
              </w:tblBorders>
            </w:tblPr>
            <w:tblGrid>
              <w:gridCol w:w="193"/>
              <w:gridCol w:w="1073"/>
              <w:gridCol w:w="817"/>
              <w:gridCol w:w="103"/>
              <w:gridCol w:w="182"/>
              <w:gridCol w:w="177"/>
            </w:tblGrid>
            <w:tr>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0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名称及项目特征</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工作内容</w:t>
                  </w:r>
                </w:p>
              </w:tc>
              <w:tc>
                <w:tcPr>
                  <w:tcW w:type="dxa" w:w="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工程量</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一</w:t>
                  </w:r>
                </w:p>
              </w:tc>
              <w:tc>
                <w:tcPr>
                  <w:tcW w:type="dxa" w:w="235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新装点位土建施工</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235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新装点位勘察</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现场施工放线定位，电网线路勘察</w:t>
                  </w:r>
                </w:p>
              </w:tc>
              <w:tc>
                <w:tcPr>
                  <w:tcW w:type="dxa" w:w="817"/>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含新点位现场勘察；周边建（构）筑物、地下管线及重要设施进行全面排查；现场施工放线定位，电网线路勘察；施工现场施工围挡设施，基础人工配合机械开挖，现场渣土垃圾清理运输。</w:t>
                  </w:r>
                </w:p>
              </w:tc>
              <w:tc>
                <w:tcPr>
                  <w:tcW w:type="dxa" w:w="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周边建（构）筑物、地下管线及重要设施进行全面排查</w:t>
                  </w:r>
                </w:p>
              </w:tc>
              <w:tc>
                <w:tcPr>
                  <w:tcW w:type="dxa" w:w="817"/>
                  <w:vMerge/>
                  <w:tcBorders>
                    <w:top w:val="single" w:color="000000" w:sz="4"/>
                    <w:left w:val="none" w:color="000000" w:sz="4"/>
                    <w:bottom w:val="none" w:color="000000" w:sz="4"/>
                    <w:right w:val="single" w:color="000000" w:sz="4"/>
                  </w:tcBorders>
                </w:tcP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235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立杆及设备柜基础开挖</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开挖点位围挡警示</w:t>
                  </w:r>
                </w:p>
              </w:tc>
              <w:tc>
                <w:tcPr>
                  <w:tcW w:type="dxa" w:w="817"/>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含新点位现场勘察；周边建（构）筑物、地下管线及重要设施进行全面排查；现场施工放线定位，电网线路勘察；施工现场施工围挡设施，基础人工配合机械开挖，现场渣土垃圾清理运输。</w:t>
                  </w:r>
                </w:p>
              </w:tc>
              <w:tc>
                <w:tcPr>
                  <w:tcW w:type="dxa" w:w="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人工配合机械开挖</w:t>
                  </w:r>
                </w:p>
              </w:tc>
              <w:tc>
                <w:tcPr>
                  <w:tcW w:type="dxa" w:w="817"/>
                  <w:vMerge/>
                  <w:tcBorders>
                    <w:top w:val="single" w:color="000000" w:sz="4"/>
                    <w:left w:val="none" w:color="000000" w:sz="4"/>
                    <w:bottom w:val="none" w:color="000000" w:sz="4"/>
                    <w:right w:val="single" w:color="000000" w:sz="4"/>
                  </w:tcBorders>
                </w:tcP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现场垃圾及渣土清理运输</w:t>
                  </w:r>
                </w:p>
              </w:tc>
              <w:tc>
                <w:tcPr>
                  <w:tcW w:type="dxa" w:w="817"/>
                  <w:vMerge/>
                  <w:tcBorders>
                    <w:top w:val="single" w:color="000000" w:sz="4"/>
                    <w:left w:val="none" w:color="000000" w:sz="4"/>
                    <w:bottom w:val="none" w:color="000000" w:sz="4"/>
                    <w:right w:val="single" w:color="000000" w:sz="4"/>
                  </w:tcBorders>
                </w:tcP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235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基础混凝土浇筑</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L杆、F杆地脚螺栓预埋支架接地实施采购安装</w:t>
                  </w:r>
                </w:p>
              </w:tc>
              <w:tc>
                <w:tcPr>
                  <w:tcW w:type="dxa" w:w="817"/>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含机柜专用预埋件、</w:t>
                  </w:r>
                  <w:r>
                    <w:rPr>
                      <w:rFonts w:ascii="仿宋_GB2312" w:hAnsi="仿宋_GB2312" w:cs="仿宋_GB2312" w:eastAsia="仿宋_GB2312"/>
                      <w:sz w:val="24"/>
                    </w:rPr>
                    <w:t>L、F 杆基础预埋件（钢板、地脚螺栓、螺母、垫片等全套配件）；含预埋件定位、安装、固定辅工；含定制化 L、F 型监测杆（含杆体、法兰盘、检修口）、杆体防腐处理、配件；C30 商品混凝土（含运输、泵送、浇筑、养护）；含混凝土浇筑前基础基坑整平、夯实辅工。</w:t>
                  </w:r>
                </w:p>
              </w:tc>
              <w:tc>
                <w:tcPr>
                  <w:tcW w:type="dxa" w:w="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大、小机柜不锈钢基座预埋件采购及安装</w:t>
                  </w:r>
                </w:p>
              </w:tc>
              <w:tc>
                <w:tcPr>
                  <w:tcW w:type="dxa" w:w="817"/>
                  <w:vMerge/>
                  <w:tcBorders>
                    <w:top w:val="single" w:color="000000" w:sz="4"/>
                    <w:left w:val="none" w:color="000000" w:sz="4"/>
                    <w:bottom w:val="none" w:color="000000" w:sz="4"/>
                    <w:right w:val="single" w:color="000000" w:sz="4"/>
                  </w:tcBorders>
                </w:tcP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C30商品混凝土采购浇筑施工</w:t>
                  </w:r>
                </w:p>
              </w:tc>
              <w:tc>
                <w:tcPr>
                  <w:tcW w:type="dxa" w:w="817"/>
                  <w:vMerge/>
                  <w:tcBorders>
                    <w:top w:val="single" w:color="000000" w:sz="4"/>
                    <w:left w:val="none" w:color="000000" w:sz="4"/>
                    <w:bottom w:val="none" w:color="000000" w:sz="4"/>
                    <w:right w:val="single" w:color="000000" w:sz="4"/>
                  </w:tcBorders>
                </w:tcP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235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检查井</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L杆、F杆、大小设备柜处及沿路设置检查井（400*500砖砌、粉刷、配套铸铁井盖）</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L、F杆、大小机柜及管路沿途设置检查井</w:t>
                  </w:r>
                </w:p>
              </w:tc>
              <w:tc>
                <w:tcPr>
                  <w:tcW w:type="dxa" w:w="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二</w:t>
                  </w:r>
                </w:p>
              </w:tc>
              <w:tc>
                <w:tcPr>
                  <w:tcW w:type="dxa" w:w="235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原设备拆除</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235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L杆、F杆及监测设备拆除</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杆上设备设施拆除，辅助机械升降机</w:t>
                  </w:r>
                </w:p>
              </w:tc>
              <w:tc>
                <w:tcPr>
                  <w:tcW w:type="dxa" w:w="817"/>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尾气遥感监测主机、传感器、摄像头、显示屏等全套原设备拆除；含设备拆除后打包、防护、现场临时堆放；含拆除后管线断点封堵、安全防护，垃圾清除：施工建筑垃圾（混凝土废渣、包装废料、旧管线等）、设备拆除废料清理、运输至指定建筑垃圾消纳场；现场恢复：施工区域地面整平、硬化修复、围挡拆除、场地清洁；绿化恢复：施工临时占用区域的地表复原（不含苗木移栽</w:t>
                  </w:r>
                  <w:r>
                    <w:rPr>
                      <w:rFonts w:ascii="仿宋_GB2312" w:hAnsi="仿宋_GB2312" w:cs="仿宋_GB2312" w:eastAsia="仿宋_GB2312"/>
                      <w:sz w:val="24"/>
                    </w:rPr>
                    <w:t>/补种，属未含费用）</w:t>
                  </w:r>
                </w:p>
              </w:tc>
              <w:tc>
                <w:tcPr>
                  <w:tcW w:type="dxa" w:w="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台班</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L杆、F杆、大小设备柜柜拆除，辅助机械，8T随车吊</w:t>
                  </w:r>
                </w:p>
              </w:tc>
              <w:tc>
                <w:tcPr>
                  <w:tcW w:type="dxa" w:w="817"/>
                  <w:vMerge/>
                  <w:tcBorders>
                    <w:top w:val="single" w:color="000000" w:sz="4"/>
                    <w:left w:val="none" w:color="000000" w:sz="4"/>
                    <w:bottom w:val="none" w:color="000000" w:sz="4"/>
                    <w:right w:val="single" w:color="000000" w:sz="4"/>
                  </w:tcBorders>
                </w:tcP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台班</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原设备打包运输，辅助机械，箱式</w:t>
                  </w:r>
                  <w:r>
                    <w:rPr>
                      <w:rFonts w:ascii="仿宋_GB2312" w:hAnsi="仿宋_GB2312" w:cs="仿宋_GB2312" w:eastAsia="仿宋_GB2312"/>
                      <w:sz w:val="24"/>
                    </w:rPr>
                    <w:t>4.8米货拉拉</w:t>
                  </w:r>
                </w:p>
              </w:tc>
              <w:tc>
                <w:tcPr>
                  <w:tcW w:type="dxa" w:w="817"/>
                  <w:vMerge/>
                  <w:tcBorders>
                    <w:top w:val="single" w:color="000000" w:sz="4"/>
                    <w:left w:val="none" w:color="000000" w:sz="4"/>
                    <w:bottom w:val="none" w:color="000000" w:sz="4"/>
                    <w:right w:val="single" w:color="000000" w:sz="4"/>
                  </w:tcBorders>
                </w:tcP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台班</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235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L杆、F杆及监测设备柜基础设施拆除</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L杆、F杆及监测设备柜基础混凝土机械及人工破除</w:t>
                  </w:r>
                </w:p>
              </w:tc>
              <w:tc>
                <w:tcPr>
                  <w:tcW w:type="dxa" w:w="817"/>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尾气遥感监测主机、传感器、摄像头、显示屏等全套原设备拆除；含设备拆除后打包、防护、现场临时堆放；含拆除后管线断点封堵、安全防护，垃圾清除：施工建筑垃圾（混凝土废渣、包装废料、旧管线等）、设备拆除废料清理、运输至指定建筑垃圾消纳场；现场恢复：施工区域地面整平、硬化修复、围挡拆除、场地清洁；绿化恢复：施工临时占用区域的地表复原（不含苗木移栽</w:t>
                  </w:r>
                  <w:r>
                    <w:rPr>
                      <w:rFonts w:ascii="仿宋_GB2312" w:hAnsi="仿宋_GB2312" w:cs="仿宋_GB2312" w:eastAsia="仿宋_GB2312"/>
                      <w:sz w:val="24"/>
                    </w:rPr>
                    <w:t>/补种，属未含费用）。</w:t>
                  </w:r>
                </w:p>
              </w:tc>
              <w:tc>
                <w:tcPr>
                  <w:tcW w:type="dxa" w:w="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L杆、F杆及监测设备柜破除混凝土建筑垃圾装车清理运输</w:t>
                  </w:r>
                </w:p>
              </w:tc>
              <w:tc>
                <w:tcPr>
                  <w:tcW w:type="dxa" w:w="817"/>
                  <w:vMerge/>
                  <w:tcBorders>
                    <w:top w:val="single" w:color="000000" w:sz="4"/>
                    <w:left w:val="none" w:color="000000" w:sz="4"/>
                    <w:bottom w:val="none" w:color="000000" w:sz="4"/>
                    <w:right w:val="single" w:color="000000" w:sz="4"/>
                  </w:tcBorders>
                </w:tcP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现场场地恢复</w:t>
                  </w:r>
                </w:p>
              </w:tc>
              <w:tc>
                <w:tcPr>
                  <w:tcW w:type="dxa" w:w="817"/>
                  <w:vMerge/>
                  <w:tcBorders>
                    <w:top w:val="single" w:color="000000" w:sz="4"/>
                    <w:left w:val="none" w:color="000000" w:sz="4"/>
                    <w:bottom w:val="none" w:color="000000" w:sz="4"/>
                    <w:right w:val="single" w:color="000000" w:sz="4"/>
                  </w:tcBorders>
                </w:tcP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w:t>
                  </w:r>
                </w:p>
              </w:tc>
              <w:tc>
                <w:tcPr>
                  <w:tcW w:type="dxa" w:w="235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新装点位设备安装</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235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线路布置</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主电源线路及管路开挖，</w:t>
                  </w:r>
                  <w:r>
                    <w:rPr>
                      <w:rFonts w:ascii="仿宋_GB2312" w:hAnsi="仿宋_GB2312" w:cs="仿宋_GB2312" w:eastAsia="仿宋_GB2312"/>
                      <w:sz w:val="24"/>
                    </w:rPr>
                    <w:t>PE套管布置安装，管沟回填夯实，主电源配置电线：国标铜芯带铠电缆（动力线YJV-3×10+1×6 mm²）</w:t>
                  </w:r>
                </w:p>
              </w:tc>
              <w:tc>
                <w:tcPr>
                  <w:tcW w:type="dxa" w:w="817"/>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网线：六类千兆屏蔽网线，含辅材（水晶头、理线架、波纹管等），约</w:t>
                  </w:r>
                  <w:r>
                    <w:rPr>
                      <w:rFonts w:ascii="仿宋_GB2312" w:hAnsi="仿宋_GB2312" w:cs="仿宋_GB2312" w:eastAsia="仿宋_GB2312"/>
                      <w:sz w:val="24"/>
                    </w:rPr>
                    <w:t>200米；电线：国标铜芯电缆（动力线 YJV310+16、控制线 RVVP8*1.5），约150米； 配套辅材：穿线管、线卡、防水接头、配电箱（含空开、漏保）等；布线施工：含管线铺设、穿线、接线、测试。</w:t>
                  </w:r>
                </w:p>
              </w:tc>
              <w:tc>
                <w:tcPr>
                  <w:tcW w:type="dxa" w:w="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L杆、F杆、大小设备柜控制线布设，管路开挖，PE套管布置安装，管沟回填夯实，连接电源线（动力线YJV-3×4 mm²）</w:t>
                  </w:r>
                </w:p>
              </w:tc>
              <w:tc>
                <w:tcPr>
                  <w:tcW w:type="dxa" w:w="817"/>
                  <w:vMerge/>
                  <w:tcBorders>
                    <w:top w:val="single" w:color="000000" w:sz="4"/>
                    <w:left w:val="none" w:color="000000" w:sz="4"/>
                    <w:bottom w:val="none" w:color="000000" w:sz="4"/>
                    <w:right w:val="single" w:color="000000" w:sz="4"/>
                  </w:tcBorders>
                </w:tcP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L杆、F杆、大小设备柜线路布设，设备控制线（控制线 RVVP8*1.5mm²）；网线；超6类网线4根</w:t>
                  </w:r>
                </w:p>
              </w:tc>
              <w:tc>
                <w:tcPr>
                  <w:tcW w:type="dxa" w:w="817"/>
                  <w:vMerge/>
                  <w:tcBorders>
                    <w:top w:val="single" w:color="000000" w:sz="4"/>
                    <w:left w:val="none" w:color="000000" w:sz="4"/>
                    <w:bottom w:val="none" w:color="000000" w:sz="4"/>
                    <w:right w:val="single" w:color="000000" w:sz="4"/>
                  </w:tcBorders>
                </w:tcP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配电箱采购安装</w:t>
                  </w:r>
                </w:p>
              </w:tc>
              <w:tc>
                <w:tcPr>
                  <w:tcW w:type="dxa" w:w="817"/>
                  <w:vMerge/>
                  <w:tcBorders>
                    <w:top w:val="single" w:color="000000" w:sz="4"/>
                    <w:left w:val="none" w:color="000000" w:sz="4"/>
                    <w:bottom w:val="none" w:color="000000" w:sz="4"/>
                    <w:right w:val="single" w:color="000000" w:sz="4"/>
                  </w:tcBorders>
                </w:tcP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235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安装辅材</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小型工具，膨胀螺栓、密封胶、防水圈、扎带、线槽、螺丝、垫片等全品类安装辅材</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含膨胀螺栓、密封胶、防水圈、扎带、线槽、螺丝、垫片等全品类安装辅材；含辅材运输、现场堆放及整理。</w:t>
                  </w:r>
                </w:p>
              </w:tc>
              <w:tc>
                <w:tcPr>
                  <w:tcW w:type="dxa" w:w="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235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设备安装</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L杆、F杆定制采购（含杆体、法兰盘、检修口）</w:t>
                  </w:r>
                </w:p>
              </w:tc>
              <w:tc>
                <w:tcPr>
                  <w:tcW w:type="dxa" w:w="817"/>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设备安装：机柜、监测主机、传感器、摄像头、</w:t>
                  </w:r>
                  <w:r>
                    <w:rPr>
                      <w:rFonts w:ascii="仿宋_GB2312" w:hAnsi="仿宋_GB2312" w:cs="仿宋_GB2312" w:eastAsia="仿宋_GB2312"/>
                      <w:sz w:val="24"/>
                    </w:rPr>
                    <w:t>L 杆附属设备等全套设备安装、固定； 系统接线：强电、弱电接线，线路通断测试； 系统调试：硬件调试、软件联调、数据传输测试、远程监控调试； 验收测试：按行业规范完成系统整体试运行、性能检测，出具调试报告；人工：专业技术人员（机电、软件）、施工人员全程服务</w:t>
                  </w:r>
                </w:p>
              </w:tc>
              <w:tc>
                <w:tcPr>
                  <w:tcW w:type="dxa" w:w="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L杆、F杆、大小机柜安装，辅助机械随车吊</w:t>
                  </w:r>
                </w:p>
              </w:tc>
              <w:tc>
                <w:tcPr>
                  <w:tcW w:type="dxa" w:w="817"/>
                  <w:vMerge/>
                  <w:tcBorders>
                    <w:top w:val="single" w:color="000000" w:sz="4"/>
                    <w:left w:val="none" w:color="000000" w:sz="4"/>
                    <w:bottom w:val="none" w:color="000000" w:sz="4"/>
                    <w:right w:val="single" w:color="000000" w:sz="4"/>
                  </w:tcBorders>
                </w:tcP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台班</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监测设备安装辅助机械，辅助机械升降机</w:t>
                  </w:r>
                </w:p>
              </w:tc>
              <w:tc>
                <w:tcPr>
                  <w:tcW w:type="dxa" w:w="817"/>
                  <w:vMerge/>
                  <w:tcBorders>
                    <w:top w:val="single" w:color="000000" w:sz="4"/>
                    <w:left w:val="none" w:color="000000" w:sz="4"/>
                    <w:bottom w:val="none" w:color="000000" w:sz="4"/>
                    <w:right w:val="single" w:color="000000" w:sz="4"/>
                  </w:tcBorders>
                </w:tcP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台班</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监测设备安装（控制箱，摄像头，监控设施，补光灯，显示屏</w:t>
                  </w:r>
                  <w:r>
                    <w:rPr>
                      <w:rFonts w:ascii="仿宋_GB2312" w:hAnsi="仿宋_GB2312" w:cs="仿宋_GB2312" w:eastAsia="仿宋_GB2312"/>
                      <w:sz w:val="24"/>
                    </w:rPr>
                    <w:t>)；跳线及控制线布置，设备调试</w:t>
                  </w:r>
                </w:p>
              </w:tc>
              <w:tc>
                <w:tcPr>
                  <w:tcW w:type="dxa" w:w="817"/>
                  <w:vMerge/>
                  <w:tcBorders>
                    <w:top w:val="single" w:color="000000" w:sz="4"/>
                    <w:left w:val="none" w:color="000000" w:sz="4"/>
                    <w:bottom w:val="none" w:color="000000" w:sz="4"/>
                    <w:right w:val="single" w:color="000000" w:sz="4"/>
                  </w:tcBorders>
                </w:tcP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235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现场清理及恢复</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现场垃圾清理及现场恢复</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垃圾清除：施工建筑垃圾（混凝土废渣、包装废料、旧管线等）、设备拆除废料清理、运输至指定建筑垃圾消纳场；现场恢复：施工区域地面整平硬化修复、围挡拆除、场地清洁；绿化恢复：施工临时占用区域的地表复原（不含苗木移栽</w:t>
                  </w:r>
                  <w:r>
                    <w:rPr>
                      <w:rFonts w:ascii="仿宋_GB2312" w:hAnsi="仿宋_GB2312" w:cs="仿宋_GB2312" w:eastAsia="仿宋_GB2312"/>
                      <w:sz w:val="24"/>
                    </w:rPr>
                    <w:t>/补种，属未含费用）。</w:t>
                  </w:r>
                </w:p>
              </w:tc>
              <w:tc>
                <w:tcPr>
                  <w:tcW w:type="dxa" w:w="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outlineLvl w:val="1"/>
            </w:pPr>
            <w:r>
              <w:rPr>
                <w:rFonts w:ascii="仿宋_GB2312" w:hAnsi="仿宋_GB2312" w:cs="仿宋_GB2312" w:eastAsia="仿宋_GB2312"/>
                <w:sz w:val="24"/>
                <w:b/>
              </w:rPr>
              <w:t>三、服务分布区域</w:t>
            </w:r>
          </w:p>
          <w:tbl>
            <w:tblPr>
              <w:tblInd w:type="dxa" w:w="135"/>
              <w:tblBorders>
                <w:top w:val="none" w:color="000000" w:sz="4"/>
                <w:left w:val="none" w:color="000000" w:sz="4"/>
                <w:bottom w:val="none" w:color="000000" w:sz="4"/>
                <w:right w:val="none" w:color="000000" w:sz="4"/>
                <w:insideH w:val="none"/>
                <w:insideV w:val="none"/>
              </w:tblBorders>
            </w:tblPr>
            <w:tblGrid>
              <w:gridCol w:w="276"/>
              <w:gridCol w:w="1669"/>
              <w:gridCol w:w="579"/>
            </w:tblGrid>
            <w:tr>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文兴路由西向东方向（距金科集美嘉悦往东</w:t>
                  </w:r>
                  <w:r>
                    <w:rPr>
                      <w:rFonts w:ascii="仿宋_GB2312" w:hAnsi="仿宋_GB2312" w:cs="仿宋_GB2312" w:eastAsia="仿宋_GB2312"/>
                      <w:sz w:val="24"/>
                    </w:rPr>
                    <w:t>800米处）</w:t>
                  </w:r>
                </w:p>
              </w:tc>
              <w:tc>
                <w:tcPr>
                  <w:tcW w:type="dxa" w:w="5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2023年建设</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秦皇中路由南向北方向（中国人寿保险秦都支公司门口道路）（现因道路改造已拆除存放至仓库）拟搬迁至</w:t>
                  </w:r>
                  <w:r>
                    <w:rPr>
                      <w:rFonts w:ascii="仿宋_GB2312" w:hAnsi="仿宋_GB2312" w:cs="仿宋_GB2312" w:eastAsia="仿宋_GB2312"/>
                      <w:sz w:val="24"/>
                    </w:rPr>
                    <w:t>G312国道</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2023年建设</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滨河西路由东向西方向（滨河西路与思源南路交叉口向西约</w:t>
                  </w:r>
                  <w:r>
                    <w:rPr>
                      <w:rFonts w:ascii="仿宋_GB2312" w:hAnsi="仿宋_GB2312" w:cs="仿宋_GB2312" w:eastAsia="仿宋_GB2312"/>
                      <w:sz w:val="24"/>
                    </w:rPr>
                    <w:t>50米）</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2023年建设</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中华路由西向东（枫景苑</w:t>
                  </w:r>
                  <w:r>
                    <w:rPr>
                      <w:rFonts w:ascii="仿宋_GB2312" w:hAnsi="仿宋_GB2312" w:cs="仿宋_GB2312" w:eastAsia="仿宋_GB2312"/>
                      <w:sz w:val="24"/>
                    </w:rPr>
                    <w:t>·首府附近）拟搬迁至G312国道</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2023年建设</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双照湖公园南侧北塬大道，由西向东方向（距</w:t>
                  </w:r>
                  <w:r>
                    <w:rPr>
                      <w:rFonts w:ascii="仿宋_GB2312" w:hAnsi="仿宋_GB2312" w:cs="仿宋_GB2312" w:eastAsia="仿宋_GB2312"/>
                      <w:sz w:val="24"/>
                    </w:rPr>
                    <w:t>G211国道约800米）</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2023年建设</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创业路由西向东方向（两寺渡公园北）（独立黑烟车）</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2023年建设</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河堤路由东向西方向（两寺渡公园南）（独立黑烟车）</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2023年建设</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东风路由南向北（汇丰花园小区附近）（独立黑烟车）</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2023年建设</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人民路由东向西（中国建设银行咸阳人民东路支行门口）（独立黑烟车）</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2023年建设</w:t>
                  </w:r>
                </w:p>
              </w:tc>
            </w:tr>
          </w:tbl>
          <w:p>
            <w:pPr>
              <w:pStyle w:val="null3"/>
              <w:jc w:val="left"/>
              <w:outlineLvl w:val="1"/>
            </w:pPr>
            <w:r>
              <w:rPr>
                <w:rFonts w:ascii="仿宋_GB2312" w:hAnsi="仿宋_GB2312" w:cs="仿宋_GB2312" w:eastAsia="仿宋_GB2312"/>
                <w:sz w:val="24"/>
                <w:b/>
              </w:rPr>
              <w:t>四、服务要求</w:t>
            </w:r>
          </w:p>
          <w:p>
            <w:pPr>
              <w:pStyle w:val="null3"/>
              <w:jc w:val="left"/>
              <w:outlineLvl w:val="1"/>
            </w:pPr>
            <w:r>
              <w:rPr>
                <w:rFonts w:ascii="仿宋_GB2312" w:hAnsi="仿宋_GB2312" w:cs="仿宋_GB2312" w:eastAsia="仿宋_GB2312"/>
                <w:sz w:val="24"/>
                <w:b/>
              </w:rPr>
              <w:t>（一）</w:t>
            </w:r>
            <w:r>
              <w:rPr>
                <w:rFonts w:ascii="仿宋_GB2312" w:hAnsi="仿宋_GB2312" w:cs="仿宋_GB2312" w:eastAsia="仿宋_GB2312"/>
                <w:sz w:val="28"/>
                <w:b/>
              </w:rPr>
              <w:t>机动车尾气遥感监测及黑烟车智能识别系统运维</w:t>
            </w:r>
          </w:p>
          <w:p>
            <w:pPr>
              <w:pStyle w:val="null3"/>
              <w:jc w:val="left"/>
              <w:outlineLvl w:val="1"/>
            </w:pPr>
            <w:r>
              <w:rPr>
                <w:rFonts w:ascii="仿宋_GB2312" w:hAnsi="仿宋_GB2312" w:cs="仿宋_GB2312" w:eastAsia="仿宋_GB2312"/>
                <w:sz w:val="24"/>
                <w:b/>
              </w:rPr>
              <w:t>1、</w:t>
            </w:r>
            <w:r>
              <w:rPr>
                <w:rFonts w:ascii="仿宋_GB2312" w:hAnsi="仿宋_GB2312" w:cs="仿宋_GB2312" w:eastAsia="仿宋_GB2312"/>
                <w:sz w:val="24"/>
                <w:b/>
              </w:rPr>
              <w:t>总体运维要求</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对道路上行驶的各类机动车按照《在用柴油车排气污染物测量方法及技术要求（遥感检测法）》（</w:t>
            </w:r>
            <w:r>
              <w:rPr>
                <w:rFonts w:ascii="仿宋_GB2312" w:hAnsi="仿宋_GB2312" w:cs="仿宋_GB2312" w:eastAsia="仿宋_GB2312"/>
                <w:sz w:val="24"/>
              </w:rPr>
              <w:t>HJ845-2017）监测排放的一氧化碳、二氧化碳、碳氢化合物、氮氧化物、烟度等污染物体积浓度。保障机动车尾气遥感监测系统的稳定运行，确保监测数据的实时上传以及柴油货车监督抽测比例不低于保有量50%的任务指标；运用智能运维的在线监测系统工具，提供优质、持续、高效的技术支持服务，协助市级</w:t>
            </w:r>
            <w:r>
              <w:rPr>
                <w:rFonts w:ascii="仿宋_GB2312" w:hAnsi="仿宋_GB2312" w:cs="仿宋_GB2312" w:eastAsia="仿宋_GB2312"/>
                <w:sz w:val="24"/>
              </w:rPr>
              <w:t>生态环境</w:t>
            </w:r>
            <w:r>
              <w:rPr>
                <w:rFonts w:ascii="仿宋_GB2312" w:hAnsi="仿宋_GB2312" w:cs="仿宋_GB2312" w:eastAsia="仿宋_GB2312"/>
                <w:sz w:val="24"/>
              </w:rPr>
              <w:t>部门做好业务系统软件维护、优化、数据联网、调阅、迁移、培训等工作；为数据的准确及时上报提供可靠的支撑，最大程度的保证数据接收、存储、交换、分析的准确性；响应用户数据查询、分析需求，及时反馈数据异常，报告日数据超标情况；按协商好的交付周期按时保质保量完成，用户满意度达到</w:t>
            </w:r>
            <w:r>
              <w:rPr>
                <w:rFonts w:ascii="仿宋_GB2312" w:hAnsi="仿宋_GB2312" w:cs="仿宋_GB2312" w:eastAsia="仿宋_GB2312"/>
                <w:sz w:val="24"/>
              </w:rPr>
              <w:t>95%以上。</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本运维服务适用于</w:t>
            </w:r>
            <w:r>
              <w:rPr>
                <w:rFonts w:ascii="仿宋_GB2312" w:hAnsi="仿宋_GB2312" w:cs="仿宋_GB2312" w:eastAsia="仿宋_GB2312"/>
                <w:sz w:val="24"/>
                <w:b/>
              </w:rPr>
              <w:t>固定式环境监测系统、智能识别抓拍系统</w:t>
            </w:r>
            <w:r>
              <w:rPr>
                <w:rFonts w:ascii="仿宋_GB2312" w:hAnsi="仿宋_GB2312" w:cs="仿宋_GB2312" w:eastAsia="仿宋_GB2312"/>
                <w:sz w:val="24"/>
              </w:rPr>
              <w:t>全套设备及配套软硬件，实行</w:t>
            </w:r>
            <w:r>
              <w:rPr>
                <w:rFonts w:ascii="仿宋_GB2312" w:hAnsi="仿宋_GB2312" w:cs="仿宋_GB2312" w:eastAsia="仿宋_GB2312"/>
                <w:sz w:val="24"/>
                <w:b/>
              </w:rPr>
              <w:t>7×24 小时不间断运维保障</w:t>
            </w:r>
            <w:r>
              <w:rPr>
                <w:rFonts w:ascii="仿宋_GB2312" w:hAnsi="仿宋_GB2312" w:cs="仿宋_GB2312" w:eastAsia="仿宋_GB2312"/>
                <w:sz w:val="24"/>
              </w:rPr>
              <w:t>，确保系统全天候稳定运行，监测数据、识别图像、运行状态可实时传输至监管平台，数据有效率、传输准确率满足行业监管规范及相关政策标准。</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3）运维全过程严格遵守生态环境监测、智能识别系统运维相关规范，保障监测数据、识别信息真实、准确、合规，完整留存巡检记录、故障台账、配件更换记录、校准报告、运维日志等资料，定期归档备查。</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4）负责支付点位电费、网络等各类费用。</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5）接受采购人的检查和考核，确保监测数据真实有效。</w:t>
            </w:r>
          </w:p>
          <w:p>
            <w:pPr>
              <w:pStyle w:val="null3"/>
              <w:jc w:val="left"/>
              <w:outlineLvl w:val="1"/>
            </w:pPr>
            <w:r>
              <w:rPr>
                <w:rFonts w:ascii="仿宋_GB2312" w:hAnsi="仿宋_GB2312" w:cs="仿宋_GB2312" w:eastAsia="仿宋_GB2312"/>
                <w:sz w:val="24"/>
                <w:b/>
              </w:rPr>
              <w:t>2、</w:t>
            </w:r>
            <w:r>
              <w:rPr>
                <w:rFonts w:ascii="仿宋_GB2312" w:hAnsi="仿宋_GB2312" w:cs="仿宋_GB2312" w:eastAsia="仿宋_GB2312"/>
                <w:sz w:val="24"/>
                <w:b/>
              </w:rPr>
              <w:t>主要硬件设备维护要求</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1）对系统内光学发射接收部件、主控板卡、信号采集板卡、温控模块、光谱分析模块、速度感应部件、执行电磁阀、压力监测部件、网络交换设备、工控主机、存储设备、摄像采集设备、补光设备等全部硬件开展常态化巡检维护。</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2）定期检测光学设备输出稳定性、采集精度，及时清洁镜头、光路，排查功率衰减、信号异常问题；对各类板卡、控制模块检查线</w:t>
            </w:r>
            <w:r>
              <w:rPr>
                <w:rFonts w:ascii="仿宋_GB2312" w:hAnsi="仿宋_GB2312" w:cs="仿宋_GB2312" w:eastAsia="仿宋_GB2312"/>
                <w:sz w:val="24"/>
              </w:rPr>
              <w:t>路连接、元件运行、散热状态，及时处理老化、松动、故障隐患。</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3）温控、恒温设备定期检修，保障设备舱体恒温恒湿运行；网络、存储、摄像、补光设备定期调试优化，保障图像清晰、识别精准、数据存储完整、传输稳定。</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4）硬件配件损坏后，采用同规格、同性能、可兼容配件及时更换，维修更换后完成整机调试，确保设备性能达到运行标准。</w:t>
            </w:r>
          </w:p>
          <w:p>
            <w:pPr>
              <w:pStyle w:val="null3"/>
              <w:jc w:val="left"/>
              <w:outlineLvl w:val="1"/>
            </w:pPr>
            <w:r>
              <w:rPr>
                <w:rFonts w:ascii="仿宋_GB2312" w:hAnsi="仿宋_GB2312" w:cs="仿宋_GB2312" w:eastAsia="仿宋_GB2312"/>
                <w:sz w:val="24"/>
                <w:b/>
              </w:rPr>
              <w:t>3、易损件更换运维要求</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1）按系统运行损耗规律，对标准气体耗材、光源类易损件、光源控制板件等易损耗部件，实行定期检查、按需更换。</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2）耗材及易损件更换后，完成系统校准、精度调试，确保设备监测、识别精度符合技术标准，留存更换及调试记录。</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3）所有更换耗材、配件需符合系统技术适配要求，质量可靠，满足长期稳定运行条件。</w:t>
            </w:r>
          </w:p>
          <w:p>
            <w:pPr>
              <w:pStyle w:val="null3"/>
              <w:jc w:val="left"/>
              <w:outlineLvl w:val="1"/>
            </w:pPr>
            <w:r>
              <w:rPr>
                <w:rFonts w:ascii="仿宋_GB2312" w:hAnsi="仿宋_GB2312" w:cs="仿宋_GB2312" w:eastAsia="仿宋_GB2312"/>
                <w:sz w:val="24"/>
                <w:b/>
              </w:rPr>
              <w:t>4、</w:t>
            </w:r>
            <w:r>
              <w:rPr>
                <w:rFonts w:ascii="仿宋_GB2312" w:hAnsi="仿宋_GB2312" w:cs="仿宋_GB2312" w:eastAsia="仿宋_GB2312"/>
                <w:sz w:val="24"/>
                <w:b/>
              </w:rPr>
              <w:t>网络及电力保障要求</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1）负责系统专用网络的费用缴纳、网络运维，保障专用网络 7×24 小时畅通稳定，实时监测网络传输状态，及时处置断网、卡顿、延迟等故障，确保数据实时上传。</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2）保障系统供电稳定，满足设备24 小时不间断运行的用电需求，协助排查供电线路、电源模块故障，配合完成电费相关对接工作，避免设备因供电问题停机。</w:t>
            </w:r>
          </w:p>
          <w:p>
            <w:pPr>
              <w:pStyle w:val="null3"/>
              <w:jc w:val="left"/>
              <w:outlineLvl w:val="1"/>
            </w:pPr>
            <w:r>
              <w:rPr>
                <w:rFonts w:ascii="仿宋_GB2312" w:hAnsi="仿宋_GB2312" w:cs="仿宋_GB2312" w:eastAsia="仿宋_GB2312"/>
                <w:sz w:val="24"/>
                <w:b/>
              </w:rPr>
              <w:t>5、软件维护升级要求</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1）对监测系统、智能识别系统配套软件提供日常维护、故障修复、版本升级、算法优化服务，保障软件运行流畅，适配监管平台数据传输格式与最新政策规范。</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2）定期修复软件漏洞，优化监测、识别算法，降低误报、漏报概率，保障数据解析、图像识别、信息上传功能正常稳定。</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3）软件类故障优先远程处置，重大软件故障须及时到场排查修复，保障系统功能完整性。</w:t>
            </w:r>
          </w:p>
          <w:p>
            <w:pPr>
              <w:pStyle w:val="null3"/>
              <w:jc w:val="left"/>
              <w:outlineLvl w:val="1"/>
            </w:pPr>
            <w:r>
              <w:rPr>
                <w:rFonts w:ascii="仿宋_GB2312" w:hAnsi="仿宋_GB2312" w:cs="仿宋_GB2312" w:eastAsia="仿宋_GB2312"/>
                <w:sz w:val="24"/>
                <w:b/>
              </w:rPr>
              <w:t>6、设备计量校准要求</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1）按国家及行业规范，定期委托具备合法资质的第三方机构，对整套系统开展计量校准工作，取得合规有效的校准证书。</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2）校准范围包含监测精度、光学精度、识别精度、时序校验、数据传输、设备性能等全部项目，校准后确保设备符合监测执法、数据监管相关标准。</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3）严格按照监管部门要求周期开展校准工作，提前完成校准，保障设备合法合规运行。</w:t>
            </w:r>
          </w:p>
          <w:p>
            <w:pPr>
              <w:pStyle w:val="null3"/>
              <w:jc w:val="left"/>
              <w:outlineLvl w:val="1"/>
            </w:pPr>
            <w:r>
              <w:rPr>
                <w:rFonts w:ascii="仿宋_GB2312" w:hAnsi="仿宋_GB2312" w:cs="仿宋_GB2312" w:eastAsia="仿宋_GB2312"/>
                <w:sz w:val="24"/>
                <w:b/>
              </w:rPr>
              <w:t>7、</w:t>
            </w:r>
            <w:r>
              <w:rPr>
                <w:rFonts w:ascii="仿宋_GB2312" w:hAnsi="仿宋_GB2312" w:cs="仿宋_GB2312" w:eastAsia="仿宋_GB2312"/>
                <w:sz w:val="24"/>
                <w:b/>
              </w:rPr>
              <w:t>通勤及应急保障要求</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1）配备运维通勤保障条件，确保运维人员、维修工具、备用配件可快速抵达服务现场，常规故障24 小时内处置完毕，重大故障 48 小时内完成维修或更换。</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2）建立 7×24 小时运维响应机制，节假日、极端天气期间保持应急值守，突发故障快速响应处置，最大限度缩短设备停机时间。</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3）执行常态化定期巡检制度，提前排查设备隐患，降低故障发生率，形成完整巡检报告。</w:t>
            </w:r>
          </w:p>
          <w:p>
            <w:pPr>
              <w:pStyle w:val="null3"/>
              <w:jc w:val="left"/>
            </w:pPr>
            <w:r>
              <w:rPr>
                <w:rFonts w:ascii="仿宋_GB2312" w:hAnsi="仿宋_GB2312" w:cs="仿宋_GB2312" w:eastAsia="仿宋_GB2312"/>
                <w:sz w:val="24"/>
                <w:b/>
              </w:rPr>
              <w:t>8、安全及管理服务要求</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1）运维作业严格遵守安全生产规范，做好电气安全、设备安全、数据安全防护，杜绝触电、设备损毁、数据丢失等安全事故。</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2）主动接受采购方及监管部门的监督、检查与考核，及时完成问题整改，保障运维质量、数据质量达标。</w:t>
            </w:r>
          </w:p>
          <w:p>
            <w:pPr>
              <w:pStyle w:val="null3"/>
              <w:ind w:left="-360" w:firstLine="720"/>
              <w:jc w:val="left"/>
            </w:pPr>
            <w:r>
              <w:rPr>
                <w:rFonts w:ascii="仿宋_GB2312" w:hAnsi="仿宋_GB2312" w:cs="仿宋_GB2312" w:eastAsia="仿宋_GB2312"/>
                <w:sz w:val="24"/>
              </w:rPr>
              <w:t>（</w:t>
            </w:r>
            <w:r>
              <w:rPr>
                <w:rFonts w:ascii="仿宋_GB2312" w:hAnsi="仿宋_GB2312" w:cs="仿宋_GB2312" w:eastAsia="仿宋_GB2312"/>
                <w:sz w:val="24"/>
              </w:rPr>
              <w:t>3）提供技术咨询、基础操作培训等配套服务，协助采购方做好系统日常管理工作。</w:t>
            </w:r>
          </w:p>
          <w:p>
            <w:pPr>
              <w:pStyle w:val="null3"/>
              <w:jc w:val="left"/>
            </w:pPr>
            <w:r>
              <w:rPr>
                <w:rFonts w:ascii="仿宋_GB2312" w:hAnsi="仿宋_GB2312" w:cs="仿宋_GB2312" w:eastAsia="仿宋_GB2312"/>
                <w:sz w:val="28"/>
                <w:b/>
              </w:rPr>
              <w:t>（二）机动车尾气遥感监测系统搬迁</w:t>
            </w:r>
          </w:p>
          <w:p>
            <w:pPr>
              <w:pStyle w:val="null3"/>
              <w:jc w:val="left"/>
              <w:outlineLvl w:val="1"/>
            </w:pPr>
            <w:r>
              <w:rPr>
                <w:rFonts w:ascii="仿宋_GB2312" w:hAnsi="仿宋_GB2312" w:cs="仿宋_GB2312" w:eastAsia="仿宋_GB2312"/>
                <w:sz w:val="24"/>
                <w:b/>
              </w:rPr>
              <w:t>1、设备及材料技术要求</w:t>
            </w:r>
          </w:p>
          <w:p>
            <w:pPr>
              <w:pStyle w:val="null3"/>
              <w:jc w:val="left"/>
              <w:outlineLvl w:val="1"/>
            </w:pPr>
            <w:r>
              <w:rPr>
                <w:rFonts w:ascii="仿宋_GB2312" w:hAnsi="仿宋_GB2312" w:cs="仿宋_GB2312" w:eastAsia="仿宋_GB2312"/>
                <w:sz w:val="24"/>
                <w:b/>
              </w:rPr>
              <w:t>（</w:t>
            </w:r>
            <w:r>
              <w:rPr>
                <w:rFonts w:ascii="仿宋_GB2312" w:hAnsi="仿宋_GB2312" w:cs="仿宋_GB2312" w:eastAsia="仿宋_GB2312"/>
                <w:sz w:val="24"/>
                <w:b/>
              </w:rPr>
              <w:t>1）土建材料</w:t>
            </w:r>
          </w:p>
          <w:p>
            <w:pPr>
              <w:pStyle w:val="null3"/>
              <w:jc w:val="left"/>
              <w:outlineLvl w:val="1"/>
            </w:pPr>
            <w:r>
              <w:rPr>
                <w:rFonts w:ascii="仿宋_GB2312" w:hAnsi="仿宋_GB2312" w:cs="仿宋_GB2312" w:eastAsia="仿宋_GB2312"/>
                <w:sz w:val="24"/>
                <w:b/>
              </w:rPr>
              <w:t>商品混凝土：强度等级</w:t>
            </w:r>
            <w:r>
              <w:rPr>
                <w:rFonts w:ascii="仿宋_GB2312" w:hAnsi="仿宋_GB2312" w:cs="仿宋_GB2312" w:eastAsia="仿宋_GB2312"/>
                <w:sz w:val="24"/>
                <w:b/>
              </w:rPr>
              <w:t>C30，须符合 GB 175 标准，提供出厂合格证及检测报告，严禁使用不合格混凝土。</w:t>
            </w:r>
          </w:p>
          <w:p>
            <w:pPr>
              <w:pStyle w:val="null3"/>
              <w:jc w:val="left"/>
              <w:outlineLvl w:val="1"/>
            </w:pPr>
            <w:r>
              <w:rPr>
                <w:rFonts w:ascii="仿宋_GB2312" w:hAnsi="仿宋_GB2312" w:cs="仿宋_GB2312" w:eastAsia="仿宋_GB2312"/>
                <w:sz w:val="24"/>
                <w:b/>
              </w:rPr>
              <w:t>预埋件及配件：地脚螺栓、钢板、螺母、垫片等须采用合格钢材，表面防腐处理到位，尺寸、规格符合设计要求，提供质量证明文件。</w:t>
            </w:r>
          </w:p>
          <w:p>
            <w:pPr>
              <w:pStyle w:val="null3"/>
              <w:jc w:val="left"/>
              <w:outlineLvl w:val="1"/>
            </w:pPr>
            <w:r>
              <w:rPr>
                <w:rFonts w:ascii="仿宋_GB2312" w:hAnsi="仿宋_GB2312" w:cs="仿宋_GB2312" w:eastAsia="仿宋_GB2312"/>
                <w:sz w:val="24"/>
                <w:b/>
              </w:rPr>
              <w:t>检查井材料：砖砌材料、粉刷材料、铸铁井盖须符合国家相关标准，井盖强度、防盗性能满足现场使用需求。</w:t>
            </w:r>
          </w:p>
          <w:p>
            <w:pPr>
              <w:pStyle w:val="null3"/>
              <w:jc w:val="left"/>
              <w:outlineLvl w:val="1"/>
            </w:pPr>
            <w:r>
              <w:rPr>
                <w:rFonts w:ascii="仿宋_GB2312" w:hAnsi="仿宋_GB2312" w:cs="仿宋_GB2312" w:eastAsia="仿宋_GB2312"/>
                <w:sz w:val="24"/>
                <w:b/>
              </w:rPr>
              <w:t>（</w:t>
            </w:r>
            <w:r>
              <w:rPr>
                <w:rFonts w:ascii="仿宋_GB2312" w:hAnsi="仿宋_GB2312" w:cs="仿宋_GB2312" w:eastAsia="仿宋_GB2312"/>
                <w:sz w:val="24"/>
                <w:b/>
              </w:rPr>
              <w:t>2）电气及线路材料</w:t>
            </w:r>
          </w:p>
          <w:p>
            <w:pPr>
              <w:pStyle w:val="null3"/>
              <w:jc w:val="left"/>
              <w:outlineLvl w:val="1"/>
            </w:pPr>
            <w:r>
              <w:rPr>
                <w:rFonts w:ascii="仿宋_GB2312" w:hAnsi="仿宋_GB2312" w:cs="仿宋_GB2312" w:eastAsia="仿宋_GB2312"/>
                <w:sz w:val="24"/>
                <w:b/>
              </w:rPr>
              <w:t>电缆及电线：均为国标铜芯电缆，型号、规格须符合设计要求，提供出厂检测报告，绝缘性能、阻燃性能达标。</w:t>
            </w:r>
          </w:p>
          <w:p>
            <w:pPr>
              <w:pStyle w:val="null3"/>
              <w:jc w:val="left"/>
              <w:outlineLvl w:val="1"/>
            </w:pPr>
            <w:r>
              <w:rPr>
                <w:rFonts w:ascii="仿宋_GB2312" w:hAnsi="仿宋_GB2312" w:cs="仿宋_GB2312" w:eastAsia="仿宋_GB2312"/>
                <w:sz w:val="24"/>
                <w:b/>
              </w:rPr>
              <w:t>PE 套管：规格符合线路敷设要求，抗压、耐腐蚀性能达标，满足地下敷设环境需求。</w:t>
            </w:r>
          </w:p>
          <w:p>
            <w:pPr>
              <w:pStyle w:val="null3"/>
              <w:jc w:val="left"/>
              <w:outlineLvl w:val="1"/>
            </w:pPr>
            <w:r>
              <w:rPr>
                <w:rFonts w:ascii="仿宋_GB2312" w:hAnsi="仿宋_GB2312" w:cs="仿宋_GB2312" w:eastAsia="仿宋_GB2312"/>
                <w:sz w:val="24"/>
                <w:b/>
              </w:rPr>
              <w:t>配电箱：采用合格产品，配置空开、漏保等保护装置，防护等级不低于</w:t>
            </w:r>
            <w:r>
              <w:rPr>
                <w:rFonts w:ascii="仿宋_GB2312" w:hAnsi="仿宋_GB2312" w:cs="仿宋_GB2312" w:eastAsia="仿宋_GB2312"/>
                <w:sz w:val="24"/>
                <w:b/>
              </w:rPr>
              <w:t>IP54，提供产品合格证及检测报告。</w:t>
            </w:r>
          </w:p>
          <w:p>
            <w:pPr>
              <w:pStyle w:val="null3"/>
              <w:jc w:val="left"/>
              <w:outlineLvl w:val="1"/>
            </w:pPr>
            <w:r>
              <w:rPr>
                <w:rFonts w:ascii="仿宋_GB2312" w:hAnsi="仿宋_GB2312" w:cs="仿宋_GB2312" w:eastAsia="仿宋_GB2312"/>
                <w:sz w:val="24"/>
                <w:b/>
              </w:rPr>
              <w:t>网线：超</w:t>
            </w:r>
            <w:r>
              <w:rPr>
                <w:rFonts w:ascii="仿宋_GB2312" w:hAnsi="仿宋_GB2312" w:cs="仿宋_GB2312" w:eastAsia="仿宋_GB2312"/>
                <w:sz w:val="24"/>
                <w:b/>
              </w:rPr>
              <w:t>6类千兆屏蔽网线，传输性能达标，满足数据传输速率及稳定性要求，提供产品质量证明文件。</w:t>
            </w:r>
          </w:p>
          <w:p>
            <w:pPr>
              <w:pStyle w:val="null3"/>
              <w:jc w:val="left"/>
              <w:outlineLvl w:val="1"/>
            </w:pPr>
            <w:r>
              <w:rPr>
                <w:rFonts w:ascii="仿宋_GB2312" w:hAnsi="仿宋_GB2312" w:cs="仿宋_GB2312" w:eastAsia="仿宋_GB2312"/>
                <w:sz w:val="24"/>
                <w:b/>
              </w:rPr>
              <w:t>（</w:t>
            </w:r>
            <w:r>
              <w:rPr>
                <w:rFonts w:ascii="仿宋_GB2312" w:hAnsi="仿宋_GB2312" w:cs="仿宋_GB2312" w:eastAsia="仿宋_GB2312"/>
                <w:sz w:val="24"/>
                <w:b/>
              </w:rPr>
              <w:t>3）设备及辅材</w:t>
            </w:r>
          </w:p>
          <w:p>
            <w:pPr>
              <w:pStyle w:val="null3"/>
              <w:ind w:left="720"/>
              <w:jc w:val="left"/>
              <w:outlineLvl w:val="1"/>
            </w:pPr>
            <w:r>
              <w:rPr>
                <w:rFonts w:ascii="仿宋_GB2312" w:hAnsi="仿宋_GB2312" w:cs="仿宋_GB2312" w:eastAsia="仿宋_GB2312"/>
                <w:sz w:val="24"/>
                <w:b/>
              </w:rPr>
              <w:t>监测杆（</w:t>
            </w:r>
            <w:r>
              <w:rPr>
                <w:rFonts w:ascii="仿宋_GB2312" w:hAnsi="仿宋_GB2312" w:cs="仿宋_GB2312" w:eastAsia="仿宋_GB2312"/>
                <w:sz w:val="24"/>
                <w:b/>
              </w:rPr>
              <w:t>L杆、F杆）：定制产品，杆体材质、壁厚符合设计要求，防腐处理采用热镀</w:t>
            </w:r>
            <w:r>
              <w:rPr>
                <w:rFonts w:ascii="仿宋_GB2312" w:hAnsi="仿宋_GB2312" w:cs="仿宋_GB2312" w:eastAsia="仿宋_GB2312"/>
                <w:sz w:val="24"/>
                <w:b/>
              </w:rPr>
              <w:t>锌 + 喷塑工艺，使用寿命不低于 10 年；法兰盘、检修口规格匹配，安装精度满足设备安装需求。</w:t>
            </w:r>
          </w:p>
          <w:p>
            <w:pPr>
              <w:pStyle w:val="null3"/>
              <w:jc w:val="left"/>
              <w:outlineLvl w:val="1"/>
            </w:pPr>
            <w:r>
              <w:rPr>
                <w:rFonts w:ascii="仿宋_GB2312" w:hAnsi="仿宋_GB2312" w:cs="仿宋_GB2312" w:eastAsia="仿宋_GB2312"/>
                <w:sz w:val="24"/>
                <w:b/>
              </w:rPr>
              <w:t>机柜及基座：不锈钢基座、机柜须具备防水、防尘、防锈性能，防护等级不低于</w:t>
            </w:r>
            <w:r>
              <w:rPr>
                <w:rFonts w:ascii="仿宋_GB2312" w:hAnsi="仿宋_GB2312" w:cs="仿宋_GB2312" w:eastAsia="仿宋_GB2312"/>
                <w:sz w:val="24"/>
                <w:b/>
              </w:rPr>
              <w:t>IP55，尺寸、承重满足设备安装需求。</w:t>
            </w:r>
          </w:p>
          <w:p>
            <w:pPr>
              <w:pStyle w:val="null3"/>
              <w:jc w:val="left"/>
              <w:outlineLvl w:val="1"/>
            </w:pPr>
            <w:r>
              <w:rPr>
                <w:rFonts w:ascii="仿宋_GB2312" w:hAnsi="仿宋_GB2312" w:cs="仿宋_GB2312" w:eastAsia="仿宋_GB2312"/>
                <w:sz w:val="24"/>
                <w:b/>
              </w:rPr>
              <w:t>安装辅材：膨胀螺栓、密封胶、防水圈等辅材须为合格产品，适配现场安装环境，满足设备固定、密封、防护需求。</w:t>
            </w:r>
          </w:p>
          <w:p>
            <w:pPr>
              <w:pStyle w:val="null3"/>
              <w:jc w:val="left"/>
              <w:outlineLvl w:val="1"/>
            </w:pPr>
            <w:r>
              <w:rPr>
                <w:rFonts w:ascii="仿宋_GB2312" w:hAnsi="仿宋_GB2312" w:cs="仿宋_GB2312" w:eastAsia="仿宋_GB2312"/>
                <w:sz w:val="24"/>
                <w:b/>
              </w:rPr>
              <w:t>2、施工技术要求</w:t>
            </w:r>
          </w:p>
          <w:p>
            <w:pPr>
              <w:pStyle w:val="null3"/>
              <w:jc w:val="left"/>
              <w:outlineLvl w:val="1"/>
            </w:pPr>
            <w:r>
              <w:rPr>
                <w:rFonts w:ascii="仿宋_GB2312" w:hAnsi="仿宋_GB2312" w:cs="仿宋_GB2312" w:eastAsia="仿宋_GB2312"/>
                <w:sz w:val="24"/>
                <w:b/>
              </w:rPr>
              <w:t>（</w:t>
            </w:r>
            <w:r>
              <w:rPr>
                <w:rFonts w:ascii="仿宋_GB2312" w:hAnsi="仿宋_GB2312" w:cs="仿宋_GB2312" w:eastAsia="仿宋_GB2312"/>
                <w:sz w:val="24"/>
                <w:b/>
              </w:rPr>
              <w:t>1）施工准备：</w:t>
            </w:r>
            <w:r>
              <w:rPr>
                <w:rFonts w:ascii="仿宋_GB2312" w:hAnsi="仿宋_GB2312" w:cs="仿宋_GB2312" w:eastAsia="仿宋_GB2312"/>
                <w:sz w:val="24"/>
                <w:b/>
              </w:rPr>
              <w:t>投标人须在施工前完成现场勘察，编制专项施工方案，明确施工流程、安全措施、质量控制要点，报招标人审批通过后方可实施。</w:t>
            </w:r>
          </w:p>
          <w:p>
            <w:pPr>
              <w:pStyle w:val="null3"/>
              <w:jc w:val="left"/>
              <w:outlineLvl w:val="1"/>
            </w:pPr>
            <w:r>
              <w:rPr>
                <w:rFonts w:ascii="仿宋_GB2312" w:hAnsi="仿宋_GB2312" w:cs="仿宋_GB2312" w:eastAsia="仿宋_GB2312"/>
                <w:sz w:val="24"/>
                <w:b/>
              </w:rPr>
              <w:t>（</w:t>
            </w:r>
            <w:r>
              <w:rPr>
                <w:rFonts w:ascii="仿宋_GB2312" w:hAnsi="仿宋_GB2312" w:cs="仿宋_GB2312" w:eastAsia="仿宋_GB2312"/>
                <w:sz w:val="24"/>
                <w:b/>
              </w:rPr>
              <w:t>2）土建施工：</w:t>
            </w:r>
            <w:r>
              <w:rPr>
                <w:rFonts w:ascii="仿宋_GB2312" w:hAnsi="仿宋_GB2312" w:cs="仿宋_GB2312" w:eastAsia="仿宋_GB2312"/>
                <w:sz w:val="24"/>
                <w:b/>
              </w:rPr>
              <w:t>基础开挖尺寸、深度须符合设计要求，严禁扰动基底原状土；混凝土浇筑须连续作业，振捣密实，养护措施到位，强度达标后方可进行后续施工；检查井施工须保证防渗、防漏，与管线连接顺畅。</w:t>
            </w:r>
          </w:p>
          <w:p>
            <w:pPr>
              <w:pStyle w:val="null3"/>
              <w:jc w:val="left"/>
              <w:outlineLvl w:val="1"/>
            </w:pPr>
            <w:r>
              <w:rPr>
                <w:rFonts w:ascii="仿宋_GB2312" w:hAnsi="仿宋_GB2312" w:cs="仿宋_GB2312" w:eastAsia="仿宋_GB2312"/>
                <w:sz w:val="24"/>
                <w:b/>
              </w:rPr>
              <w:t>拆除作业：拆除作业须制定安全专项方案，做好周边设施防护，严禁野蛮施工；拆除设备须做好标识、分类存放，避免损坏、遗失。</w:t>
            </w:r>
          </w:p>
          <w:p>
            <w:pPr>
              <w:pStyle w:val="null3"/>
              <w:jc w:val="left"/>
              <w:outlineLvl w:val="1"/>
            </w:pPr>
            <w:r>
              <w:rPr>
                <w:rFonts w:ascii="仿宋_GB2312" w:hAnsi="仿宋_GB2312" w:cs="仿宋_GB2312" w:eastAsia="仿宋_GB2312"/>
                <w:sz w:val="24"/>
                <w:b/>
              </w:rPr>
              <w:t>设备安装：设备安装位置、垂直度、水平度须符合规范要求，杆体安装垂直度偏差不大于</w:t>
            </w:r>
            <w:r>
              <w:rPr>
                <w:rFonts w:ascii="仿宋_GB2312" w:hAnsi="仿宋_GB2312" w:cs="仿宋_GB2312" w:eastAsia="仿宋_GB2312"/>
                <w:sz w:val="24"/>
                <w:b/>
              </w:rPr>
              <w:t>1/1000；线路敷设须规范，标识清晰，接线牢固，绝缘测试合格；设备安装完成后须进行全面调试，确保各项功能正常。</w:t>
            </w:r>
          </w:p>
          <w:p>
            <w:pPr>
              <w:pStyle w:val="null3"/>
              <w:jc w:val="left"/>
              <w:outlineLvl w:val="1"/>
            </w:pPr>
            <w:r>
              <w:rPr>
                <w:rFonts w:ascii="仿宋_GB2312" w:hAnsi="仿宋_GB2312" w:cs="仿宋_GB2312" w:eastAsia="仿宋_GB2312"/>
                <w:sz w:val="24"/>
                <w:b/>
              </w:rPr>
              <w:t>（</w:t>
            </w:r>
            <w:r>
              <w:rPr>
                <w:rFonts w:ascii="仿宋_GB2312" w:hAnsi="仿宋_GB2312" w:cs="仿宋_GB2312" w:eastAsia="仿宋_GB2312"/>
                <w:sz w:val="24"/>
                <w:b/>
              </w:rPr>
              <w:t>3）安全文明施工：</w:t>
            </w:r>
            <w:r>
              <w:rPr>
                <w:rFonts w:ascii="仿宋_GB2312" w:hAnsi="仿宋_GB2312" w:cs="仿宋_GB2312" w:eastAsia="仿宋_GB2312"/>
                <w:sz w:val="24"/>
                <w:b/>
              </w:rPr>
              <w:t>施工过程须落实安全防护措施，设置围挡、警示标志，严禁违规作业；做好扬尘、噪声控制，施工垃圾及时清理，保持场地整洁，符合环保及文明施工要求。</w:t>
            </w:r>
          </w:p>
          <w:p>
            <w:pPr>
              <w:pStyle w:val="null3"/>
              <w:jc w:val="left"/>
              <w:outlineLvl w:val="1"/>
            </w:pPr>
            <w:r>
              <w:rPr>
                <w:rFonts w:ascii="仿宋_GB2312" w:hAnsi="仿宋_GB2312" w:cs="仿宋_GB2312" w:eastAsia="仿宋_GB2312"/>
                <w:sz w:val="32"/>
                <w:b/>
              </w:rPr>
              <w:t xml:space="preserve">  </w:t>
            </w:r>
            <w:r>
              <w:rPr>
                <w:rFonts w:ascii="仿宋_GB2312" w:hAnsi="仿宋_GB2312" w:cs="仿宋_GB2312" w:eastAsia="仿宋_GB2312"/>
                <w:sz w:val="24"/>
                <w:b/>
              </w:rPr>
              <w:t xml:space="preserve"> </w:t>
            </w:r>
            <w:r>
              <w:rPr>
                <w:rFonts w:ascii="仿宋_GB2312" w:hAnsi="仿宋_GB2312" w:cs="仿宋_GB2312" w:eastAsia="仿宋_GB2312"/>
                <w:sz w:val="24"/>
                <w:b/>
              </w:rPr>
              <w:t>3、技术标准与规范要求</w:t>
            </w:r>
          </w:p>
          <w:p>
            <w:pPr>
              <w:pStyle w:val="null3"/>
              <w:jc w:val="left"/>
              <w:outlineLvl w:val="1"/>
            </w:pPr>
            <w:r>
              <w:rPr>
                <w:rFonts w:ascii="仿宋_GB2312" w:hAnsi="仿宋_GB2312" w:cs="仿宋_GB2312" w:eastAsia="仿宋_GB2312"/>
                <w:sz w:val="24"/>
                <w:b/>
              </w:rPr>
              <w:t>本项目所有施工及设备安装须严格遵循以下国家、行业现行规范标准（包括但不限于）：</w:t>
            </w:r>
          </w:p>
          <w:p>
            <w:pPr>
              <w:pStyle w:val="null3"/>
              <w:jc w:val="left"/>
              <w:outlineLvl w:val="1"/>
            </w:pPr>
            <w:r>
              <w:rPr>
                <w:rFonts w:ascii="仿宋_GB2312" w:hAnsi="仿宋_GB2312" w:cs="仿宋_GB2312" w:eastAsia="仿宋_GB2312"/>
                <w:sz w:val="24"/>
                <w:b/>
              </w:rPr>
              <w:t>《混凝土结构工程施工质量验收规范》（</w:t>
            </w:r>
            <w:r>
              <w:rPr>
                <w:rFonts w:ascii="仿宋_GB2312" w:hAnsi="仿宋_GB2312" w:cs="仿宋_GB2312" w:eastAsia="仿宋_GB2312"/>
                <w:sz w:val="24"/>
                <w:b/>
              </w:rPr>
              <w:t>GB 50204）</w:t>
            </w:r>
          </w:p>
          <w:p>
            <w:pPr>
              <w:pStyle w:val="null3"/>
              <w:jc w:val="left"/>
              <w:outlineLvl w:val="1"/>
            </w:pPr>
            <w:r>
              <w:rPr>
                <w:rFonts w:ascii="仿宋_GB2312" w:hAnsi="仿宋_GB2312" w:cs="仿宋_GB2312" w:eastAsia="仿宋_GB2312"/>
                <w:sz w:val="24"/>
                <w:b/>
              </w:rPr>
              <w:t>《建筑地基基础工程施工质量验收规范》（</w:t>
            </w:r>
            <w:r>
              <w:rPr>
                <w:rFonts w:ascii="仿宋_GB2312" w:hAnsi="仿宋_GB2312" w:cs="仿宋_GB2312" w:eastAsia="仿宋_GB2312"/>
                <w:sz w:val="24"/>
                <w:b/>
              </w:rPr>
              <w:t>GB 50202）</w:t>
            </w:r>
          </w:p>
          <w:p>
            <w:pPr>
              <w:pStyle w:val="null3"/>
              <w:jc w:val="left"/>
              <w:outlineLvl w:val="1"/>
            </w:pPr>
            <w:r>
              <w:rPr>
                <w:rFonts w:ascii="仿宋_GB2312" w:hAnsi="仿宋_GB2312" w:cs="仿宋_GB2312" w:eastAsia="仿宋_GB2312"/>
                <w:sz w:val="24"/>
                <w:b/>
              </w:rPr>
              <w:t>《建筑电气工程施工质量验收规范》（</w:t>
            </w:r>
            <w:r>
              <w:rPr>
                <w:rFonts w:ascii="仿宋_GB2312" w:hAnsi="仿宋_GB2312" w:cs="仿宋_GB2312" w:eastAsia="仿宋_GB2312"/>
                <w:sz w:val="24"/>
                <w:b/>
              </w:rPr>
              <w:t>GB 50303）</w:t>
            </w:r>
          </w:p>
          <w:p>
            <w:pPr>
              <w:pStyle w:val="null3"/>
              <w:jc w:val="left"/>
              <w:outlineLvl w:val="1"/>
            </w:pPr>
            <w:r>
              <w:rPr>
                <w:rFonts w:ascii="仿宋_GB2312" w:hAnsi="仿宋_GB2312" w:cs="仿宋_GB2312" w:eastAsia="仿宋_GB2312"/>
                <w:sz w:val="24"/>
                <w:b/>
              </w:rPr>
              <w:t>《电气装置安装工程电缆线路施工及验收规范》（</w:t>
            </w:r>
            <w:r>
              <w:rPr>
                <w:rFonts w:ascii="仿宋_GB2312" w:hAnsi="仿宋_GB2312" w:cs="仿宋_GB2312" w:eastAsia="仿宋_GB2312"/>
                <w:sz w:val="24"/>
                <w:b/>
              </w:rPr>
              <w:t>GB 50168）</w:t>
            </w:r>
          </w:p>
          <w:p>
            <w:pPr>
              <w:pStyle w:val="null3"/>
              <w:jc w:val="left"/>
              <w:outlineLvl w:val="1"/>
            </w:pPr>
            <w:r>
              <w:rPr>
                <w:rFonts w:ascii="仿宋_GB2312" w:hAnsi="仿宋_GB2312" w:cs="仿宋_GB2312" w:eastAsia="仿宋_GB2312"/>
                <w:sz w:val="24"/>
                <w:b/>
              </w:rPr>
              <w:t>《尾气遥感监测系统技术要求》（</w:t>
            </w:r>
            <w:r>
              <w:rPr>
                <w:rFonts w:ascii="仿宋_GB2312" w:hAnsi="仿宋_GB2312" w:cs="仿宋_GB2312" w:eastAsia="仿宋_GB2312"/>
                <w:sz w:val="24"/>
                <w:b/>
              </w:rPr>
              <w:t>HJ 1045）</w:t>
            </w:r>
          </w:p>
          <w:p>
            <w:pPr>
              <w:pStyle w:val="null3"/>
              <w:jc w:val="left"/>
              <w:outlineLvl w:val="1"/>
            </w:pPr>
            <w:r>
              <w:rPr>
                <w:rFonts w:ascii="仿宋_GB2312" w:hAnsi="仿宋_GB2312" w:cs="仿宋_GB2312" w:eastAsia="仿宋_GB2312"/>
                <w:sz w:val="24"/>
                <w:b/>
              </w:rPr>
              <w:t>《机动车排放污染物遥感监测技术规范》（</w:t>
            </w:r>
            <w:r>
              <w:rPr>
                <w:rFonts w:ascii="仿宋_GB2312" w:hAnsi="仿宋_GB2312" w:cs="仿宋_GB2312" w:eastAsia="仿宋_GB2312"/>
                <w:sz w:val="24"/>
                <w:b/>
              </w:rPr>
              <w:t>HJ 845）</w:t>
            </w:r>
          </w:p>
          <w:p>
            <w:pPr>
              <w:pStyle w:val="null3"/>
              <w:jc w:val="left"/>
              <w:outlineLvl w:val="1"/>
            </w:pPr>
            <w:r>
              <w:rPr>
                <w:rFonts w:ascii="仿宋_GB2312" w:hAnsi="仿宋_GB2312" w:cs="仿宋_GB2312" w:eastAsia="仿宋_GB2312"/>
                <w:sz w:val="24"/>
                <w:b/>
              </w:rPr>
              <w:t>国家、地方及行业其他相关现行规范、标准及技术文件。</w:t>
            </w:r>
          </w:p>
          <w:p>
            <w:pPr>
              <w:pStyle w:val="null3"/>
              <w:jc w:val="left"/>
              <w:outlineLvl w:val="1"/>
            </w:pPr>
            <w:r>
              <w:rPr>
                <w:rFonts w:ascii="仿宋_GB2312" w:hAnsi="仿宋_GB2312" w:cs="仿宋_GB2312" w:eastAsia="仿宋_GB2312"/>
                <w:sz w:val="24"/>
                <w:b/>
              </w:rPr>
              <w:t>4、调试与验收要求</w:t>
            </w:r>
          </w:p>
          <w:p>
            <w:pPr>
              <w:pStyle w:val="null3"/>
              <w:jc w:val="left"/>
              <w:outlineLvl w:val="1"/>
            </w:pPr>
            <w:r>
              <w:rPr>
                <w:rFonts w:ascii="仿宋_GB2312" w:hAnsi="仿宋_GB2312" w:cs="仿宋_GB2312" w:eastAsia="仿宋_GB2312"/>
                <w:sz w:val="24"/>
                <w:b/>
              </w:rPr>
              <w:t>调试内容：投标人须完成线路通断测试、设备单机调试、系统联调、数据传输测试、远程监控调试等工作，确保系统各项功能正常，数据传输稳定、准确，满足尾气遥感监测业务需求。</w:t>
            </w:r>
          </w:p>
          <w:p>
            <w:pPr>
              <w:pStyle w:val="null3"/>
              <w:jc w:val="left"/>
              <w:outlineLvl w:val="1"/>
            </w:pPr>
            <w:r>
              <w:rPr>
                <w:rFonts w:ascii="仿宋_GB2312" w:hAnsi="仿宋_GB2312" w:cs="仿宋_GB2312" w:eastAsia="仿宋_GB2312"/>
                <w:sz w:val="24"/>
                <w:b/>
              </w:rPr>
              <w:t>试运行要求：系统调试完成后，须进行不少于</w:t>
            </w:r>
            <w:r>
              <w:rPr>
                <w:rFonts w:ascii="仿宋_GB2312" w:hAnsi="仿宋_GB2312" w:cs="仿宋_GB2312" w:eastAsia="仿宋_GB2312"/>
                <w:sz w:val="24"/>
                <w:b/>
              </w:rPr>
              <w:t>72 小时的连续试运行，试运行期间设备无故障、数据传输正常，方可申请验收。</w:t>
            </w:r>
          </w:p>
          <w:p>
            <w:pPr>
              <w:pStyle w:val="null3"/>
            </w:pPr>
            <w:r>
              <w:rPr>
                <w:rFonts w:ascii="仿宋_GB2312" w:hAnsi="仿宋_GB2312" w:cs="仿宋_GB2312" w:eastAsia="仿宋_GB2312"/>
                <w:sz w:val="24"/>
              </w:rPr>
              <w:t>验收标准：项目验收须以本技术要求、国家及行业现行规范标准、施工图纸为依据，提供完整的施工资料、设备合格证、检测报告、调试报告等文件；验收不合格的，投标人须按要求整改，直至验收合格。</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对道路上行驶的各类机动车按照《在用柴油车排气污染物测量方法及技术要求（遥感检测法）》（HJ845-2017）监测排放的一氧化碳、二氧化碳、碳氢化合物、氮氧化物、烟度等污染物体积浓度。保障机动车尾气遥感监测系统的稳定运行，确保监测数据的实时上传以及柴油货车监督抽测比例不低于保有量50%的任务指标；运用智能运维的在线监测系统工具，提供优质、持续、高效的技术支持服务，协助市级生态环境部门做好业务系统软件维护、优化、数据联网、调阅、迁移、培训等工作；为数据的准确及时上报提供可靠的支撑，最大程度的保证数据接收、存储、交换、分析的准确性；响应用户数据查询、分析需求，及时反馈数据异常，报告日数据超标情况；按协商好的交付周期按时保质保量完成，用户满意度达到95%以上。 2、本运维服务适用于固定式环境监测系统、智能识别抓拍系统全套设备及配套软硬件，实行7×24 小时不间断运维保障，确保系统全天候稳定运行，监测数据、识别图像、运行状态可实时传输至监管平台，数据有效率、传输准确率满足行业监管规范及相关政策标准。 3、运维全过程严格遵守生态环境监测、智能识别系统运维相关规范，保障监测数据、识别信息真实、准确、合规，完整留存巡检记录、故障台账、配件更换记录、校准报告、运维日志等资料，定期归档备查。 4、负责支付点位电费、网络等各类费用。 5、接受采购人的检查和考核，确保监测数据真实有效。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对道路上行驶的各类机动车按照《在用柴油车排气污染物测量方法及技术要求（遥感检测法）》（HJ845-2017）监测排放的一氧化碳、二氧化碳、碳氢化合物、氮氧化物、烟度等污染物体积浓度。保障机动车尾气遥感监测系统的稳定运行，确保监测数据的实时上传以及柴油货车监督抽测比例不低于保有量50%的任务指标；运用智能运维的在线监测系统工具，提供优质、持续、高效的技术支持服务，协助市级生态环境部门做好业务系统软件维护、优化、数据联网、调阅、迁移、培训等工作；为数据的准确及时上报提供可靠的支撑，最大程度的保证数据接收、存储、交换、分析的准确性；响应用户数据查询、分析需求，及时反馈数据异常，报告日数据超标情况；按协商好的交付周期按时保质保量完成，用户满意度达到95%以上。 2、本运维服务适用于固定式环境监测系统、智能识别抓拍系统全套设备及配套软硬件，实行7×24 小时不间断运维保障，确保系统全天候稳定运行，监测数据、识别图像、运行状态可实时传输至监管平台，数据有效率、传输准确率满足行业监管规范及相关政策标准。 3、运维全过程严格遵守生态环境监测、智能识别系统运维相关规范，保障监测数据、识别信息真实、准确、合规，完整留存巡检记录、故障台账、配件更换记录、校准报告、运维日志等资料，定期归档备查。 4、负责支付点位电费、网络等各类费用。 5、接受采购人的检查和考核，确保监测数据真实有效。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对道路上行驶的各类机动车按照《在用柴油车排气污染物测量方法及技术要求（遥感检测法）》（HJ845-2017）监测排放的一氧化碳、二氧化碳、碳氢化合物、氮氧化物、烟度等污染物体积浓度。保障机动车尾气遥感监测系统的稳定运行，确保监测数据的实时上传以及柴油货车监督抽测比例不低于保有量50%的任务指标；运用智能运维的在线监测系统工具，提供优质、持续、高效的技术支持服务，协助市级生态环境部门做好业务系统软件维护、优化、数据联网、调阅、迁移、培训等工作；为数据的准确及时上报提供可靠的支撑，最大程度的保证数据接收、存储、交换、分析的准确性；响应用户数据查询、分析需求，及时反馈数据异常，报告日数据超标情况；按协商好的交付周期按时保质保量完成，用户满意度达到95%以上。 （2）本运维服务适用于固定式环境监测系统、智能识别抓拍系统全套设备及配套软硬件，实行7×24 小时不间断运维保障，确保系统全天候稳定运行，监测数据、识别图像、运行状态可实时传输至监管平台，数据有效率、传输准确率满足行业监管规范及相关政策标准。 （3）运维全过程严格遵守生态环境监测、智能识别系统运维相关规范，保障监测数据、识别信息真实、准确、合规，完整留存巡检记录、故障台账、配件更换记录、校准报告、运维日志等资料，定期归档备查。 （4）负责支付点位电费、网络等各类费用。 （5）接受采购人的检查和考核，确保监测数据真实有效。</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一、主要硬件设备维护要求 1、对系统内光学发射接收部件、主控板卡、信号采集板卡、温控模块、光谱分析模块、速度感应部件、执行电磁阀、压力监测部件、网络交换设备、工控主机、存储设备、摄像采集设备、补光设备等全部硬件开展常态化巡检维护。 2、定期检测光学设备输出稳定性、采集精度，及时清洁镜头、光路，排查功率衰减、信号异常问题；对各类板卡、控制模块检查线 路连接、元件运行、散热状态，及时处理老化、松动、故障隐患。 3、温控、恒温设备定期检修，保障设备舱体恒温恒湿运行；网络、存储、摄像、补光设备定期调试优化，保障图像清晰、识别精准、数据存储完整、传输稳定。 4、硬件配件损坏后，采用同规格、同性能、可兼容配件及时更换，维修更换后完成整机调试，确保设备性能达到运行标准。 二、易损件更换运维要求 1、按系统运行损耗规律，对标准气体耗材、光源类易损件、光源控制板件等易损耗部件，实行定期检查、按需更换。 2、耗材及易损件更换后，完成系统校准、精度调试，确保设备监测、识别精度符合技术标准，留存更换及调试记录。 3、所有更换耗材、配件需符合系统技术适配要求，质量可靠，满足长期稳定运行条件。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一、主要硬件设备维护要求 1、对系统内光学发射接收部件、主控板卡、信号采集板卡、温控模块、光谱分析模块、速度感应部件、执行电磁阀、压力监测部件、网络交换设备、工控主机、存储设备、摄像采集设备、补光设备等全部硬件开展常态化巡检维护。 2、定期检测光学设备输出稳定性、采集精度，及时清洁镜头、光路，排查功率衰减、信号异常问题；对各类板卡、控制模块检查线 路连接、元件运行、散热状态，及时处理老化、松动、故障隐患。 3、温控、恒温设备定期检修，保障设备舱体恒温恒湿运行；网络、存储、摄像、补光设备定期调试优化，保障图像清晰、识别精准、数据存储完整、传输稳定。 4、硬件配件损坏后，采用同规格、同性能、可兼容配件及时更换，维修更换后完成整机调试，确保设备性能达到运行标准。 二、易损件更换运维要求 1、按系统运行损耗规律，对标准气体耗材、光源类易损件、光源控制板件等易损耗部件，实行定期检查、按需更换。 2、耗材及易损件更换后，完成系统校准、精度调试，确保设备监测、识别精度符合技术标准，留存更换及调试记录。 3、所有更换耗材、配件需符合系统技术适配要求，质量可靠，满足长期稳定运行条件。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一、主要硬件设备维护要求 （1）对系统内光学发射接收部件、主控板卡、信号采集板卡、温控模块、光谱分析模块、速度感应部件、执行电磁阀、压力监测部件、网络交换设备、工控主机、存储设备、摄像采集设备、补光设备等全部硬件开展常态化巡检维护。 （2）定期检测光学设备输出稳定性、采集精度，及时清洁镜头、光路，排查功率衰减、信号异常问题；对各类板卡、控制模块检查线 路连接、元件运行、散热状态，及时处理老化、松动、故障隐患。 （3）温控、恒温设备定期检修，保障设备舱体恒温恒湿运行；网络、存储、摄像、补光设备定期调试优化，保障图像清晰、识别精准、数据存储完整、传输稳定。 （4）硬件配件损坏后，采用同规格、同性能、可兼容配件及时更换，维修更换后完成整机调试，确保设备性能达到运行标准。 二、易损件更换运维要求 （1）按系统运行损耗规律，对标准气体耗材、光源类易损件、光源控制板件等易损耗部件，实行定期检查、按需更换。 （2）耗材及易损件更换后，完成系统校准、精度调试，确保设备监测、识别精度符合技术标准，留存更换及调试记录。 （3）所有更换耗材、配件需符合系统技术适配要求，质量可靠，满足长期稳定运行条件。</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一、网络及电力保障要求 1、负责系统专用网络的费用缴纳、网络运维，保障专用网络 7×24 小时畅通稳定，实时监测网络传输状态，及时处置断网、卡顿、延迟等故障，确保数据实时上传。 2、保障系统供电稳定，满足设备24 小时不间断运行的用电需求，协助排查供电线路、电源模块故障，配合完成电费相关对接工作，避免设备因供电问题停机。 二、软件维护升级要求 1、对监测系统、智能识别系统配套软件提供日常维护、故障修复、版本升级、算法优化服务，保障软件运行流畅，适配监管平台数据传输格式与最新政策规范。 2、定期修复软件漏洞，优化监测、识别算法，降低误报、漏报概率，保障数据解析、图像识别、信息上传功能正常稳定。 3、软件类故障优先远程处置，重大软件故障须及时到场排查修复，保障系统功能完整性。 三、设备计量校准要求 1、按国家及行业规范，定期委托具备合法资质的第三方机构，对整套系统开展计量校准工作，取得合规有效的校准证书。 2、校准范围包含监测精度、光学精度、识别精度、时序校验、数据传输、设备性能等全部项目，校准后确保设备符合监测执法、数据监管相关标准。 3、严格按照监管部门要求周期开展校准工作，提前完成校准，保障设备合法合规运行。 四、通勤及应急保障要求 1、配备运维通勤保障条件，确保运维人员、维修工具、备用配件可快速抵达服务现场，常规故障24 小时内处置完毕，重大故障 48 小时内完成维修或更换。 2、建立 7×24 小时运维响应机制，节假日、极端天气期间保持应急值守，突发故障快速响应处置，最大限度缩短设备停机时间。 3、执行常态化定期巡检制度，提前排查设备隐患，降低故障发生率，形成完整巡检报告。 五、安全及管理服务要求 1、运维作业严格遵守安全生产规范，做好电气安全、设备安全、数据安全防护，杜绝触电、设备损毁、数据丢失等安全事故。 2、主动接受采购方及监管部门的监督、检查与考核，及时完成问题整改，保障运维质量、数据质量达标。 3、提供技术咨询、基础操作培训等配套服务，协助采购方做好系统日常管理工作。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一、网络及电力保障要求 1、负责系统专用网络的费用缴纳、网络运维，保障专用网络 7×24 小时畅通稳定，实时监测网络传输状态，及时处置断网、卡顿、延迟等故障，确保数据实时上传。 2、保障系统供电稳定，满足设备24 小时不间断运行的用电需求，协助排查供电线路、电源模块故障，配合完成电费相关对接工作，避免设备因供电问题停机。 二、软件维护升级要求 1、对监测系统、智能识别系统配套软件提供日常维护、故障修复、版本升级、算法优化服务，保障软件运行流畅，适配监管平台数据传输格式与最新政策规范。 2、定期修复软件漏洞，优化监测、识别算法，降低误报、漏报概率，保障数据解析、图像识别、信息上传功能正常稳定。 3、软件类故障优先远程处置，重大软件故障须及时到场排查修复，保障系统功能完整性。 三、设备计量校准要求 1、按国家及行业规范，定期委托具备合法资质的第三方机构，对整套系统开展计量校准工作，取得合规有效的校准证书。 2、校准范围包含监测精度、光学精度、识别精度、时序校验、数据传输、设备性能等全部项目，校准后确保设备符合监测执法、数据监管相关标准。 3、严格按照监管部门要求周期开展校准工作，提前完成校准，保障设备合法合规运行。 四、通勤及应急保障要求 1、配备运维通勤保障条件，确保运维人员、维修工具、备用配件可快速抵达服务现场，常规故障24 小时内处置完毕，重大故障 48 小时内完成维修或更换。 2、建立 7×24 小时运维响应机制，节假日、极端天气期间保持应急值守，突发故障快速响应处置，最大限度缩短设备停机时间。 3、执行常态化定期巡检制度，提前排查设备隐患，降低故障发生率，形成完整巡检报告。 五、安全及管理服务要求 1、运维作业严格遵守安全生产规范，做好电气安全、设备安全、数据安全防护，杜绝触电、设备损毁、数据丢失等安全事故。 2、主动接受采购方及监管部门的监督、检查与考核，及时完成问题整改，保障运维质量、数据质量达标。 3、提供技术咨询、基础操作培训等配套服务，协助采购方做好系统日常管理工作。</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（一）机动车尾气遥感监测及黑烟车智能识别系统运维 一、网络及电力保障要求 （1）负责系统专用网络的费用缴纳、网络运维，保障专用网络 7×24 小时畅通稳定，实时监测网络传输状态，及时处置断网、卡顿、延迟等故障，确保数据实时上传。 （2）保障系统供电稳定，满足设备24 小时不间断运行的用电需求，协助排查供电线路、电源模块故障，配合完成电费相关对接工作，避免设备因供电问题停机。 二、软件维护升级要求 （1）对监测系统、智能识别系统配套软件提供日常维护、故障修复、版本升级、算法优化服务，保障软件运行流畅，适配监管平台数据传输格式与最新政策规范。 （2）定期修复软件漏洞，优化监测、识别算法，降低误报、漏报概率，保障数据解析、图像识别、信息上传功能正常稳定。 （3）软件类故障优先远程处置，重大软件故障须及时到场排查修复，保障系统功能完整性。 三、设备计量校准要求 （1）按国家及行业规范，定期委托具备合法资质的第三方机构，对整套系统开展计量校准工作，取得合规有效的校准证书。 （2）校准范围包含监测精度、光学精度、识别精度、时序校验、数据传输、设备性能等全部项目，校准后确保设备符合监测执法、数据监管相关标准。 （3）严格按照监管部门要求周期开展校准工作，提前完成校准，保障设备合法合规运行。 四、通勤及应急保障要求 （1）配备运维通勤保障条件，确保运维人员、维修工具、备用配件可快速抵达服务现场，常规故障24 小时内处置完毕，重大故障 48 小时内完成维修或更换。 （2）建立 7×24 小时运维响应机制，节假日、极端天气期间保持应急值守，突发故障快速响应处置，最大限度缩短设备停机时间。 （3）执行常态化定期巡检制度，提前排查设备隐患，降低故障发生率，形成完整巡检报告。 五、安全及管理服务要求 （1）运维作业严格遵守安全生产规范，做好电气安全、设备安全、数据安全防护，杜绝触电、设备损毁、数据丢失等安全事故。 （2）主动接受采购方及监管部门的监督、检查与考核，及时完成问题整改，保障运维质量、数据质量达标。 （3）提供技术咨询、基础操作培训等配套服务，协助采购方做好系统日常管理工作。 （二）机动车尾气遥感监测系统搬迁 一、设备及材料技术要求 （1）土建材料 商品混凝土：强度等级 C30，须符合 GB 175 标准，提供出厂合格证及检测报告，严禁使用不合格混凝土。 预埋件及配件：地脚螺栓、钢板、螺母、垫片等须采用合格钢材，表面防腐处理到位，尺寸、规格符合设计要求，提供质量证明文件。 检查井材料：砖砌材料、粉刷材料、铸铁井盖须符合国家相关标准，井盖强度、防盗性能满足现场使用需求。 （2）电气及线路材料 电缆及电线：均为国标铜芯电缆，型号、规格须符合设计要求，提供出厂检测报告，绝缘性能、阻燃性能达标。 PE 套管：规格符合线路敷设要求，抗压、耐腐蚀性能达标，满足地下敷设环境需求。 配电箱：采用合格产品，配置空开、漏保等保护装置，防护等级不低于 IP54，提供产品合格证及检测报告。 网线：超6类千兆屏蔽网线，传输性能达标，满足数据传输速率及稳定性要求，提供产品质量证明文件。 （3）设备及辅材 监测杆（L杆、F杆）：定制产品，杆体材质、壁厚符合设计要求，防腐处理采用热镀锌 + 喷塑工艺，使用寿命不低于 10 年；法兰盘、检修口规格匹配，安装精度满足设备安装需求。 机柜及基座：不锈钢基座、机柜须具备防水、防尘、防锈性能，防护等级不低于 IP55，尺寸、承重满足设备安装需求。 安装辅材：膨胀螺栓、密封胶、防水圈等辅材须为合格产品，适配现场安装环境，满足设备固定、密封、防护需求。 二、施工技术要求 （1）施工准备：投标人须在施工前完成现场勘察，编制专项施工方案，明确施工流程、安全措施、质量控制要点，报招标人审批通过后方可实施。 （2）土建施工：基础开挖尺寸、深度须符合设计要求，严禁扰动基底原状土；混凝土浇筑须连续作业，振捣密实，养护措施到位，强度达标后方可进行后续施工；检查井施工须保证防渗、防漏，与管线连接顺畅。 拆除作业：拆除作业须制定安全专项方案，做好周边设施防护，严禁野蛮施工；拆除设备须做好标识、分类存放，避免损坏、遗失。 设备安装：设备安装位置、垂直度、水平度须符合规范要求，杆体安装垂直度偏差不大于 1/1000；线路敷设须规范，标识清晰，接线牢固，绝缘测试合格；设备安装完成后须进行全面调试，确保各项功能正常。 （3）安全文明施工：施工过程须落实安全防护措施，设置围挡、警示标志，严禁违规作业；做好扬尘、噪声控制，施工垃圾及时清理，保持场地整洁，符合环保及文明施工要求。 三、技术标准与规范要求 本项目所有施工及设备安装须严格遵循以下国家、行业现行规范标准（包括但不限于）： 《混凝土结构工程施工质量验收规范》（GB 50204） 《建筑地基基础工程施工质量验收规</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1.采购人实行季度考核、年度总验收的考核机制，考核内容包含设备在线率、数据有效率、故障响应及修复时效、巡检台账完整性、月度报告提交质量、主管部门检查结果等内容。 2.单季度考核不合格的，采购人有权扣减当期服务费，并要求限期整改；连续两个季度考核不合格的，采购人有权单方解除合同，扣除履约保证金，追究成交供应商违约责任。 3.服务期满后，成交供应商完成全部运维工作、资料归档齐全、系统运行达标，经采购人整体验收合格后，完成最终结算。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1.采购人实行季度考核、年度总验收的考核机制，考核内容包含设备在线率、数据有效率、故障响应及修复时效、巡检台账完整性、月度报告提交质量、主管部门检查结果等内容。 2.单季度考核不合格的，采购人有权扣减当期服务费，并要求限期整改；连续两个季度考核不合格的，采购人有权单方解除合同，扣除履约保证金，追究成交供应商违约责任。 3.服务期满后，成交供应商完成全部运维工作、资料归档齐全、系统运行达标，经采购人整体验收合格后，完成最终结算。</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1.采购人实行季度考核、年度总验收的考核机制，考核内容包含设备在线率、数据有效率、故障响应及修复时效、巡检台账完整性、月度报告提交质量、主管部门检查结果等内容。 2.单季度考核不合格的，采购人有权扣减当期服务费，并要求限期整改；连续两个季度考核不合格的，采购人有权单方解除合同，扣除履约保证金，追究成交供应商违约责任。 3.服务期满后，成交供应商完成全部运维工作、资料归档齐全、系统运行达标，经采购人整体验收合格后，完成最终结算。</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进度款，合同签订生效且中标投标人完成服务准备工作（含人员到位、设备调试、备件储备），支付合同总金额的40%。，达到付款条件起15个工作日内，支付合同总金额的40.0%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进度款，剩余款项按季度支付，每季度运维服务结束，经采购人考核验收合格后，支付合同总金额的15%。，达到付款条件起15个工作日内，支付合同总金额的15.0%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进度款，剩余款项按季度支付，每季度运维服务结束，经采购人考核验收合格后，支付合同总金额的15%。，达到付款条件起15个工作日内，支付合同总金额的15.0%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进度款，剩余款项按季度支付，每季度运维服务结束，经采购人考核验收合格后，支付合同总金额的15%。，达到付款条件起15个工作日内，支付合同总金额的15.0%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进度款，剩余款项按季度支付，每季度运维服务结束，经采购人考核验收合格后，支付合同总金额的15%。，达到付款条件起15个工作日内，支付合同总金额的15.0%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进度款，合同签订生效且中标投标人完成服务准备工作（含人员到位、设备调试、备件储备），支付合同总金额的40%。，达到付款条件起15个工作日内，支付合同总金额的40.0%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进度款，剩余款项按季度支付，每季度运维服务结束，经采购人考核验收合格后，支付合同总金额的15%。，达到付款条件起15个工作日内，支付合同总金额的15.0%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进度款，剩余款项按季度支付，每季度运维服务结束，经采购人考核验收合格后，支付合同总金额的15%。，达到付款条件起15个工作日内，支付合同总金额的15.0%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进度款，剩余款项按季度支付，每季度运维服务结束，经采购人考核验收合格后，支付合同总金额的15%。，达到付款条件起15个工作日内，支付合同总金额的15.0%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进度款，剩余款项按季度支付，每季度运维服务结束，经采购人考核验收合格后，支付合同总金额的15%。，达到付款条件起15个工作日内，支付合同总金额的15.0%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进度款，合同签订生效且中标投标人完成服务准备工作（含人员到位、设备调试、备件储备），支付合同总金额的40%。，达到付款条件起15个工作日内，支付合同总金额的40.0%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进度款，剩余款项按季度支付，每季度运维服务结束，经采购人考核验收合格后，支付合同总金额的15%。，达到付款条件起15个工作日内，支付合同总金额的15.0%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进度款，剩余款项按季度支付，每季度运维服务结束，经采购人考核验收合格后，支付合同总金额的15%。，达到付款条件起15个工作日内，支付合同总金额的15.0%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进度款，剩余款项按季度支付，每季度运维服务结束，经采购人考核验收合格后，支付合同总金额的15%。，达到付款条件起15个工作日内，支付合同总金额的15.0%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进度款，剩余款项按季度支付，每季度运维服务结束，经采购人考核验收合格后，支付合同总金额的15%。，达到付款条件起15个工作日内，支付合同总金额的15.0%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1.因成交供应商运维不力、响应不及时、维修不到位，导致设备长期停运、数据异常、被生态环境部门通报批评的，采购人有权扣减服务费、扣除履约保证金，情节严重的解除合同。 2.成交供应商存在数据篡改、弄虚作假、擅自更改设备参数、泄露监测数据及点位信息等违规行为的，采购人有权立即终止合同、不予支付剩余款项，并上报行业主管及财政部门追责。 3.成交供应商未按要求配备人员、购买保险、储备备品备件、逾期提交运维报告的，采购人有权视情节扣减当期服务费用。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1.因成交供应商运维不力、响应不及时、维修不到位，导致设备长期停运、数据异常、被生态环境部门通报批评的，采购人有权扣减服务费、扣除履约保证金，情节严重的解除合同。 2.成交供应商存在数据篡改、弄虚作假、擅自更改设备参数、泄露监测数据及点位信息等违规行为的，采购人有权立即终止合同、不予支付剩余款项，并上报行业主管及财政部门追责。 3.成交供应商未按要求配备人员、购买保险、储备备品备件、逾期提交运维报告的，采购人有权视情节扣减当期服务费用。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1.因成交供应商运维不力、响应不及时、维修不到位，导致设备长期停运、数据异常、被生态环境部门通报批评的，采购人有权扣减服务费、扣除履约保证金，情节严重的解除合同。 2.成交供应商存在数据篡改、弄虚作假、擅自更改设备参数、泄露监测数据及点位信息等违规行为的，采购人有权立即终止合同、不予支付剩余款项，并上报行业主管及财政部门追责。 3.成交供应商未按要求配备人员、购买保险、储备备品备件、逾期提交运维报告的，采购人有权视情节扣减当期服务费用。</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1.质量要求：符合国家现行相关行业验收规范“合格”标准。 2.采购标的对应的中小企业划分标准所属行业为其他未列明行业。从业人员300人以下的为中小微型企业。其中，从业人员100人及以上的为中型企业；从业人员10人及以上的为小型企业；从业人员10人以下的为微型企业。 3.中标人在领取中标通知书时提供一正两副纸质投标文件，纸质投标文件采用书籍（胶装）方式装订成册，与电子投标文件一致的签字、盖章的完整版本。电子版一份（U盘存储，电子版须为与上传至电子化交易系统内容一致的签章完成的PDF版文件）；若正本和副本不符，以正本为准。 4.需要落实的政府采购政策： 1）《政府采购促进中小企业发展管理办法》（财库〔2020〕46号）； 2）《财政部司法部关于政府采购支持监狱企业发展有关问题的通知》（财库〔2014〕68号）； 3）《国务院办公厅关于建立政府强制采购节能产品制度的通知》（国发办〔2007〕51号）； 4）《节能产品政府采购实施意见》（财库〔2004〕185号）； 5）《环境标志产品政府采购实施的意见》（财库〔2006〕90号）； 6）《三部门联合发布关于促进残疾人就业政府采购政策的通知》（财库〔2017〕141号）； 7）《财政部发展改革委生态环境部市场监管总局关于调整优化节能产品、环境标志产品政府采购执行机制的通知》（财库〔2019〕9号）； 8）陕西省财政厅关于印发《陕西省中小企业政府采购信用融资办法》（陕财办采〔2018〕23号）； 9）《财政部农业农村部国家乡村振兴局关于运用政府采购政策支持乡村产业振兴的通知》（财库〔2021〕19号）； 10）《陕西省财政厅关于加快推进我省中小企业政府采购信用融资工作的通知》（陕财办采〔2020〕15号）； 11）《关于进一步加大政府采购支持中小企业力度的通知》（财库〔2022〕19号； 12）其他需要落实的政府采购政策，如有最新颁布的政府采购政策，按最新的文件执行。 5.各投标人均可就本招标项目上述标段中的1个标段投标，但最多允许中标1个标段。</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五、资格证明文件.docx 九、供应商承诺书.docx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五、资格证明文件.docx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五、资格证明文件.docx 九、供应商承诺书.docx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五、资格证明文件.docx 九、供应商承诺书.docx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五、资格证明文件.docx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五、资格证明文件.docx 九、供应商承诺书.docx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五、资格证明文件.docx 九、供应商承诺书.docx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五、资格证明文件.docx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五、资格证明文件.docx 九、供应商承诺书.docx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提供营业执照：具有独立承担民事责任能力，提供投标人合法注册的法人或其他组织的营业执照/事业单位法人证书/非企业专业服务机构执业许可证/民办非企业单位登记证书。（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近三年经审计的财务报告（成立时间至提交投标文件截止时间不足一年的可提供成立后任意时段的资产负债表），或其基本存款账户开户银行出具的资信证明。（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提供承诺书。（应提供相应证明文件。供应商需在项目电子化交易系统中按要求上传相应证明文件）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九、供应商承诺书.docx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依法缴纳税收：提供投标人自投标前3个月以来任意时段已缴纳任意时段完税凭证或税务机关开具的完税证明（任意税种）；依法免税的应提供相关文件证明；社会保障资金提供投标人自开标前3个月以来任意时段已缴存的社会保障资金缴存单据或社保机构开具的社会保险参保缴费情况证明；依法不需要缴纳社会保障资金的应提供相关文件证明。（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提供书面声明。（应提供相应证明文件。供应商需在项目电子化交易系统中按要求上传相应证明文件）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九、供应商承诺书.docx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提供书面声明。（应提供相应证明文件。供应商需在项目电子化交易系统中按要求上传相应证明文件）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九、供应商承诺书.docx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中小企声明函</w:t>
            </w:r>
          </w:p>
        </w:tc>
        <w:tc>
          <w:tcPr>
            <w:tcW w:type="dxa" w:w="3322"/>
          </w:tcPr>
          <w:p>
            <w:pPr>
              <w:pStyle w:val="null3"/>
            </w:pPr>
            <w:r>
              <w:rPr>
                <w:rFonts w:ascii="仿宋_GB2312" w:hAnsi="仿宋_GB2312" w:cs="仿宋_GB2312" w:eastAsia="仿宋_GB2312"/>
              </w:rPr>
              <w:t>投标人须提供中小企业声明函。（应提供相应证明文件。供应商需在项目电子化交易系统中按要求上传相应证明文件）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中小企业声明函 残疾人福利性单位声明函 五、资格证明文件.docx 九、供应商承诺书.docx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投标人不得为“中国执行信息公开网”（zxgk.court.gov.cn/shixin/）中列入失信被执行人和“信用中国”（www.creditchina.gov.cn/）列入重大税收违法失信主体的投标人，不得为“中国政府采购网”（www.ccgp.gov.cn）政府采购严重违法失信行为记录名单中被财政部门禁止参加政府采购活动的投标人。（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九、供应商承诺书.docx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本采购项目不接受联合体投标</w:t>
            </w:r>
          </w:p>
        </w:tc>
        <w:tc>
          <w:tcPr>
            <w:tcW w:type="dxa" w:w="3322"/>
          </w:tcPr>
          <w:p>
            <w:pPr>
              <w:pStyle w:val="null3"/>
            </w:pPr>
            <w:r>
              <w:rPr>
                <w:rFonts w:ascii="仿宋_GB2312" w:hAnsi="仿宋_GB2312" w:cs="仿宋_GB2312" w:eastAsia="仿宋_GB2312"/>
              </w:rPr>
              <w:t>本采购项目不接受联合体投标。（应提供相应证明文件。供应商需在项目电子化交易系统中按要求上传相应证明文件）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九、供应商承诺书.docx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提供营业执照：具有独立承担民事责任能力，提供投标人合法注册的法人或其他组织的营业执照/事业单位法人证书/非企业专业服务机构执业许可证/民办非企业单位登记证书。（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近三年经审计的财务报告（成立时间至提交投标文件截止时间不足一年的可提供成立后任意时段的资产负债表），或其基本存款账户开户银行出具的资信证明。（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提供承诺书。（应提供相应证明文件。供应商需在项目电子化交易系统中按要求上传相应证明文件）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九、供应商承诺书.docx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依法缴纳税收：提供投标人自投标前3个月以来任意时段已缴纳任意时段完税凭证或税务机关开具的完税证明（任意税种）；依法免税的应提供相关文件证明；社会保障资金提供投标人自开标前3个月以来任意时段已缴存的社会保障资金缴存单据或社保机构开具的社会保险参保缴费情况证明；依法不需要缴纳社会保障资金的应提供相关文件证明。（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提供书面声明。（应提供相应证明文件。供应商需在项目电子化交易系统中按要求上传相应证明文件）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九、供应商承诺书.docx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提供书面声明。（应提供相应证明文件。供应商需在项目电子化交易系统中按要求上传相应证明文件）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九、供应商承诺书.docx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中小企声明函</w:t>
            </w:r>
          </w:p>
        </w:tc>
        <w:tc>
          <w:tcPr>
            <w:tcW w:type="dxa" w:w="3322"/>
          </w:tcPr>
          <w:p>
            <w:pPr>
              <w:pStyle w:val="null3"/>
            </w:pPr>
            <w:r>
              <w:rPr>
                <w:rFonts w:ascii="仿宋_GB2312" w:hAnsi="仿宋_GB2312" w:cs="仿宋_GB2312" w:eastAsia="仿宋_GB2312"/>
              </w:rPr>
              <w:t>投标人须提供中小企业声明函。（应提供相应证明文件。供应商需在项目电子化交易系统中按要求上传相应证明文件）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中小企业声明函 残疾人福利性单位声明函 五、资格证明文件.docx 九、供应商承诺书.docx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投标人不得为“中国执行信息公开网”（zxgk.court.gov.cn/shixin/）中列入失信被执行人和“信用中国”（www.creditchina.gov.cn/）列入重大税收违法失信主体的投标人，不得为“中国政府采购网”（www.ccgp.gov.cn）政府采购严重违法失信行为记录名单中被财政部门禁止参加政府采购活动的投标人。（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九、供应商承诺书.docx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本采购项目不接受联合体投标</w:t>
            </w:r>
          </w:p>
        </w:tc>
        <w:tc>
          <w:tcPr>
            <w:tcW w:type="dxa" w:w="3322"/>
          </w:tcPr>
          <w:p>
            <w:pPr>
              <w:pStyle w:val="null3"/>
            </w:pPr>
            <w:r>
              <w:rPr>
                <w:rFonts w:ascii="仿宋_GB2312" w:hAnsi="仿宋_GB2312" w:cs="仿宋_GB2312" w:eastAsia="仿宋_GB2312"/>
              </w:rPr>
              <w:t>本采购项目不接受联合体投标。（应提供相应证明文件。供应商需在项目电子化交易系统中按要求上传相应证明文件）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九、供应商承诺书.docx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提供营业执照：具有独立承担民事责任能力，提供投标人合法注册的法人或其他组织的营业执照/事业单位法人证书/非企业专业服务机构执业许可证/民办非企业单位登记证书。（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近三年经审计的财务报告（成立时间至提交投标文件截止时间不足一年的可提供成立后任意时段的资产负债表），或其基本存款账户开户银行出具的资信证明。（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提供承诺书。（应提供相应证明文件。供应商需在项目电子化交易系统中按要求上传相应证明文件）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九、供应商承诺书.docx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依法缴纳税收：提供投标人自投标前3个月以来任意时段已缴纳任意时段完税凭证或税务机关开具的完税证明（任意税种）；依法免税的应提供相关文件证明；社会保障资金提供投标人自开标前3个月以来任意时段已缴存的社会保障资金缴存单据或社保机构开具的社会保险参保缴费情况证明；依法不需要缴纳社会保障资金的应提供相关文件证明。（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提供书面声明。（应提供相应证明文件。供应商需在项目电子化交易系统中按要求上传相应证明文件）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九、供应商承诺书.docx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提供书面声明。（应提供相应证明文件。供应商需在项目电子化交易系统中按要求上传相应证明文件）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九、供应商承诺书.docx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中小企声明函</w:t>
            </w:r>
          </w:p>
        </w:tc>
        <w:tc>
          <w:tcPr>
            <w:tcW w:type="dxa" w:w="3322"/>
          </w:tcPr>
          <w:p>
            <w:pPr>
              <w:pStyle w:val="null3"/>
            </w:pPr>
            <w:r>
              <w:rPr>
                <w:rFonts w:ascii="仿宋_GB2312" w:hAnsi="仿宋_GB2312" w:cs="仿宋_GB2312" w:eastAsia="仿宋_GB2312"/>
              </w:rPr>
              <w:t>投标人须提供中小企业声明函。（应提供相应证明文件。供应商需在项目电子化交易系统中按要求上传相应证明文件）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中小企业声明函 残疾人福利性单位声明函 五、资格证明文件.docx 九、供应商承诺书.docx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投标人不得为“中国执行信息公开网”（zxgk.court.gov.cn/shixin/）中列入失信被执行人和“信用中国”（www.creditchina.gov.cn/）列入重大税收违法失信主体的投标人，不得为“中国政府采购网”（www.ccgp.gov.cn）政府采购严重违法失信行为记录名单中被财政部门禁止参加政府采购活动的投标人。（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九、供应商承诺书.docx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本采购项目不接受联合体投标</w:t>
            </w:r>
          </w:p>
        </w:tc>
        <w:tc>
          <w:tcPr>
            <w:tcW w:type="dxa" w:w="3322"/>
          </w:tcPr>
          <w:p>
            <w:pPr>
              <w:pStyle w:val="null3"/>
            </w:pPr>
            <w:r>
              <w:rPr>
                <w:rFonts w:ascii="仿宋_GB2312" w:hAnsi="仿宋_GB2312" w:cs="仿宋_GB2312" w:eastAsia="仿宋_GB2312"/>
              </w:rPr>
              <w:t>本采购项目不接受联合体投标。（应提供相应证明文件。供应商需在项目电子化交易系统中按要求上传相应证明文件）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五、资格证明文件.docx 九、供应商承诺书.docx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五、资格证明文件.docx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五、资格证明文件.docx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五、资格证明文件.docx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二、投标分项报价表.docx 一、开标一览表.docx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四、法定代表人授权书.docx 开标一览表 中小企业声明函 商务应答表 五、资格证明文件.docx 服务内容及服务要求应答表 九、供应商承诺书.docx 八、业绩.docx 投标人应提交的相关资格证明材料 二、投标分项报价表.docx 三、法定代表人证明书.docx 投标函 残疾人福利性单位声明函 一、开标一览表.docx 六、商务条款响应偏离表.docx 服务方案 标的清单 七、技术规格响应偏离表.docx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一、开标一览表.docx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开标一览表 二、投标分项报价表.docx 投标函 一、开标一览表.docx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投标函 商务应答表 六、商务条款响应偏离表.docx 服务内容及服务要求应答表 七、技术规格响应偏离表.docx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一、开标一览表.docx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投标人企业关系关联承诺书、拒绝政府采购领域商业贿赂承诺书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九、供应商承诺书.docx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二、投标分项报价表.docx 一、开标一览表.docx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四、法定代表人授权书.docx 开标一览表 中小企业声明函 商务应答表 五、资格证明文件.docx 服务内容及服务要求应答表 九、供应商承诺书.docx 八、业绩.docx 投标人应提交的相关资格证明材料 二、投标分项报价表.docx 三、法定代表人证明书.docx 投标函 残疾人福利性单位声明函 一、开标一览表.docx 六、商务条款响应偏离表.docx 服务方案 标的清单 七、技术规格响应偏离表.docx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二、投标分项报价表.docx 一、开标一览表.docx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一、开标一览表.docx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投标函 商务应答表 六、商务条款响应偏离表.docx 服务内容及服务要求应答表 七、技术规格响应偏离表.docx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一、开标一览表.docx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投标人企业关系关联承诺书、拒绝政府采购领域商业贿赂承诺书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九、供应商承诺书.docx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二、投标分项报价表.docx 一、开标一览表.docx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四、法定代表人授权书.docx 开标一览表 中小企业声明函 商务应答表 五、资格证明文件.docx 服务内容及服务要求应答表 九、供应商承诺书.docx 八、业绩.docx 投标人应提交的相关资格证明材料 二、投标分项报价表.docx 三、法定代表人证明书.docx 投标函 残疾人福利性单位声明函 一、开标一览表.docx 六、商务条款响应偏离表.docx 服务方案 标的清单 七、技术规格响应偏离表.docx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二、投标分项报价表.docx 一、开标一览表.docx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开标一览表 投标函 一、开标一览表.docx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投标函 商务应答表 六、商务条款响应偏离表.docx 服务内容及服务要求应答表 七、技术规格响应偏离表.docx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一、开标一览表.docx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投标人企业关系关联承诺书、拒绝政府采购领域商业贿赂承诺书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九、供应商承诺书.docx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整体运维方案</w:t>
            </w:r>
          </w:p>
        </w:tc>
        <w:tc>
          <w:tcPr>
            <w:tcW w:type="dxa" w:w="2492"/>
          </w:tcPr>
          <w:p>
            <w:pPr>
              <w:pStyle w:val="null3"/>
            </w:pPr>
            <w:r>
              <w:rPr>
                <w:rFonts w:ascii="仿宋_GB2312" w:hAnsi="仿宋_GB2312" w:cs="仿宋_GB2312" w:eastAsia="仿宋_GB2312"/>
              </w:rPr>
              <w:t>根据投标人提供的整体运维方完全针对本项目量身制定，包含：①点位运维区分；②设备分类运维；③全年运维计划；④岗位分工；⑤服务闭环管理。 以上内容全面详细、阐述条理清晰、对评审内容中的各项要求有详细描述及说明得10分，每有一项缺项扣2分，每有一项内容存在一处缺陷扣1分，扣完为止，未提供的不得分。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日常巡检及养护方案</w:t>
            </w:r>
          </w:p>
        </w:tc>
        <w:tc>
          <w:tcPr>
            <w:tcW w:type="dxa" w:w="2492"/>
          </w:tcPr>
          <w:p>
            <w:pPr>
              <w:pStyle w:val="null3"/>
            </w:pPr>
            <w:r>
              <w:rPr>
                <w:rFonts w:ascii="仿宋_GB2312" w:hAnsi="仿宋_GB2312" w:cs="仿宋_GB2312" w:eastAsia="仿宋_GB2312"/>
              </w:rPr>
              <w:t>根据投标人提供的日常巡检及养护方案包括：①每日远程巡检；②每周现场巡检；③每月全面核查三级巡检机制； 以上内容全面详细、阐述条理清晰、对评审内容中的各项要求有详细描述及说明得6分，每有一项缺项扣2分，每有一项内容存在一处缺陷扣1分，扣完为止，未提供的不得分。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故障处置及应急保障方案</w:t>
            </w:r>
          </w:p>
        </w:tc>
        <w:tc>
          <w:tcPr>
            <w:tcW w:type="dxa" w:w="2492"/>
          </w:tcPr>
          <w:p>
            <w:pPr>
              <w:pStyle w:val="null3"/>
            </w:pPr>
            <w:r>
              <w:rPr>
                <w:rFonts w:ascii="仿宋_GB2312" w:hAnsi="仿宋_GB2312" w:cs="仿宋_GB2312" w:eastAsia="仿宋_GB2312"/>
              </w:rPr>
              <w:t>根据投标人提供的故障处置及应急保障方案包括：①故障分级分类；②处置流程;③闭环回访；④应急替补机制；⑤停机补救措施。 以上内容全面详细、阐述条理清晰、对评审内容中的各项要求有详细描述及说明得10分，每有一项缺项扣2分，每有一项内容存在一处缺陷扣1分，扣完为止，未提供的不得分。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设备校准及数据质控方案</w:t>
            </w:r>
          </w:p>
        </w:tc>
        <w:tc>
          <w:tcPr>
            <w:tcW w:type="dxa" w:w="2492"/>
          </w:tcPr>
          <w:p>
            <w:pPr>
              <w:pStyle w:val="null3"/>
            </w:pPr>
            <w:r>
              <w:rPr>
                <w:rFonts w:ascii="仿宋_GB2312" w:hAnsi="仿宋_GB2312" w:cs="仿宋_GB2312" w:eastAsia="仿宋_GB2312"/>
              </w:rPr>
              <w:t>根据投标人提供的设备校准及数据质控方案包括:①定期零点校准;②量程校准;③光路校准;④设备比对;⑤算法校核;⑥异常数据筛选、⑦无效数据剔除、⑧数据复盘、⑨台账留存全套质控体系。 以上内容全面详细、阐述条理清晰、对评审内容中的各项要求有详细描述及说明得18分，每有一项缺项扣2分，每有一项内容存在一处缺陷扣1分，扣完为止，未提供的不得分。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备品备件保障方案</w:t>
            </w:r>
          </w:p>
        </w:tc>
        <w:tc>
          <w:tcPr>
            <w:tcW w:type="dxa" w:w="2492"/>
          </w:tcPr>
          <w:p>
            <w:pPr>
              <w:pStyle w:val="null3"/>
            </w:pPr>
            <w:r>
              <w:rPr>
                <w:rFonts w:ascii="仿宋_GB2312" w:hAnsi="仿宋_GB2312" w:cs="仿宋_GB2312" w:eastAsia="仿宋_GB2312"/>
              </w:rPr>
              <w:t>承诺设立项目专用备品备件库，明确光学配件、抓拍组件、电源模块、传输配件、易损耗材清单，具备库存储备、快速替换、定期盘点机制，保障设备无长期停运，得5分； 明确备件储备，但清单不完整、机制简单，得3分； 仅口头承诺备件保障，无具体措施，得1分； 未提供备件保障方案，得0分。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月度报告及资料管理方案</w:t>
            </w:r>
          </w:p>
        </w:tc>
        <w:tc>
          <w:tcPr>
            <w:tcW w:type="dxa" w:w="2492"/>
          </w:tcPr>
          <w:p>
            <w:pPr>
              <w:pStyle w:val="null3"/>
            </w:pPr>
            <w:r>
              <w:rPr>
                <w:rFonts w:ascii="仿宋_GB2312" w:hAnsi="仿宋_GB2312" w:cs="仿宋_GB2312" w:eastAsia="仿宋_GB2312"/>
              </w:rPr>
              <w:t>根据投标人提供的月度报告及资料管理方案其中包括：①每月运维报告编制、②数据统计、③故障汇总、④巡检归档、⑤迎检资料整理、⑥台账留存、⑦成果移交全套管理制度。 以上内容全面详细、阐述条理清晰、对评审内容中的各项要求有详细描述及说明得14分，每有一项缺项扣2分，每有一项内容存在一处缺陷扣1分，扣完为止，未提供的不得分。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配备固定专职运维人员≥3人，全部具备环保运维/弱电/计量相关资质或专项培训证明，岗位职责明确、人员稳定、分工清晰，得8分； 配备专职人员2人，全部具备相关资质证明，得5分； 配备专职人员1人，具备相关资质证明，得2分； 人员无资质、无配置清单、无分工说明，得0分。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安全保障配置</w:t>
            </w:r>
          </w:p>
        </w:tc>
        <w:tc>
          <w:tcPr>
            <w:tcW w:type="dxa" w:w="2492"/>
          </w:tcPr>
          <w:p>
            <w:pPr>
              <w:pStyle w:val="null3"/>
            </w:pPr>
            <w:r>
              <w:rPr>
                <w:rFonts w:ascii="仿宋_GB2312" w:hAnsi="仿宋_GB2312" w:cs="仿宋_GB2312" w:eastAsia="仿宋_GB2312"/>
              </w:rPr>
              <w:t>书面承诺全员购买不低于50万元/人意外伤害保险，提供完整安全生产制度、现场作业规范、高空及道路作业安全防护、应急安全处置机制，得3分； 保险承诺达标，安全制度内容简略，得2分； 仅承诺购买保险，无任何安全管理制度，得1分； 未承诺保险、无安全保障措施，得0分。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在项目所在地设有固定服务网点（提供场所证明/租赁合同/办公场地佐证），具备本地化驻场、24小时快速响应能力，得5分； 在陕西省内设有服务网点，可保障快速响应，得3分； 无本地化网点，但承诺本地派驻人员服务，得1分； 无任何本地化服务保障证明及承诺，得0分。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投标人近2023年1月1日至今承接过机动车尾气遥感监测系统、黑烟识别系统、环保在线监测运维同类项目业绩，每提供1项有效业绩得2分，最高得6分；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八、业绩.docx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一、开标一览表.docx</w:t>
            </w:r>
          </w:p>
          <w:p>
            <w:pPr>
              <w:pStyle w:val="null3"/>
            </w:pPr>
            <w:r>
              <w:rPr>
                <w:rFonts w:ascii="仿宋_GB2312" w:hAnsi="仿宋_GB2312" w:cs="仿宋_GB2312" w:eastAsia="仿宋_GB2312"/>
              </w:rPr>
              <w:t>二、投标分项报价表.docx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[2007]2号）的有关规定：价格分采用低价优先法计算，即满足招标文件要求且价格最低的投标报价为评审基准价，其价格分为满分15分。其他投标人的价格分统一按照下列公式计算： 投标报价得分=（评审基准价/投标报价）×15%×100 异常低价审查规则： 评审委员会启动异常低价投标（响应）审查后，属于前述第1项至第4项情形的，应当要求相关供应商在评审现场30分钟内对投标（响应）价格做出解释，通过项目电子化交易系统进行提交，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一、开标一览表.docx</w:t>
            </w:r>
          </w:p>
          <w:p>
            <w:pPr>
              <w:pStyle w:val="null3"/>
            </w:pPr>
            <w:r>
              <w:rPr>
                <w:rFonts w:ascii="仿宋_GB2312" w:hAnsi="仿宋_GB2312" w:cs="仿宋_GB2312" w:eastAsia="仿宋_GB2312"/>
              </w:rPr>
              <w:t>二、投标分项报价表.docx</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整体运维方案</w:t>
            </w:r>
          </w:p>
        </w:tc>
        <w:tc>
          <w:tcPr>
            <w:tcW w:type="dxa" w:w="2492"/>
          </w:tcPr>
          <w:p>
            <w:pPr>
              <w:pStyle w:val="null3"/>
            </w:pPr>
            <w:r>
              <w:rPr>
                <w:rFonts w:ascii="仿宋_GB2312" w:hAnsi="仿宋_GB2312" w:cs="仿宋_GB2312" w:eastAsia="仿宋_GB2312"/>
              </w:rPr>
              <w:t>根据投标人提供的整体运维方完全针对本项目量身制定，包含：①点位运维区分；②设备分类运维；③全年运维计划；④岗位分工；⑤服务闭环管理。 以上内容全面详细、阐述条理清晰、对评审内容中的各项要求有详细描述及说明得10分，每有一项缺项扣2分，每有一项内容存在一处缺陷扣1分，扣完为止，未提供的不得分。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日常巡检及养护方案</w:t>
            </w:r>
          </w:p>
        </w:tc>
        <w:tc>
          <w:tcPr>
            <w:tcW w:type="dxa" w:w="2492"/>
          </w:tcPr>
          <w:p>
            <w:pPr>
              <w:pStyle w:val="null3"/>
            </w:pPr>
            <w:r>
              <w:rPr>
                <w:rFonts w:ascii="仿宋_GB2312" w:hAnsi="仿宋_GB2312" w:cs="仿宋_GB2312" w:eastAsia="仿宋_GB2312"/>
              </w:rPr>
              <w:t>根据投标人提供的日常巡检及养护方案包括：①每日远程巡检；②每周现场巡检；③每月全面核查三级巡检机制； 以上内容全面详细、阐述条理清晰、对评审内容中的各项要求有详细描述及说明得6分，每有一项缺项扣2分，每有一项内容存在一处缺陷扣1分，扣完为止，未提供的不得分。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故障处置及应急保障方案</w:t>
            </w:r>
          </w:p>
        </w:tc>
        <w:tc>
          <w:tcPr>
            <w:tcW w:type="dxa" w:w="2492"/>
          </w:tcPr>
          <w:p>
            <w:pPr>
              <w:pStyle w:val="null3"/>
            </w:pPr>
            <w:r>
              <w:rPr>
                <w:rFonts w:ascii="仿宋_GB2312" w:hAnsi="仿宋_GB2312" w:cs="仿宋_GB2312" w:eastAsia="仿宋_GB2312"/>
              </w:rPr>
              <w:t>根据投标人提供的故障处置及应急保障方案包括：①故障分级分类；②处置流程;③闭环回访；④应急替补机制；⑤停机补救措施。 以上内容全面详细、阐述条理清晰、对评审内容中的各项要求有详细描述及说明得10分，每有一项缺项扣2分，每有一项内容存在一处缺陷扣1分，扣完为止，未提供的不得分。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设备校准及数据质控方案</w:t>
            </w:r>
          </w:p>
        </w:tc>
        <w:tc>
          <w:tcPr>
            <w:tcW w:type="dxa" w:w="2492"/>
          </w:tcPr>
          <w:p>
            <w:pPr>
              <w:pStyle w:val="null3"/>
            </w:pPr>
            <w:r>
              <w:rPr>
                <w:rFonts w:ascii="仿宋_GB2312" w:hAnsi="仿宋_GB2312" w:cs="仿宋_GB2312" w:eastAsia="仿宋_GB2312"/>
              </w:rPr>
              <w:t>根据投标人提供的设备校准及数据质控方案包括:①定期零点校准;②量程校准;③光路校准;④设备比对;⑤算法校核;⑥异常数据筛选、⑦无效数据剔除、⑧数据复盘、⑨台账留存全套质控体系。 以上内容全面详细、阐述条理清晰、对评审内容中的各项要求有详细描述及说明得18分，每有一项缺项扣2分，每有一项内容存在一处缺陷扣1分，扣完为止，未提供的不得分。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备品备件保障方案</w:t>
            </w:r>
          </w:p>
        </w:tc>
        <w:tc>
          <w:tcPr>
            <w:tcW w:type="dxa" w:w="2492"/>
          </w:tcPr>
          <w:p>
            <w:pPr>
              <w:pStyle w:val="null3"/>
            </w:pPr>
            <w:r>
              <w:rPr>
                <w:rFonts w:ascii="仿宋_GB2312" w:hAnsi="仿宋_GB2312" w:cs="仿宋_GB2312" w:eastAsia="仿宋_GB2312"/>
              </w:rPr>
              <w:t>承诺设立项目专用备品备件库，明确光学配件、抓拍组件、电源模块、传输配件、易损耗材清单，具备库存储备、快速替换、定期盘点机制，保障设备无长期停运，得5分； 明确备件储备，但清单不完整、机制简单，得3分； 仅口头承诺备件保障，无具体措施，得1分； 未提供备件保障方案，得0分。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月度报告及资料管理方案</w:t>
            </w:r>
          </w:p>
        </w:tc>
        <w:tc>
          <w:tcPr>
            <w:tcW w:type="dxa" w:w="2492"/>
          </w:tcPr>
          <w:p>
            <w:pPr>
              <w:pStyle w:val="null3"/>
            </w:pPr>
            <w:r>
              <w:rPr>
                <w:rFonts w:ascii="仿宋_GB2312" w:hAnsi="仿宋_GB2312" w:cs="仿宋_GB2312" w:eastAsia="仿宋_GB2312"/>
              </w:rPr>
              <w:t>根据投标人提供的月度报告及资料管理方案其中包括：①每月运维报告编制、②数据统计、③故障汇总、④巡检归档、⑤迎检资料整理、⑥台账留存、⑦成果移交全套管理制度。 以上内容全面详细、阐述条理清晰、对评审内容中的各项要求有详细描述及说明得14分，每有一项缺项扣2分，每有一项内容存在一处缺陷扣1分，扣完为止，未提供的不得分。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配备固定专职运维人员≥3人，全部具备环保运维/弱电/计量相关资质或专项培训证明，岗位职责明确、人员稳定、分工清晰，得8分； 配备专职人员2人，全部具备相关资质证明，得5分； 配备专职人员1人，具备相关资质证明，得2分； 人员无资质、无配置清单、无分工说明，得0分。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安全保障配置</w:t>
            </w:r>
          </w:p>
        </w:tc>
        <w:tc>
          <w:tcPr>
            <w:tcW w:type="dxa" w:w="2492"/>
          </w:tcPr>
          <w:p>
            <w:pPr>
              <w:pStyle w:val="null3"/>
            </w:pPr>
            <w:r>
              <w:rPr>
                <w:rFonts w:ascii="仿宋_GB2312" w:hAnsi="仿宋_GB2312" w:cs="仿宋_GB2312" w:eastAsia="仿宋_GB2312"/>
              </w:rPr>
              <w:t>书面承诺全员购买不低于50万元/人意外伤害保险，提供完整安全生产制度、现场作业规范、高空及道路作业安全防护、应急安全处置机制，得3分； 保险承诺达标，安全制度内容简略，得2分； 仅承诺购买保险，无任何安全管理制度，得1分； 未承诺保险、无安全保障措施，得0分。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在项目所在地设有固定服务网点（提供场所证明/租赁合同/办公场地佐证），具备本地化驻场、24小时快速响应能力，得5分； 在陕西省内设有服务网点，可保障快速响应，得3分； 无本地化网点，但承诺本地派驻人员服务，得1分； 无任何本地化服务保障证明及承诺，得0分。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投标人近2023年1月1日至今承接过机动车尾气遥感监测系统、黑烟识别系统、环保在线监测运维同类项目业绩，每提供1项有效业绩得2分，最高得6分；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八、业绩.docx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一、开标一览表.docx</w:t>
            </w:r>
          </w:p>
          <w:p>
            <w:pPr>
              <w:pStyle w:val="null3"/>
            </w:pPr>
            <w:r>
              <w:rPr>
                <w:rFonts w:ascii="仿宋_GB2312" w:hAnsi="仿宋_GB2312" w:cs="仿宋_GB2312" w:eastAsia="仿宋_GB2312"/>
              </w:rPr>
              <w:t>二、投标分项报价表.docx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[2007]2号）的有关规定：价格分采用低价优先法计算，即满足招标文件要求且价格最低的投标报价为评审基准价，其价格分为满分15分。其他投标人的价格分统一按照下列公式计算： 投标报价得分=（评审基准价/投标报价）×15%×100 异常低价审查规则： 评审委员会启动异常低价投标（响应）审查后，属于前述第1项至第4项情形的，应当要求相关供应商在评审现场30分钟内对投标（响应）价格做出解释，通过项目电子化交易系统进行提交，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一、开标一览表.docx</w:t>
            </w:r>
          </w:p>
          <w:p>
            <w:pPr>
              <w:pStyle w:val="null3"/>
            </w:pPr>
            <w:r>
              <w:rPr>
                <w:rFonts w:ascii="仿宋_GB2312" w:hAnsi="仿宋_GB2312" w:cs="仿宋_GB2312" w:eastAsia="仿宋_GB2312"/>
              </w:rPr>
              <w:t>二、投标分项报价表.docx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整体运维方案</w:t>
            </w:r>
          </w:p>
        </w:tc>
        <w:tc>
          <w:tcPr>
            <w:tcW w:type="dxa" w:w="2492"/>
          </w:tcPr>
          <w:p>
            <w:pPr>
              <w:pStyle w:val="null3"/>
            </w:pPr>
            <w:r>
              <w:rPr>
                <w:rFonts w:ascii="仿宋_GB2312" w:hAnsi="仿宋_GB2312" w:cs="仿宋_GB2312" w:eastAsia="仿宋_GB2312"/>
              </w:rPr>
              <w:t>根据投标人提供的整体运维方完全针对本项目量身制定，包含：①点位运维区分；②设备分类运维；③全年运维计划；④岗位分工；⑤服务闭环管理。 以上内容全面详细、阐述条理清晰、对评审内容中的各项要求有详细描述及说明得10分，每有一项缺项扣2分，每有一项内容存在一处缺陷扣1分，扣完为止，未提供的不得分。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日常巡检及养护方案</w:t>
            </w:r>
          </w:p>
        </w:tc>
        <w:tc>
          <w:tcPr>
            <w:tcW w:type="dxa" w:w="2492"/>
          </w:tcPr>
          <w:p>
            <w:pPr>
              <w:pStyle w:val="null3"/>
            </w:pPr>
            <w:r>
              <w:rPr>
                <w:rFonts w:ascii="仿宋_GB2312" w:hAnsi="仿宋_GB2312" w:cs="仿宋_GB2312" w:eastAsia="仿宋_GB2312"/>
              </w:rPr>
              <w:t>根据投标人提供的日常巡检及养护方案包括：①每日远程巡检；②每周现场巡检；③每月全面核查三级巡检机制； 以上内容全面详细、阐述条理清晰、对评审内容中的各项要求有详细描述及说明得6分，每有一项缺项扣2分，每有一项内容存在一处缺陷扣1分，扣完为止，未提供的不得分。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故障处置及应急保障方案</w:t>
            </w:r>
          </w:p>
        </w:tc>
        <w:tc>
          <w:tcPr>
            <w:tcW w:type="dxa" w:w="2492"/>
          </w:tcPr>
          <w:p>
            <w:pPr>
              <w:pStyle w:val="null3"/>
            </w:pPr>
            <w:r>
              <w:rPr>
                <w:rFonts w:ascii="仿宋_GB2312" w:hAnsi="仿宋_GB2312" w:cs="仿宋_GB2312" w:eastAsia="仿宋_GB2312"/>
              </w:rPr>
              <w:t>根据投标人提供的故障处置及应急保障方案包括：①故障分级分类；②处置流程;③闭环回访；④应急替补机制；⑤停机补救措施。 以上内容全面详细、阐述条理清晰、对评审内容中的各项要求有详细描述及说明得10分，每有一项缺项扣2分，每有一项内容存在一处缺陷扣1分，扣完为止，未提供的不得分。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设备校准及数据质控方案</w:t>
            </w:r>
          </w:p>
        </w:tc>
        <w:tc>
          <w:tcPr>
            <w:tcW w:type="dxa" w:w="2492"/>
          </w:tcPr>
          <w:p>
            <w:pPr>
              <w:pStyle w:val="null3"/>
            </w:pPr>
            <w:r>
              <w:rPr>
                <w:rFonts w:ascii="仿宋_GB2312" w:hAnsi="仿宋_GB2312" w:cs="仿宋_GB2312" w:eastAsia="仿宋_GB2312"/>
              </w:rPr>
              <w:t>根据投标人提供的设备校准及数据质控方案包括:①定期零点校准;②量程校准；③光路校准；④设备比对；⑤算法校核；⑥异常数据筛选；⑦无效数据剔除；⑧数据复盘；⑨台账留存全套质控体系。 以上内容全面详细、阐述条理清晰、对评审内容中的各项要求有详细描述及说明得9分，每有一项缺项扣1分，每有一项内容存在一处缺陷扣0.5分，扣完为止，未提供的不得分。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备品备件保障方案</w:t>
            </w:r>
          </w:p>
        </w:tc>
        <w:tc>
          <w:tcPr>
            <w:tcW w:type="dxa" w:w="2492"/>
          </w:tcPr>
          <w:p>
            <w:pPr>
              <w:pStyle w:val="null3"/>
            </w:pPr>
            <w:r>
              <w:rPr>
                <w:rFonts w:ascii="仿宋_GB2312" w:hAnsi="仿宋_GB2312" w:cs="仿宋_GB2312" w:eastAsia="仿宋_GB2312"/>
              </w:rPr>
              <w:t>承诺设立项目专用备品备件库，明确光学配件、抓拍组件、电源模块、传输配件、易损耗材清单，具备库存储备、快速替换、定期盘点机制，保障设备无长期停运，得5分； 明确备件储备，但清单不完整、机制简单，得3分； 仅口头承诺备件保障，无具体措施，得1分； 未提供备件保障方案，得0分。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月度报告及资料管理方案</w:t>
            </w:r>
          </w:p>
        </w:tc>
        <w:tc>
          <w:tcPr>
            <w:tcW w:type="dxa" w:w="2492"/>
          </w:tcPr>
          <w:p>
            <w:pPr>
              <w:pStyle w:val="null3"/>
            </w:pPr>
            <w:r>
              <w:rPr>
                <w:rFonts w:ascii="仿宋_GB2312" w:hAnsi="仿宋_GB2312" w:cs="仿宋_GB2312" w:eastAsia="仿宋_GB2312"/>
              </w:rPr>
              <w:t>根据投标人提供的月度报告及资料管理方案其中包括：①每月运维报告编制；②数据统计；③故障汇总；④巡检归档；⑤迎检资料整理；⑥台账留存；⑦成果移交全套管理制度。 以上内容全面详细、阐述条理清晰、对评审内容中的各项要求有详细描述及说明得14分，每有一项缺项扣2分，每有一项内容存在一处缺陷扣1分，扣完为止，未提供的不得分。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配备固定专职运维人员≥3人，全部具备环保运维/弱电/计量相关资质或专项培训证明，岗位职责明确、人员稳定、分工清晰，得8分； 配备专职人员2人，全部具备相关资质证明，得5分； 配备专职人员1人，具备相关资质证明，得2分； 人员无资质、无配置清单、无分工说明，得0分。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安全保障配置</w:t>
            </w:r>
          </w:p>
        </w:tc>
        <w:tc>
          <w:tcPr>
            <w:tcW w:type="dxa" w:w="2492"/>
          </w:tcPr>
          <w:p>
            <w:pPr>
              <w:pStyle w:val="null3"/>
            </w:pPr>
            <w:r>
              <w:rPr>
                <w:rFonts w:ascii="仿宋_GB2312" w:hAnsi="仿宋_GB2312" w:cs="仿宋_GB2312" w:eastAsia="仿宋_GB2312"/>
              </w:rPr>
              <w:t>书面承诺全员购买不低于50万元/人意外伤害保险，提供完整安全生产制度、现场作业规范、高空及道路作业安全防护、应急安全处置机制，得4分； 保险承诺达标，安全制度内容简略，得3分； 仅承诺购买保险，无任何安全管理制度，得2分； 未承诺保险、无安全保障措施，得0分。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系统搬迁实施方案</w:t>
            </w:r>
          </w:p>
        </w:tc>
        <w:tc>
          <w:tcPr>
            <w:tcW w:type="dxa" w:w="2492"/>
          </w:tcPr>
          <w:p>
            <w:pPr>
              <w:pStyle w:val="null3"/>
            </w:pPr>
            <w:r>
              <w:rPr>
                <w:rFonts w:ascii="仿宋_GB2312" w:hAnsi="仿宋_GB2312" w:cs="仿宋_GB2312" w:eastAsia="仿宋_GB2312"/>
              </w:rPr>
              <w:t>根据投标人提供的系统搬迁实施方案完全针对本项目量身制定，包含：①质量 ；②安全文明施工及环保措施；③施工进度计划及保障措施；④调试、试运行及验收方案。 以上内容全面详细、阐述条理清晰、对评审内容中的各项要求有详细描述及说明得8分，每有一项缺项扣2分，每有一项内容存在一处缺陷扣1分，扣完为止，未提供的不得分。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在项目所在地设有固定服务网点（提供场所证明/租赁合同/办公场地佐证），具备本地化驻场、24小时快速响应能力，得5分； 在陕西省内设有服务网点，可保障快速响应，得3分； 无本地化网点，但承诺本地派驻人员服务，得1分； 无任何本地化服务保障证明及承诺，得0分。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投标人近2023年1月1日至今承接过机动车尾气遥感监测系统、黑烟识别系统、环保在线监测运维同类项目业绩，每提供1项有效业绩得2分，最高得6分；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八、业绩.docx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一、开标一览表.docx</w:t>
            </w:r>
          </w:p>
          <w:p>
            <w:pPr>
              <w:pStyle w:val="null3"/>
            </w:pPr>
            <w:r>
              <w:rPr>
                <w:rFonts w:ascii="仿宋_GB2312" w:hAnsi="仿宋_GB2312" w:cs="仿宋_GB2312" w:eastAsia="仿宋_GB2312"/>
              </w:rPr>
              <w:t>二、投标分项报价表.docx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[2007]2号）的有关规定：价格分采用低价优先法计算，即满足招标文件要求且价格最低的投标报价为评审基准价，其价格分为满分15分。其他投标人的价格分统一按照下列公式计算： 投标报价得分=（评审基准价/投标报价）×15%×100。异常低价审查规则： 一、政府采购评审中出现下列情形之一的，评审委员会应当启动异常低价投标（响应）审查程序： 1.投标（响应）报价低于全部通过符合性审查供应商投标（响应）报价平均值的50%，即投标（响应）报价&lt;全部通过符合性审查供应商投标（响应）报价平均值×50%； 2.投标（响应）报价低于通过符合性审查的次低报价供应商投标（响应）报价的50%，即投标（响应）报价&lt;次低报价供应商投标（响应）报价×50%； 3.投标（响应）报价低于采购项目最高限价的45%，即：投标（响应）报价&lt;采购项目最高限价×45%； 4.评审委员会基于专业判断，认为供应商报价明显过低，可能影响产品质量或无法诚信履约的其他情形。 相关法律法规对供应商报价有规定的，从其规定。 二、评审委员会启动异常低价投标（响应）审查后，属于前述第1项至第4项情形的，应当要求相关供应商在评审现场30分钟内对投标（响应）价格做出解释，通过项目电子化交易系统进行提交，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一、开标一览表.docx</w:t>
            </w:r>
          </w:p>
          <w:p>
            <w:pPr>
              <w:pStyle w:val="null3"/>
            </w:pPr>
            <w:r>
              <w:rPr>
                <w:rFonts w:ascii="仿宋_GB2312" w:hAnsi="仿宋_GB2312" w:cs="仿宋_GB2312" w:eastAsia="仿宋_GB2312"/>
              </w:rPr>
              <w:t>二、投标分项报价表.docx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详见附件：一、开标一览表.docx</w:t>
      </w:r>
    </w:p>
    <w:p>
      <w:pPr>
        <w:pStyle w:val="null3"/>
        <w:ind w:firstLine="960"/>
      </w:pPr>
      <w:r>
        <w:rPr>
          <w:rFonts w:ascii="仿宋_GB2312" w:hAnsi="仿宋_GB2312" w:cs="仿宋_GB2312" w:eastAsia="仿宋_GB2312"/>
        </w:rPr>
        <w:t>详见附件：二、投标分项报价表.docx</w:t>
      </w:r>
    </w:p>
    <w:p>
      <w:pPr>
        <w:pStyle w:val="null3"/>
        <w:ind w:firstLine="960"/>
      </w:pPr>
      <w:r>
        <w:rPr>
          <w:rFonts w:ascii="仿宋_GB2312" w:hAnsi="仿宋_GB2312" w:cs="仿宋_GB2312" w:eastAsia="仿宋_GB2312"/>
        </w:rPr>
        <w:t>详见附件：三、法定代表人证明书.docx</w:t>
      </w:r>
    </w:p>
    <w:p>
      <w:pPr>
        <w:pStyle w:val="null3"/>
        <w:ind w:firstLine="960"/>
      </w:pPr>
      <w:r>
        <w:rPr>
          <w:rFonts w:ascii="仿宋_GB2312" w:hAnsi="仿宋_GB2312" w:cs="仿宋_GB2312" w:eastAsia="仿宋_GB2312"/>
        </w:rPr>
        <w:t>详见附件：四、法定代表人授权书.docx</w:t>
      </w:r>
    </w:p>
    <w:p>
      <w:pPr>
        <w:pStyle w:val="null3"/>
        <w:ind w:firstLine="960"/>
      </w:pPr>
      <w:r>
        <w:rPr>
          <w:rFonts w:ascii="仿宋_GB2312" w:hAnsi="仿宋_GB2312" w:cs="仿宋_GB2312" w:eastAsia="仿宋_GB2312"/>
        </w:rPr>
        <w:t>详见附件：五、资格证明文件.docx</w:t>
      </w:r>
    </w:p>
    <w:p>
      <w:pPr>
        <w:pStyle w:val="null3"/>
        <w:ind w:firstLine="960"/>
      </w:pPr>
      <w:r>
        <w:rPr>
          <w:rFonts w:ascii="仿宋_GB2312" w:hAnsi="仿宋_GB2312" w:cs="仿宋_GB2312" w:eastAsia="仿宋_GB2312"/>
        </w:rPr>
        <w:t>详见附件：六、商务条款响应偏离表.docx</w:t>
      </w:r>
    </w:p>
    <w:p>
      <w:pPr>
        <w:pStyle w:val="null3"/>
        <w:ind w:firstLine="960"/>
      </w:pPr>
      <w:r>
        <w:rPr>
          <w:rFonts w:ascii="仿宋_GB2312" w:hAnsi="仿宋_GB2312" w:cs="仿宋_GB2312" w:eastAsia="仿宋_GB2312"/>
        </w:rPr>
        <w:t>详见附件：七、技术规格响应偏离表.docx</w:t>
      </w:r>
    </w:p>
    <w:p>
      <w:pPr>
        <w:pStyle w:val="null3"/>
        <w:ind w:firstLine="960"/>
      </w:pPr>
      <w:r>
        <w:rPr>
          <w:rFonts w:ascii="仿宋_GB2312" w:hAnsi="仿宋_GB2312" w:cs="仿宋_GB2312" w:eastAsia="仿宋_GB2312"/>
        </w:rPr>
        <w:t>详见附件：八、业绩.docx</w:t>
      </w:r>
    </w:p>
    <w:p>
      <w:pPr>
        <w:pStyle w:val="null3"/>
        <w:ind w:firstLine="960"/>
      </w:pPr>
      <w:r>
        <w:rPr>
          <w:rFonts w:ascii="仿宋_GB2312" w:hAnsi="仿宋_GB2312" w:cs="仿宋_GB2312" w:eastAsia="仿宋_GB2312"/>
        </w:rPr>
        <w:t>详见附件：九、供应商承诺书.docx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详见附件：一、开标一览表.docx</w:t>
      </w:r>
    </w:p>
    <w:p>
      <w:pPr>
        <w:pStyle w:val="null3"/>
        <w:ind w:firstLine="960"/>
      </w:pPr>
      <w:r>
        <w:rPr>
          <w:rFonts w:ascii="仿宋_GB2312" w:hAnsi="仿宋_GB2312" w:cs="仿宋_GB2312" w:eastAsia="仿宋_GB2312"/>
        </w:rPr>
        <w:t>详见附件：二、投标分项报价表.docx</w:t>
      </w:r>
    </w:p>
    <w:p>
      <w:pPr>
        <w:pStyle w:val="null3"/>
        <w:ind w:firstLine="960"/>
      </w:pPr>
      <w:r>
        <w:rPr>
          <w:rFonts w:ascii="仿宋_GB2312" w:hAnsi="仿宋_GB2312" w:cs="仿宋_GB2312" w:eastAsia="仿宋_GB2312"/>
        </w:rPr>
        <w:t>详见附件：三、法定代表人证明书.docx</w:t>
      </w:r>
    </w:p>
    <w:p>
      <w:pPr>
        <w:pStyle w:val="null3"/>
        <w:ind w:firstLine="960"/>
      </w:pPr>
      <w:r>
        <w:rPr>
          <w:rFonts w:ascii="仿宋_GB2312" w:hAnsi="仿宋_GB2312" w:cs="仿宋_GB2312" w:eastAsia="仿宋_GB2312"/>
        </w:rPr>
        <w:t>详见附件：四、法定代表人授权书.docx</w:t>
      </w:r>
    </w:p>
    <w:p>
      <w:pPr>
        <w:pStyle w:val="null3"/>
        <w:ind w:firstLine="960"/>
      </w:pPr>
      <w:r>
        <w:rPr>
          <w:rFonts w:ascii="仿宋_GB2312" w:hAnsi="仿宋_GB2312" w:cs="仿宋_GB2312" w:eastAsia="仿宋_GB2312"/>
        </w:rPr>
        <w:t>详见附件：五、资格证明文件.docx</w:t>
      </w:r>
    </w:p>
    <w:p>
      <w:pPr>
        <w:pStyle w:val="null3"/>
        <w:ind w:firstLine="960"/>
      </w:pPr>
      <w:r>
        <w:rPr>
          <w:rFonts w:ascii="仿宋_GB2312" w:hAnsi="仿宋_GB2312" w:cs="仿宋_GB2312" w:eastAsia="仿宋_GB2312"/>
        </w:rPr>
        <w:t>详见附件：六、商务条款响应偏离表.docx</w:t>
      </w:r>
    </w:p>
    <w:p>
      <w:pPr>
        <w:pStyle w:val="null3"/>
        <w:ind w:firstLine="960"/>
      </w:pPr>
      <w:r>
        <w:rPr>
          <w:rFonts w:ascii="仿宋_GB2312" w:hAnsi="仿宋_GB2312" w:cs="仿宋_GB2312" w:eastAsia="仿宋_GB2312"/>
        </w:rPr>
        <w:t>详见附件：七、技术规格响应偏离表.docx</w:t>
      </w:r>
    </w:p>
    <w:p>
      <w:pPr>
        <w:pStyle w:val="null3"/>
        <w:ind w:firstLine="960"/>
      </w:pPr>
      <w:r>
        <w:rPr>
          <w:rFonts w:ascii="仿宋_GB2312" w:hAnsi="仿宋_GB2312" w:cs="仿宋_GB2312" w:eastAsia="仿宋_GB2312"/>
        </w:rPr>
        <w:t>详见附件：八、业绩.docx</w:t>
      </w:r>
    </w:p>
    <w:p>
      <w:pPr>
        <w:pStyle w:val="null3"/>
        <w:ind w:firstLine="960"/>
      </w:pPr>
      <w:r>
        <w:rPr>
          <w:rFonts w:ascii="仿宋_GB2312" w:hAnsi="仿宋_GB2312" w:cs="仿宋_GB2312" w:eastAsia="仿宋_GB2312"/>
        </w:rPr>
        <w:t>详见附件：九、供应商承诺书.docx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详见附件：一、开标一览表.docx</w:t>
      </w:r>
    </w:p>
    <w:p>
      <w:pPr>
        <w:pStyle w:val="null3"/>
        <w:ind w:firstLine="960"/>
      </w:pPr>
      <w:r>
        <w:rPr>
          <w:rFonts w:ascii="仿宋_GB2312" w:hAnsi="仿宋_GB2312" w:cs="仿宋_GB2312" w:eastAsia="仿宋_GB2312"/>
        </w:rPr>
        <w:t>详见附件：二、投标分项报价表.docx</w:t>
      </w:r>
    </w:p>
    <w:p>
      <w:pPr>
        <w:pStyle w:val="null3"/>
        <w:ind w:firstLine="960"/>
      </w:pPr>
      <w:r>
        <w:rPr>
          <w:rFonts w:ascii="仿宋_GB2312" w:hAnsi="仿宋_GB2312" w:cs="仿宋_GB2312" w:eastAsia="仿宋_GB2312"/>
        </w:rPr>
        <w:t>详见附件：三、法定代表人证明书.docx</w:t>
      </w:r>
    </w:p>
    <w:p>
      <w:pPr>
        <w:pStyle w:val="null3"/>
        <w:ind w:firstLine="960"/>
      </w:pPr>
      <w:r>
        <w:rPr>
          <w:rFonts w:ascii="仿宋_GB2312" w:hAnsi="仿宋_GB2312" w:cs="仿宋_GB2312" w:eastAsia="仿宋_GB2312"/>
        </w:rPr>
        <w:t>详见附件：四、法定代表人授权书.docx</w:t>
      </w:r>
    </w:p>
    <w:p>
      <w:pPr>
        <w:pStyle w:val="null3"/>
        <w:ind w:firstLine="960"/>
      </w:pPr>
      <w:r>
        <w:rPr>
          <w:rFonts w:ascii="仿宋_GB2312" w:hAnsi="仿宋_GB2312" w:cs="仿宋_GB2312" w:eastAsia="仿宋_GB2312"/>
        </w:rPr>
        <w:t>详见附件：五、资格证明文件.docx</w:t>
      </w:r>
    </w:p>
    <w:p>
      <w:pPr>
        <w:pStyle w:val="null3"/>
        <w:ind w:firstLine="960"/>
      </w:pPr>
      <w:r>
        <w:rPr>
          <w:rFonts w:ascii="仿宋_GB2312" w:hAnsi="仿宋_GB2312" w:cs="仿宋_GB2312" w:eastAsia="仿宋_GB2312"/>
        </w:rPr>
        <w:t>详见附件：六、商务条款响应偏离表.docx</w:t>
      </w:r>
    </w:p>
    <w:p>
      <w:pPr>
        <w:pStyle w:val="null3"/>
        <w:ind w:firstLine="960"/>
      </w:pPr>
      <w:r>
        <w:rPr>
          <w:rFonts w:ascii="仿宋_GB2312" w:hAnsi="仿宋_GB2312" w:cs="仿宋_GB2312" w:eastAsia="仿宋_GB2312"/>
        </w:rPr>
        <w:t>详见附件：七、技术规格响应偏离表.docx</w:t>
      </w:r>
    </w:p>
    <w:p>
      <w:pPr>
        <w:pStyle w:val="null3"/>
        <w:ind w:firstLine="960"/>
      </w:pPr>
      <w:r>
        <w:rPr>
          <w:rFonts w:ascii="仿宋_GB2312" w:hAnsi="仿宋_GB2312" w:cs="仿宋_GB2312" w:eastAsia="仿宋_GB2312"/>
        </w:rPr>
        <w:t>详见附件：八、业绩.docx</w:t>
      </w:r>
    </w:p>
    <w:p>
      <w:pPr>
        <w:pStyle w:val="null3"/>
        <w:ind w:firstLine="960"/>
      </w:pPr>
      <w:r>
        <w:rPr>
          <w:rFonts w:ascii="仿宋_GB2312" w:hAnsi="仿宋_GB2312" w:cs="仿宋_GB2312" w:eastAsia="仿宋_GB2312"/>
        </w:rPr>
        <w:t>详见附件：九、供应商承诺书.docx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