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1E43C">
      <w:pPr>
        <w:spacing w:line="360" w:lineRule="auto"/>
        <w:jc w:val="center"/>
        <w:rPr>
          <w:rFonts w:hint="default"/>
          <w:color w:val="auto"/>
          <w:sz w:val="32"/>
          <w:szCs w:val="32"/>
          <w:highlight w:val="none"/>
        </w:rPr>
      </w:pPr>
      <w:bookmarkStart w:id="14" w:name="_GoBack"/>
      <w:r>
        <w:rPr>
          <w:b/>
          <w:bCs/>
          <w:color w:val="auto"/>
          <w:sz w:val="32"/>
          <w:szCs w:val="32"/>
          <w:highlight w:val="none"/>
        </w:rPr>
        <w:t>合同条款及格式</w:t>
      </w:r>
    </w:p>
    <w:bookmarkEnd w:id="14"/>
    <w:p w14:paraId="73049D77">
      <w:pPr>
        <w:pStyle w:val="11"/>
        <w:jc w:val="center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  <w:lang w:val="zh-CN"/>
        </w:rPr>
        <w:t>（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参考模板，具体</w:t>
      </w:r>
      <w:r>
        <w:rPr>
          <w:rFonts w:hint="eastAsia" w:ascii="宋体" w:hAnsi="宋体" w:cs="宋体"/>
          <w:b/>
          <w:color w:val="auto"/>
          <w:sz w:val="24"/>
          <w:highlight w:val="none"/>
          <w:lang w:val="zh-CN"/>
        </w:rPr>
        <w:t>以甲乙双方签订的合同为准）</w:t>
      </w:r>
    </w:p>
    <w:p w14:paraId="5B3DB467">
      <w:pPr>
        <w:spacing w:before="12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109542396"/>
      <w:bookmarkStart w:id="1" w:name="_Toc109543216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合同编号：</w:t>
      </w:r>
      <w:bookmarkEnd w:id="0"/>
      <w:bookmarkEnd w:id="1"/>
    </w:p>
    <w:p w14:paraId="6ADD2E63">
      <w:pPr>
        <w:spacing w:before="120" w:line="360" w:lineRule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 w14:paraId="21B26B1E">
      <w:pPr>
        <w:spacing w:before="120" w:line="360" w:lineRule="auto"/>
        <w:jc w:val="center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84AB821">
      <w:pPr>
        <w:spacing w:before="120" w:line="360" w:lineRule="auto"/>
        <w:jc w:val="center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3B48EF8">
      <w:pPr>
        <w:pStyle w:val="7"/>
        <w:rPr>
          <w:rFonts w:hint="eastAsia" w:ascii="宋体" w:cs="宋体"/>
          <w:color w:val="auto"/>
          <w:sz w:val="24"/>
          <w:szCs w:val="24"/>
          <w:highlight w:val="none"/>
        </w:rPr>
      </w:pPr>
    </w:p>
    <w:p w14:paraId="28E886C3">
      <w:pPr>
        <w:pStyle w:val="8"/>
        <w:ind w:left="4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53AF7A3">
      <w:pPr>
        <w:rPr>
          <w:rFonts w:hint="eastAsia"/>
          <w:color w:val="auto"/>
          <w:highlight w:val="none"/>
        </w:rPr>
      </w:pPr>
    </w:p>
    <w:p w14:paraId="4ADEDE42">
      <w:pPr>
        <w:spacing w:before="120" w:line="360" w:lineRule="auto"/>
        <w:jc w:val="center"/>
        <w:rPr>
          <w:rFonts w:hint="eastAsia" w:ascii="宋体" w:hAnsi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52"/>
          <w:szCs w:val="52"/>
          <w:highlight w:val="none"/>
        </w:rPr>
        <w:t>服 务 合 同</w:t>
      </w:r>
    </w:p>
    <w:p w14:paraId="78C8E4A1">
      <w:pPr>
        <w:spacing w:before="120" w:line="360" w:lineRule="auto"/>
        <w:jc w:val="center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A97724A">
      <w:pPr>
        <w:pStyle w:val="3"/>
        <w:spacing w:before="120" w:line="360" w:lineRule="auto"/>
        <w:ind w:firstLine="480"/>
        <w:rPr>
          <w:rFonts w:hint="eastAsia" w:ascii="宋体" w:hAnsi="宋体" w:cs="宋体"/>
          <w:color w:val="auto"/>
          <w:sz w:val="24"/>
          <w:highlight w:val="none"/>
        </w:rPr>
      </w:pPr>
    </w:p>
    <w:p w14:paraId="6A78AFD1">
      <w:pPr>
        <w:spacing w:before="12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4858689">
      <w:pPr>
        <w:spacing w:before="12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30FF09D">
      <w:pPr>
        <w:pStyle w:val="7"/>
        <w:rPr>
          <w:rFonts w:hint="eastAsia" w:ascii="宋体" w:cs="宋体"/>
          <w:color w:val="auto"/>
          <w:sz w:val="24"/>
          <w:szCs w:val="24"/>
          <w:highlight w:val="none"/>
        </w:rPr>
      </w:pPr>
    </w:p>
    <w:p w14:paraId="4C950162">
      <w:pPr>
        <w:pStyle w:val="8"/>
        <w:ind w:left="4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75D57CA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3162AD4">
      <w:pPr>
        <w:pStyle w:val="7"/>
        <w:rPr>
          <w:rFonts w:hint="eastAsia" w:ascii="宋体" w:cs="宋体"/>
          <w:color w:val="auto"/>
          <w:sz w:val="24"/>
          <w:szCs w:val="24"/>
          <w:highlight w:val="none"/>
        </w:rPr>
      </w:pPr>
    </w:p>
    <w:p w14:paraId="16BC8A1D">
      <w:pPr>
        <w:pStyle w:val="8"/>
        <w:ind w:left="400"/>
        <w:rPr>
          <w:rFonts w:hint="eastAsia"/>
          <w:color w:val="auto"/>
          <w:highlight w:val="none"/>
        </w:rPr>
      </w:pPr>
    </w:p>
    <w:p w14:paraId="1187F44A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E6EE35D">
      <w:pPr>
        <w:pStyle w:val="7"/>
        <w:rPr>
          <w:rFonts w:hint="eastAsia"/>
          <w:color w:val="auto"/>
          <w:highlight w:val="none"/>
        </w:rPr>
      </w:pPr>
    </w:p>
    <w:p w14:paraId="08483DE0">
      <w:pPr>
        <w:spacing w:before="120" w:line="360" w:lineRule="auto"/>
        <w:ind w:left="960" w:firstLine="720" w:firstLineChars="3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66E0A591">
      <w:pPr>
        <w:spacing w:before="120" w:line="360" w:lineRule="auto"/>
        <w:ind w:left="960" w:firstLine="720" w:firstLineChars="3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标段名称：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6951152D">
      <w:pPr>
        <w:spacing w:before="120" w:line="360" w:lineRule="auto"/>
        <w:ind w:firstLine="1680" w:firstLineChars="7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    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6A17AD22">
      <w:pPr>
        <w:spacing w:before="120" w:line="360" w:lineRule="auto"/>
        <w:ind w:firstLine="1680" w:firstLineChars="7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    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7C1EF7E9">
      <w:pPr>
        <w:spacing w:line="360" w:lineRule="auto"/>
        <w:ind w:firstLine="1680" w:firstLineChars="7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签署日期：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　　　　　　　　　　　　　         　</w:t>
      </w:r>
    </w:p>
    <w:p w14:paraId="09EFE0E8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</w:p>
    <w:p w14:paraId="277C0ADE">
      <w:pPr>
        <w:rPr>
          <w:rFonts w:hint="eastAsia" w:ascii="宋体" w:hAnsi="宋体" w:cs="宋体"/>
          <w:color w:val="auto"/>
          <w:highlight w:val="none"/>
        </w:rPr>
        <w:sectPr>
          <w:headerReference r:id="rId3" w:type="first"/>
          <w:footerReference r:id="rId5" w:type="first"/>
          <w:footerReference r:id="rId4" w:type="default"/>
          <w:pgSz w:w="11907" w:h="16840"/>
          <w:pgMar w:top="1418" w:right="992" w:bottom="1418" w:left="1418" w:header="1134" w:footer="10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linePitch="312" w:charSpace="0"/>
        </w:sectPr>
      </w:pPr>
    </w:p>
    <w:p w14:paraId="2FA79B5E">
      <w:pPr>
        <w:adjustRightInd w:val="0"/>
        <w:snapToGrid w:val="0"/>
        <w:spacing w:line="420" w:lineRule="auto"/>
        <w:jc w:val="center"/>
        <w:rPr>
          <w:rFonts w:hint="eastAsia" w:ascii="宋体" w:hAnsi="宋体" w:cs="宋体"/>
          <w:b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合 同 协 议</w:t>
      </w:r>
    </w:p>
    <w:p w14:paraId="171818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7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甲方（采购人）：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</w:t>
      </w:r>
    </w:p>
    <w:p w14:paraId="37E07E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72" w:lineRule="auto"/>
        <w:ind w:left="0" w:right="0"/>
        <w:jc w:val="left"/>
        <w:textAlignment w:val="auto"/>
        <w:rPr>
          <w:rFonts w:hint="default"/>
          <w:color w:val="auto"/>
          <w:sz w:val="24"/>
          <w:szCs w:val="24"/>
          <w:highlight w:val="none"/>
          <w:u w:val="single"/>
          <w:lang w:val="en-US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乙方（运维服务单位）：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</w:t>
      </w:r>
    </w:p>
    <w:p w14:paraId="754DDD1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72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依据《中华人民共和国民法典》《中华人民共和国政府采购法》《政府采购货物和服务招标投标管理办法》（财政部令第87号）、《陕西省财政厅关于进一步优化政府采购营商环境有关事项的通知》（陕财办采〔2023〕4号）等相关法律法规及规范性文件，甲乙双方本着平等自愿、公平诚信、权责统一的原则，就甲方机动车尾气遥感监测系统运维服务项目事宜，经协商一致，订立本合同，双方共同遵照执行。</w:t>
      </w:r>
    </w:p>
    <w:p w14:paraId="7E7BE6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72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本项目招标文件、乙方投标（响应）文件、中标（成交）通知书为本合同有效组成部分，与本合同具有同等法律效力。合同约定与招投标文件不一致的，以本合同为准；本合同未约定的，遵照招投标文件及国家、省市现行规范执行。</w:t>
      </w:r>
    </w:p>
    <w:p w14:paraId="7C020B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" w:name="heading_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第一条 项目概况与服务范围</w:t>
      </w:r>
      <w:bookmarkEnd w:id="2"/>
    </w:p>
    <w:p w14:paraId="5AB2B3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097A9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服务地点：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采购人指定点位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44231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3.服 务 期：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0E4094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.服务内容：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038292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</w:t>
      </w:r>
    </w:p>
    <w:p w14:paraId="31AF5F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3" w:name="heading_1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第二条 技术标准与运行指标</w:t>
      </w:r>
      <w:bookmarkEnd w:id="3"/>
    </w:p>
    <w:p w14:paraId="33B2C2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1.乙方须严格按照《机动车排放遥感监测技术规范》（HJ 1225-2021）、国家及陕西省机动车尾气监测、数据传输、计量校准、环保运维相关规范标准开展服务，确保监测数据真实、准确、可追溯、可核查。</w:t>
      </w:r>
    </w:p>
    <w:p w14:paraId="177FF0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整体系统保障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7×24小时不间断稳定运行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，全年设备综合在线率不低于98%，监测数据有效率、完整率、车牌及黑烟识别准确率满足生态环境部门监管考核要求，无长期断传、漏传、异常无效数据。</w:t>
      </w:r>
    </w:p>
    <w:p w14:paraId="012102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乙方严禁擅自更改设备运行参数、监测模式、数据格式，严禁篡改、伪造监测数据，严禁私自停用、遮挡、改动监测设备及配套设施。</w:t>
      </w:r>
    </w:p>
    <w:p w14:paraId="2C57FD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定期开展设备零点、量程、光路校准及系统比对调试，定期校核黑烟识别、独立智能识别算法及告警功能，确保设备计量性能合格、识别功能有效，顺利通过各级主管部门核查、比对、考核。</w:t>
      </w:r>
    </w:p>
    <w:p w14:paraId="2E08B0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4" w:name="heading_2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第三条 故障响应与售后服务要求</w:t>
      </w:r>
      <w:bookmarkEnd w:id="4"/>
    </w:p>
    <w:p w14:paraId="004694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1.响应时效：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乙方接到设备故障、系统异常、数据中断、识别失效或甲方通知后，1小时内远程响应排查；本地网点覆盖区域内，一般故障24小时内到达现场处置修复；造成系统瘫痪、数据大面积断传、整体监测失效的重大故障，8小时内到达现场开展应急处置，最大限度缩短设备停运时长。</w:t>
      </w:r>
    </w:p>
    <w:p w14:paraId="6FED59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2.服务保障：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建立项目专用备品备件库，储备充足光学配件、识别组件、电源、网络传输部件、易损易耗件，实现故障部件快速替换，杜绝因配件缺失导致设备长期停运。全程保障系统无重大运行中断，持续稳定合规运行。</w:t>
      </w:r>
    </w:p>
    <w:p w14:paraId="06046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报告报送：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乙方每月向甲方提交纸质及电子版《运维服务月度报告》，如实载明各点位系统运行状态、在线率、数据有效率、巡检记录、故障处置台账、问题整改情况及下月运维计划，接受甲方审核、监督及考核。</w:t>
      </w:r>
    </w:p>
    <w:p w14:paraId="539FE2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4.服务期限：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售后服务期限与合同运维服务周期完全一致，服务期内免费提供故障维修、系统调试、数据校准、功能优化、隐患排查、资料整理等全部服务，不得额外收取人工、配件、交通、检测、升级、调试等任何费用。</w:t>
      </w:r>
    </w:p>
    <w:p w14:paraId="10365C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5" w:name="heading_3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第四条 人员保障与安全要求</w:t>
      </w:r>
      <w:bookmarkEnd w:id="5"/>
    </w:p>
    <w:p w14:paraId="4260EC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1.乙方须配备固定专职运维人员，满足多点位常态化运维需求，人员稳定在岗，不得随意脱岗、空岗、擅自更换；确需更换人员的，须提前7个工作日书面报备甲方，经甲方同意后方可更换。</w:t>
      </w:r>
    </w:p>
    <w:p w14:paraId="4D7113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2.运维人员须具备相关专业运维能力，持有对应运维资质或专业培训证明，熟练掌握本项目各类设备、系统的运维、调试、维修及数据质控工作。</w:t>
      </w:r>
    </w:p>
    <w:p w14:paraId="01B96B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乙方须为所有参与本项目的专职运维人员购买人身意外伤害保险，单人保额不低于50万元，保险有效期覆盖全部服务周期，合同签订后7日内将保险凭证复印件提交甲方备案。运维期间所有人身安全事故、设备损坏、第三方财产损失等全部安全责任及经济损失，均由乙方自行承担。</w:t>
      </w:r>
    </w:p>
    <w:p w14:paraId="492242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6" w:name="heading_4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第五条 合同价款及支付方式</w:t>
      </w:r>
      <w:bookmarkEnd w:id="6"/>
    </w:p>
    <w:p w14:paraId="492A4A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1.本合同为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固定总价包干合同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含税总价款：人民币________元（大写：________________________）。包干范围包含人工、巡检、维修、校准、耗材、配件更换、交通、保险、税费、应急处置、资料归档、平台保障等项目全部费用，服务期内甲方不追加任何费用。</w:t>
      </w:r>
    </w:p>
    <w:p w14:paraId="7888A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付款进度（按财政资金支付流程执行）：合同签订生效，乙方全面完成服务筹备工作（专职人员全部到岗、设备全面排查调试、备品备件储备到位），经甲方核查合格后，支付合同总金额的40%；剩余款项按季度支付，每季度运维服务结束，经甲方季度考核验收合格后，每季度支付合同总金额的15%；</w:t>
      </w:r>
    </w:p>
    <w:p w14:paraId="63D136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3.乙方须按要求提供合法、有效、足额的增值税正式发票，甲方按财政审批流程按期付款。当期考核不合格的，甲方有权暂缓付款、扣减对应服务费，直至乙方完成整改并验收合格。</w:t>
      </w:r>
    </w:p>
    <w:p w14:paraId="093647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7" w:name="heading_5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第六条 合同签订规则与中标人履约责任</w:t>
      </w:r>
      <w:bookmarkEnd w:id="7"/>
    </w:p>
    <w:p w14:paraId="51C512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1.本项目严格执行陕西省政府采购管理要求，甲乙双方须在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中标（成交）通知书发出之日起25日内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签订本合同，最迟不超过法定30日，合同不得作实质性变更。甲方自合同签订之日起2个工作日内，完成合同公告及财政备案工作。</w:t>
      </w:r>
    </w:p>
    <w:p w14:paraId="6FB866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乙方无正当理由拒签本合同的，甲方有权取消其中标（成交）资格，投标保证金不予退还；给甲方造成损失的，乙方依法承担赔偿责任，同时甲方将其不良行为报送财政部门，记入政府采购不良行为记录，甲方可顺延确定下一顺位中标候选人为中标人。</w:t>
      </w:r>
    </w:p>
    <w:p w14:paraId="05A30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3.本项目严禁转包、违法分包，一经查实，甲方有权单方解除合同、扣除履约保证金、终止剩余款项支付，并追究乙方全部违约责任。</w:t>
      </w:r>
    </w:p>
    <w:p w14:paraId="58D381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8" w:name="heading_6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第七条 考核与验收</w:t>
      </w:r>
      <w:bookmarkEnd w:id="8"/>
    </w:p>
    <w:p w14:paraId="408638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1.甲方实行季度考核、年度总验收机制，考核指标包含设备在线率、数据有效率、故障响应及修复时效、巡检台账完整性、月度报告提交质量、主管部门检查结果、问题整改落实情况等。</w:t>
      </w:r>
    </w:p>
    <w:p w14:paraId="39F3CE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2.单季度考核不合格的，甲方有权扣减当期服务费，责令乙方限期整改；连续两个季度考核不合格的，甲方有权单方解除合同、扣除履约保证金，追究乙方违约责任。</w:t>
      </w:r>
    </w:p>
    <w:p w14:paraId="6B1291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3.服务期满，乙方完成全部运维工作、资料完整归档、系统运行达标，经甲方整体验收合格后，完成最终结算。</w:t>
      </w:r>
    </w:p>
    <w:p w14:paraId="127DFF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9" w:name="heading_7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第八条 双方权利与义务</w:t>
      </w:r>
      <w:bookmarkEnd w:id="9"/>
    </w:p>
    <w:p w14:paraId="29CC69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（一）甲方权利与义务</w:t>
      </w:r>
    </w:p>
    <w:p w14:paraId="0AF482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1.对乙方运维服务全过程进行监督、检查、考核，对不合格服务有权要求限期整改；</w:t>
      </w:r>
    </w:p>
    <w:p w14:paraId="612181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2.提供设备点位基础条件，协调现场周边关系，保障乙方正常开展运维作业；</w:t>
      </w:r>
    </w:p>
    <w:p w14:paraId="7C04F1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3.按照合同约定及财政流程及时支付服务费用；</w:t>
      </w:r>
    </w:p>
    <w:p w14:paraId="58E949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4.及时向乙方告知设备异常、主管部门检查及整改要求等相关事项。</w:t>
      </w:r>
    </w:p>
    <w:p w14:paraId="1AD175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（二）乙方权利与义务</w:t>
      </w:r>
    </w:p>
    <w:p w14:paraId="2218E6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1.严格遵照国家、省市技术规范及本合同约定开展全流程运维服务，保障系统稳定合规运行；</w:t>
      </w:r>
    </w:p>
    <w:p w14:paraId="7813EA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2.建立完整运维台账，留存巡检、维修、校准、备件更换、故障处置等全套记录，全程可追溯；</w:t>
      </w:r>
    </w:p>
    <w:p w14:paraId="6841D1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3.无条件配合生态环境、财政、审计等各级主管部门的检查、督查、比对、整改及资料报送工作；</w:t>
      </w:r>
    </w:p>
    <w:p w14:paraId="5CB621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4.严格履行保密义务，严禁泄露监测点位、监测数据、运维资料及甲方内部信息，不得将项目数据及资料用于本项目以外的其他用途；</w:t>
      </w:r>
    </w:p>
    <w:p w14:paraId="6B36D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5.服务期内形成的全部运维成果、台账、报告、记录资料，所有权归甲方所有，服务期满后完整移交甲方归档。</w:t>
      </w:r>
    </w:p>
    <w:p w14:paraId="0D9D04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0" w:name="heading_8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第九条 违约责任</w:t>
      </w:r>
      <w:bookmarkEnd w:id="10"/>
    </w:p>
    <w:p w14:paraId="36241B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 因乙方运维不力、响应滞后、维修不到位、备件保障不足，导致设备长期停运、数据异常、被主管部门通报批评的，甲方有权扣减服务费、扣除履约保证金，情节严重的单方解除合同。</w:t>
      </w:r>
    </w:p>
    <w:p w14:paraId="70F090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.乙方存在篡改数据、弄虚作假、擅自改动设备参数、泄露涉密信息、转包分包等违规违约行为的，甲方有权立即终止合同、不予支付剩余款项，并上报主管部门追责，造成损失的由乙方全额赔偿。</w:t>
      </w:r>
    </w:p>
    <w:p w14:paraId="16BA3E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.乙方未按要求配备人员、购买保险、储备备件、逾期报送运维报告的，甲方有权视情节扣减当期服务费用。</w:t>
      </w:r>
    </w:p>
    <w:p w14:paraId="003A3C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1" w:name="heading_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第十条 不可抗力</w:t>
      </w:r>
      <w:bookmarkEnd w:id="11"/>
    </w:p>
    <w:p w14:paraId="7D338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因地震、洪水、台风、疫情管控、政策重大调整等不可抗力因素导致合同无法正常履行的，双方互不承担违约责任，可根据实际情况协商顺延服务期限或解除合同。</w:t>
      </w:r>
    </w:p>
    <w:p w14:paraId="76B580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2" w:name="heading_1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第十一条 争议解决</w:t>
      </w:r>
      <w:bookmarkEnd w:id="12"/>
    </w:p>
    <w:p w14:paraId="3A7A80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本合同履行过程中发生争议，双方优先友好协商解决；协商不成的，提交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甲方所在地人民法院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诉讼解决。</w:t>
      </w:r>
    </w:p>
    <w:p w14:paraId="08FAD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2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3" w:name="heading_11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第十二条 其他约定</w:t>
      </w:r>
      <w:bookmarkEnd w:id="13"/>
    </w:p>
    <w:p w14:paraId="501C00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1.本合同未尽事宜，双方可签订补充协议，补充协议与本合同具有同等法律效力；</w:t>
      </w:r>
    </w:p>
    <w:p w14:paraId="3831E5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72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2.本合同一式肆份，甲方贰份、乙方贰份，自双方签字盖章之日起生效，具有同等法律效力。</w:t>
      </w:r>
    </w:p>
    <w:p w14:paraId="5B06515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72" w:lineRule="auto"/>
        <w:ind w:left="-360" w:leftChars="0" w:right="0" w:rightChars="0" w:firstLine="960" w:firstLineChars="4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本合同一式肆份，甲方贰份，乙方贰份，自双方签字盖章之日起生效。</w:t>
      </w:r>
    </w:p>
    <w:tbl>
      <w:tblPr>
        <w:tblStyle w:val="9"/>
        <w:tblW w:w="95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5"/>
        <w:gridCol w:w="351"/>
        <w:gridCol w:w="4492"/>
      </w:tblGrid>
      <w:tr w14:paraId="34685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7ED4657A">
            <w:pPr>
              <w:adjustRightInd w:val="0"/>
              <w:snapToGrid w:val="0"/>
              <w:spacing w:line="360" w:lineRule="auto"/>
              <w:ind w:left="1440" w:hanging="1440" w:hangingChars="6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甲方名称：</w:t>
            </w:r>
          </w:p>
        </w:tc>
        <w:tc>
          <w:tcPr>
            <w:tcW w:w="351" w:type="dxa"/>
            <w:noWrap w:val="0"/>
            <w:vAlign w:val="center"/>
          </w:tcPr>
          <w:p w14:paraId="4D4EBA9B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2D8732D3">
            <w:pPr>
              <w:adjustRightInd w:val="0"/>
              <w:snapToGrid w:val="0"/>
              <w:spacing w:line="360" w:lineRule="auto"/>
              <w:ind w:left="1440" w:hanging="1440" w:hangingChars="6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乙方名称：</w:t>
            </w:r>
          </w:p>
        </w:tc>
      </w:tr>
      <w:tr w14:paraId="4A138A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260ED8FD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法定代表人：(盖章)</w:t>
            </w:r>
          </w:p>
        </w:tc>
        <w:tc>
          <w:tcPr>
            <w:tcW w:w="351" w:type="dxa"/>
            <w:noWrap w:val="0"/>
            <w:vAlign w:val="center"/>
          </w:tcPr>
          <w:p w14:paraId="04570346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6E201D2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法定代表人/负责人：(盖章)</w:t>
            </w:r>
          </w:p>
        </w:tc>
      </w:tr>
      <w:tr w14:paraId="45074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7387ED2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委托代理人：（签字）</w:t>
            </w:r>
          </w:p>
        </w:tc>
        <w:tc>
          <w:tcPr>
            <w:tcW w:w="351" w:type="dxa"/>
            <w:noWrap w:val="0"/>
            <w:vAlign w:val="center"/>
          </w:tcPr>
          <w:p w14:paraId="59DDABCE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5F69655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委托代理人：（签字）</w:t>
            </w:r>
          </w:p>
        </w:tc>
      </w:tr>
      <w:tr w14:paraId="3598A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4EFCA93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</w:tc>
        <w:tc>
          <w:tcPr>
            <w:tcW w:w="351" w:type="dxa"/>
            <w:noWrap w:val="0"/>
            <w:vAlign w:val="center"/>
          </w:tcPr>
          <w:p w14:paraId="48EE9EE0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17F0971D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</w:tc>
      </w:tr>
      <w:tr w14:paraId="2AF65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14FB5D5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传    真：/</w:t>
            </w:r>
          </w:p>
        </w:tc>
        <w:tc>
          <w:tcPr>
            <w:tcW w:w="351" w:type="dxa"/>
            <w:noWrap w:val="0"/>
            <w:vAlign w:val="center"/>
          </w:tcPr>
          <w:p w14:paraId="7F500B54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78B9A03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传    真：</w:t>
            </w:r>
          </w:p>
        </w:tc>
      </w:tr>
      <w:tr w14:paraId="7461E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33BDF47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351" w:type="dxa"/>
            <w:noWrap w:val="0"/>
            <w:vAlign w:val="center"/>
          </w:tcPr>
          <w:p w14:paraId="620FB2FC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3027BCFA">
            <w:pPr>
              <w:adjustRightInd w:val="0"/>
              <w:snapToGrid w:val="0"/>
              <w:spacing w:line="360" w:lineRule="auto"/>
              <w:ind w:left="1200" w:hanging="1200" w:hangingChars="5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</w:tc>
      </w:tr>
      <w:tr w14:paraId="47D3F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715" w:type="dxa"/>
            <w:noWrap w:val="0"/>
            <w:vAlign w:val="center"/>
          </w:tcPr>
          <w:p w14:paraId="054DB163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银行帐号：</w:t>
            </w:r>
          </w:p>
        </w:tc>
        <w:tc>
          <w:tcPr>
            <w:tcW w:w="351" w:type="dxa"/>
            <w:noWrap w:val="0"/>
            <w:vAlign w:val="center"/>
          </w:tcPr>
          <w:p w14:paraId="449EDAF4">
            <w:pPr>
              <w:adjustRightInd w:val="0"/>
              <w:snapToGrid w:val="0"/>
              <w:spacing w:line="360" w:lineRule="auto"/>
              <w:ind w:left="48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92" w:type="dxa"/>
            <w:noWrap w:val="0"/>
            <w:vAlign w:val="center"/>
          </w:tcPr>
          <w:p w14:paraId="38D6F935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银行帐号：</w:t>
            </w:r>
          </w:p>
        </w:tc>
      </w:tr>
    </w:tbl>
    <w:p w14:paraId="0BE6A2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F554F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685D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3685D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陕西明瑞恒项目管理有限公司                                      </w:t>
    </w:r>
    <w:r>
      <w:rPr>
        <w:rFonts w:hint="eastAsia" w:ascii="宋体" w:hAnsi="宋体" w:cs="宋体"/>
      </w:rPr>
      <w:t>西咸新区沣西新城西部云谷二期1号楼1102室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F8148">
    <w:pPr>
      <w:pStyle w:val="2"/>
    </w:pPr>
    <w:r>
      <w:rPr>
        <w:rFonts w:hint="eastAsia" w:ascii="宋体" w:hAnsi="宋体" w:cs="宋体"/>
      </w:rPr>
      <w:t>陕西明瑞恒项目管理有限公司                                   西咸新区沣西新城西部云谷二期1号楼1102室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59AA">
    <w:pPr>
      <w:pStyle w:val="6"/>
      <w:pBdr>
        <w:bottom w:val="single" w:color="auto" w:sz="4" w:space="0"/>
      </w:pBdr>
      <w:jc w:val="both"/>
      <w:rPr>
        <w:rFonts w:hint="eastAsia"/>
      </w:rPr>
    </w:pPr>
  </w:p>
  <w:p w14:paraId="75039B75">
    <w:pPr>
      <w:pStyle w:val="6"/>
      <w:pBdr>
        <w:bottom w:val="single" w:color="auto" w:sz="4" w:space="0"/>
      </w:pBdr>
      <w:jc w:val="both"/>
    </w:pPr>
    <w:r>
      <w:rPr>
        <w:rFonts w:hint="eastAsia"/>
      </w:rPr>
      <w:t>标段名称：礼泉县职教中心物联网应用实践教学实训室、信息化提升、厕所改造项目-信息化提升标段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412C2"/>
    <w:rsid w:val="6634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sz w:val="21"/>
      <w:szCs w:val="24"/>
    </w:rPr>
  </w:style>
  <w:style w:type="paragraph" w:styleId="4">
    <w:name w:val="Body Text"/>
    <w:basedOn w:val="1"/>
    <w:next w:val="1"/>
    <w:qFormat/>
    <w:uiPriority w:val="0"/>
  </w:style>
  <w:style w:type="paragraph" w:styleId="5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4"/>
    <w:next w:val="8"/>
    <w:qFormat/>
    <w:uiPriority w:val="0"/>
    <w:rPr>
      <w:rFonts w:hAnsi="宋体"/>
      <w:sz w:val="18"/>
      <w:szCs w:val="18"/>
    </w:rPr>
  </w:style>
  <w:style w:type="paragraph" w:styleId="8">
    <w:name w:val="Body Text First Indent 2"/>
    <w:basedOn w:val="5"/>
    <w:next w:val="1"/>
    <w:unhideWhenUsed/>
    <w:qFormat/>
    <w:uiPriority w:val="0"/>
    <w:pPr>
      <w:ind w:firstLine="420"/>
    </w:p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2026-07-07T02:56:00Z</dcterms:created>
  <dc:creator>简单也极端</dc:creator>
  <cp:lastModifiedBy>简单也极端</cp:lastModifiedBy>
  <dcterms:modified xsi:type="dcterms:W3CDTF">2026-07-07T03:00:17Z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9752D0E1AF874FA3A685EB29B3B555B0_11</vt:lpwstr>
  </property>
  <property fmtid="{D5CDD505-2E9C-101B-9397-08002B2CF9AE}" pid="4" name="KSOTemplateDocerSaveRecord">
    <vt:lpwstr>eyJoZGlkIjoiNmY0NzgzNzk4OGZhODA1YTcwNTdiNzFmZjVkOTg4YjkiLCJ1c2VySWQiOiI2MDgwMzY0NzQifQ==</vt:lpwstr>
  </property>
</Properties>
</file>