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1AE77">
      <w:pPr>
        <w:pStyle w:val="3"/>
        <w:spacing w:before="240" w:after="240"/>
        <w:jc w:val="center"/>
        <w:rPr>
          <w:rFonts w:hint="eastAsia" w:ascii="宋体" w:hAnsi="宋体" w:eastAsia="宋体" w:cs="宋体"/>
          <w:sz w:val="16"/>
          <w:szCs w:val="16"/>
          <w:highlight w:val="none"/>
        </w:rPr>
      </w:pPr>
      <w:bookmarkStart w:id="2" w:name="_GoBack"/>
      <w:bookmarkStart w:id="0" w:name="bookmark77"/>
      <w:bookmarkEnd w:id="0"/>
      <w:r>
        <w:rPr>
          <w:rStyle w:val="13"/>
          <w:rFonts w:hint="eastAsia" w:cs="Times New Roman"/>
          <w:b/>
          <w:bCs/>
          <w:color w:val="auto"/>
          <w:sz w:val="24"/>
          <w:szCs w:val="18"/>
        </w:rPr>
        <w:t>（仅供参考</w:t>
      </w:r>
      <w:r>
        <w:rPr>
          <w:rStyle w:val="13"/>
          <w:rFonts w:hint="eastAsia" w:eastAsia="宋体" w:cs="Times New Roman"/>
          <w:b/>
          <w:bCs/>
          <w:color w:val="auto"/>
          <w:sz w:val="24"/>
          <w:szCs w:val="18"/>
          <w:lang w:eastAsia="zh-CN"/>
        </w:rPr>
        <w:t>，</w:t>
      </w:r>
      <w:r>
        <w:rPr>
          <w:rStyle w:val="13"/>
          <w:rFonts w:hint="eastAsia" w:eastAsia="宋体" w:cs="Times New Roman"/>
          <w:b/>
          <w:bCs/>
          <w:color w:val="auto"/>
          <w:sz w:val="24"/>
          <w:szCs w:val="18"/>
          <w:lang w:val="en-US" w:eastAsia="zh-CN"/>
        </w:rPr>
        <w:t>具体以最终签订合同为准</w:t>
      </w:r>
      <w:r>
        <w:rPr>
          <w:rStyle w:val="13"/>
          <w:rFonts w:hint="eastAsia" w:cs="Times New Roman"/>
          <w:b/>
          <w:bCs/>
          <w:color w:val="auto"/>
          <w:sz w:val="24"/>
          <w:szCs w:val="18"/>
        </w:rPr>
        <w:t>）</w:t>
      </w:r>
    </w:p>
    <w:bookmarkEnd w:id="2"/>
    <w:p w14:paraId="7421089E">
      <w:pPr>
        <w:pStyle w:val="3"/>
        <w:spacing w:before="240" w:after="24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第一节 通用合同条款</w:t>
      </w:r>
    </w:p>
    <w:p w14:paraId="17FAE4A3">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 一般约定</w:t>
      </w:r>
    </w:p>
    <w:p w14:paraId="636DA182">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1.1 词语定义</w:t>
      </w:r>
    </w:p>
    <w:p w14:paraId="5C5ED13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除专用合同条款另有约定外，合同中的下列词语应具有本款所赋予的含义。</w:t>
      </w:r>
    </w:p>
    <w:p w14:paraId="23B9C9EA">
      <w:pPr>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1.1.1 合同</w:t>
      </w:r>
    </w:p>
    <w:p w14:paraId="01A4111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1.1.1.1 合同文件（或称合同）：指合同协议书、中标通知书、投标函、商务和技术偏差表、专用合同条款、通用合同条款、供货要求、分项报价表、中标设备技术性能指标的详细描述、技术服务和质保期服务计划，以及其他构成合同组成部分的文件。</w:t>
      </w:r>
    </w:p>
    <w:p w14:paraId="1F71D98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1.1.1.2 合同协议书：指买方和卖方共同签署的合同协议书。</w:t>
      </w:r>
    </w:p>
    <w:p w14:paraId="65147C5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1.1.1.3 中标通知书：指买方通知卖方中标的函件。</w:t>
      </w:r>
    </w:p>
    <w:p w14:paraId="1BCA5E3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1.1.1.4 投标函：指由卖方填写并签署的，名为“投标函”的函件。</w:t>
      </w:r>
    </w:p>
    <w:p w14:paraId="4F76D57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1.1.1.5 商务和技术偏差表：指卖方投标文件中的商务和技术偏差表。</w:t>
      </w:r>
    </w:p>
    <w:p w14:paraId="2427F93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1.1.1.6 供货要求：指合同文件中名为“供货要求”的文件。</w:t>
      </w:r>
    </w:p>
    <w:p w14:paraId="28EC673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1.1.1.7 中标设备技术性能指标的详细描述：指卖方投标文件中的投标设备技术性能指标的详细描述。</w:t>
      </w:r>
    </w:p>
    <w:p w14:paraId="67E23F1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1.1.1.8 技术服务和质保期服务计划：指卖方投标文件中的技术服务和质保期服务计划。</w:t>
      </w:r>
    </w:p>
    <w:p w14:paraId="334253F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1.1.1.9 分项报价表：指卖方投标文件中的分项报价表。</w:t>
      </w:r>
    </w:p>
    <w:p w14:paraId="783EFB5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1.1.1.10 其他合同文件：指经合同双方当事人确认构成合同文件的其他文件。</w:t>
      </w:r>
    </w:p>
    <w:p w14:paraId="0007DD2D">
      <w:pPr>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1.1.2 合同当事人</w:t>
      </w:r>
    </w:p>
    <w:p w14:paraId="220D731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1.1.2.1 合同当事人：指买方和（或）卖方。</w:t>
      </w:r>
    </w:p>
    <w:p w14:paraId="7FE4C9A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1.1.2.2 买方：指与卖方签订合同协议书，购买合同设备和技术服务和质保期服务的当事人，及其合法继承人。</w:t>
      </w:r>
    </w:p>
    <w:p w14:paraId="692EADA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1.1.2.3 卖方：指与买方签订合同协议书，提供合同设备和技术服务和质保期服务的当事人，及其合法继承人。</w:t>
      </w:r>
    </w:p>
    <w:p w14:paraId="613F948D">
      <w:pPr>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1.1.3 合同价格</w:t>
      </w:r>
    </w:p>
    <w:p w14:paraId="5A57833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1.1.3.1 签约合同价：是签订合同时合同协议书中写明的合同总金额。</w:t>
      </w:r>
    </w:p>
    <w:p w14:paraId="5272212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1.1.3.2 合同价格：指卖方按合同约定履行了全部合同义务后，买方应付给卖方的金额。</w:t>
      </w:r>
    </w:p>
    <w:p w14:paraId="76C2F813">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1.1.4 合同设备</w:t>
      </w:r>
      <w:r>
        <w:rPr>
          <w:rFonts w:hint="eastAsia" w:ascii="宋体" w:hAnsi="宋体" w:eastAsia="宋体" w:cs="宋体"/>
          <w:sz w:val="24"/>
          <w:szCs w:val="24"/>
          <w:highlight w:val="none"/>
        </w:rPr>
        <w:t>：指卖方按合同约定应向买方提供的设备、装置、备品、备件、易损易耗件、配套使用的软件或其他辅助电子应用程序及技术资料，或其中任何一部分。</w:t>
      </w:r>
    </w:p>
    <w:p w14:paraId="59567EE3">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1.1.5 技术资料</w:t>
      </w:r>
      <w:r>
        <w:rPr>
          <w:rFonts w:hint="eastAsia" w:ascii="宋体" w:hAnsi="宋体" w:eastAsia="宋体" w:cs="宋体"/>
          <w:sz w:val="24"/>
          <w:szCs w:val="24"/>
          <w:highlight w:val="none"/>
        </w:rPr>
        <w:t>：指各种纸质及电子载体的与合同设备的设计、检验、安装、调试、考核、操作、维修以及保养等有关的技术指标、规格、图纸和说明文件。</w:t>
      </w:r>
    </w:p>
    <w:p w14:paraId="08197744">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1.1.6 安装</w:t>
      </w:r>
      <w:r>
        <w:rPr>
          <w:rFonts w:hint="eastAsia" w:ascii="宋体" w:hAnsi="宋体" w:eastAsia="宋体" w:cs="宋体"/>
          <w:sz w:val="24"/>
          <w:szCs w:val="24"/>
          <w:highlight w:val="none"/>
        </w:rPr>
        <w:t>：指对合同设备进行的组装、连接以及根据需要将合同设备固定在施工场地内一定的位置上，使其就位并与相关设备、工程实现连接。</w:t>
      </w:r>
    </w:p>
    <w:p w14:paraId="6F2E2CEF">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1.1.7 调试</w:t>
      </w:r>
      <w:r>
        <w:rPr>
          <w:rFonts w:hint="eastAsia" w:ascii="宋体" w:hAnsi="宋体" w:eastAsia="宋体" w:cs="宋体"/>
          <w:sz w:val="24"/>
          <w:szCs w:val="24"/>
          <w:highlight w:val="none"/>
        </w:rPr>
        <w:t>：指在合同设备安装完成后，对合同设备所进行的调校和测试。</w:t>
      </w:r>
    </w:p>
    <w:p w14:paraId="28F3CC3B">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1.1.8 考核</w:t>
      </w:r>
      <w:r>
        <w:rPr>
          <w:rFonts w:hint="eastAsia" w:ascii="宋体" w:hAnsi="宋体" w:eastAsia="宋体" w:cs="宋体"/>
          <w:sz w:val="24"/>
          <w:szCs w:val="24"/>
          <w:highlight w:val="none"/>
        </w:rPr>
        <w:t>：指在合同设备调试完成后，对合同设备进行的用于确定其是否达到合同约定的技术性能考核指标的考核。</w:t>
      </w:r>
    </w:p>
    <w:p w14:paraId="02275140">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1.1.9 验收</w:t>
      </w:r>
      <w:r>
        <w:rPr>
          <w:rFonts w:hint="eastAsia" w:ascii="宋体" w:hAnsi="宋体" w:eastAsia="宋体" w:cs="宋体"/>
          <w:sz w:val="24"/>
          <w:szCs w:val="24"/>
          <w:highlight w:val="none"/>
        </w:rPr>
        <w:t>：指合同设备通过考核达到合同约定的技术性能考核指标后，买方作出接受合同设备的确认。</w:t>
      </w:r>
    </w:p>
    <w:p w14:paraId="52292AE9">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1.1.10 技术服务</w:t>
      </w:r>
      <w:r>
        <w:rPr>
          <w:rFonts w:hint="eastAsia" w:ascii="宋体" w:hAnsi="宋体" w:eastAsia="宋体" w:cs="宋体"/>
          <w:sz w:val="24"/>
          <w:szCs w:val="24"/>
          <w:highlight w:val="none"/>
        </w:rPr>
        <w:t>：指卖方按合同约定，在合同设备验收前，向买方提供的安装、调试服务，或者在由买方负责的安装、调试、考核中对买方进行的技术指导、协助、监督和培训等。</w:t>
      </w:r>
    </w:p>
    <w:p w14:paraId="051B22F5">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1.1.11 质量保证期</w:t>
      </w:r>
      <w:r>
        <w:rPr>
          <w:rFonts w:hint="eastAsia" w:ascii="宋体" w:hAnsi="宋体" w:eastAsia="宋体" w:cs="宋体"/>
          <w:sz w:val="24"/>
          <w:szCs w:val="24"/>
          <w:highlight w:val="none"/>
        </w:rPr>
        <w:t>：指合同设备验收后，卖方按合同约定保证合同设备适当、稳定运行，并负责消除合同设备故障的期限。</w:t>
      </w:r>
    </w:p>
    <w:p w14:paraId="008F3651">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1.1.12 质保期服务</w:t>
      </w:r>
      <w:r>
        <w:rPr>
          <w:rFonts w:hint="eastAsia" w:ascii="宋体" w:hAnsi="宋体" w:eastAsia="宋体" w:cs="宋体"/>
          <w:sz w:val="24"/>
          <w:szCs w:val="24"/>
          <w:highlight w:val="none"/>
        </w:rPr>
        <w:t>：指在质量保证期内，卖方向买方提供的合同设备维护服务、咨询服务、技术指导、协助以及对出现故障的合同设备进行修理或更换的服务。</w:t>
      </w:r>
    </w:p>
    <w:p w14:paraId="5BD1E768">
      <w:pPr>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1.1.13 工程</w:t>
      </w:r>
    </w:p>
    <w:p w14:paraId="1FD74FF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1.1.13.1 工程：指在专用合同条款中指明的，安装运行合同设备的工程。</w:t>
      </w:r>
    </w:p>
    <w:p w14:paraId="22168BB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1.1.13.2 施工场地（或称工地、施工现场）：指专用合同条款中指明的工程所在场所。</w:t>
      </w:r>
    </w:p>
    <w:p w14:paraId="5180AC8B">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1.1.14 天（或称日）</w:t>
      </w:r>
      <w:r>
        <w:rPr>
          <w:rFonts w:hint="eastAsia" w:ascii="宋体" w:hAnsi="宋体" w:eastAsia="宋体" w:cs="宋体"/>
          <w:sz w:val="24"/>
          <w:szCs w:val="24"/>
          <w:highlight w:val="none"/>
        </w:rPr>
        <w:t>：除特别指明外，指日历天。合同中按天计算时间的，开始当天不计入，从次日开始计算。合同约定的期间的最后一天是星期日或者其他法定休假日的，以休假日的次日为期间的最后一天。</w:t>
      </w:r>
    </w:p>
    <w:p w14:paraId="61767C4D">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1.1.15 月</w:t>
      </w:r>
      <w:r>
        <w:rPr>
          <w:rFonts w:hint="eastAsia" w:ascii="宋体" w:hAnsi="宋体" w:eastAsia="宋体" w:cs="宋体"/>
          <w:sz w:val="24"/>
          <w:szCs w:val="24"/>
          <w:highlight w:val="none"/>
        </w:rPr>
        <w:t>：按照公历月计算。合同中按月计算时间的，开始当天不计入，从次日开始计算。</w:t>
      </w:r>
    </w:p>
    <w:p w14:paraId="5E9D050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合同约定的期间的最后一天是星期日或者其他法定休假日的，以休假日的次日为期间的最后一天。</w:t>
      </w:r>
    </w:p>
    <w:p w14:paraId="29463DA8">
      <w:pPr>
        <w:ind w:firstLine="422"/>
        <w:rPr>
          <w:rFonts w:hint="eastAsia" w:ascii="宋体" w:hAnsi="宋体" w:eastAsia="宋体" w:cs="宋体"/>
          <w:sz w:val="24"/>
          <w:szCs w:val="24"/>
          <w:highlight w:val="none"/>
        </w:rPr>
      </w:pPr>
      <w:r>
        <w:rPr>
          <w:rFonts w:hint="eastAsia" w:ascii="宋体" w:hAnsi="宋体" w:eastAsia="宋体" w:cs="宋体"/>
          <w:b/>
          <w:sz w:val="24"/>
          <w:szCs w:val="24"/>
          <w:highlight w:val="none"/>
        </w:rPr>
        <w:t>1.1.16 书面形式</w:t>
      </w:r>
      <w:r>
        <w:rPr>
          <w:rFonts w:hint="eastAsia" w:ascii="宋体" w:hAnsi="宋体" w:eastAsia="宋体" w:cs="宋体"/>
          <w:sz w:val="24"/>
          <w:szCs w:val="24"/>
          <w:highlight w:val="none"/>
        </w:rPr>
        <w:t>：指合同文件、信件和数据电文（包括电报、电传、传真、电子数据交换和电子邮件）等可以有形地表现所载内容的形式。</w:t>
      </w:r>
    </w:p>
    <w:p w14:paraId="4FD787ED">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1.2 语言文字</w:t>
      </w:r>
    </w:p>
    <w:p w14:paraId="0A358B7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合同使用的语言文字为中文。专用术语使用外文的，应附有中文注释。</w:t>
      </w:r>
    </w:p>
    <w:p w14:paraId="792FB138">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1.3 合同文件的优先顺序</w:t>
      </w:r>
    </w:p>
    <w:p w14:paraId="158A683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组成合同的各项文件应互相解释，互为说明。除专用合同条款另有约定外，解释合同文件的优先顺序如下：</w:t>
      </w:r>
    </w:p>
    <w:p w14:paraId="24E0B8B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（1）合同协议书；</w:t>
      </w:r>
    </w:p>
    <w:p w14:paraId="0CD2F73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w:t>
      </w:r>
    </w:p>
    <w:p w14:paraId="6CF1D70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（3）投标函；</w:t>
      </w:r>
    </w:p>
    <w:p w14:paraId="525A84A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（4）商务和技术偏差表；</w:t>
      </w:r>
    </w:p>
    <w:p w14:paraId="0C3804A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（5）专用合同条款；</w:t>
      </w:r>
    </w:p>
    <w:p w14:paraId="7B3634C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（6）通用合同条款；</w:t>
      </w:r>
    </w:p>
    <w:p w14:paraId="1300F2B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（7）供货要求；</w:t>
      </w:r>
    </w:p>
    <w:p w14:paraId="32B0D6F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（8）分项报价表；</w:t>
      </w:r>
    </w:p>
    <w:p w14:paraId="3A52759D">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（9）中标设备技术性能指标的详细描述；</w:t>
      </w:r>
    </w:p>
    <w:p w14:paraId="458C994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（10）技术服务和质保期服务计划；</w:t>
      </w:r>
    </w:p>
    <w:p w14:paraId="386B975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（11）其他合同文件。</w:t>
      </w:r>
    </w:p>
    <w:p w14:paraId="4BEBF2F3">
      <w:pPr>
        <w:bidi w:val="0"/>
        <w:rPr>
          <w:rFonts w:hint="eastAsia" w:ascii="宋体" w:hAnsi="宋体" w:eastAsia="宋体" w:cs="宋体"/>
          <w:b/>
          <w:sz w:val="24"/>
          <w:szCs w:val="24"/>
          <w:highlight w:val="none"/>
        </w:rPr>
      </w:pPr>
      <w:r>
        <w:rPr>
          <w:rFonts w:hint="eastAsia" w:ascii="宋体" w:hAnsi="宋体" w:eastAsia="宋体" w:cs="宋体"/>
          <w:b/>
          <w:sz w:val="24"/>
          <w:szCs w:val="24"/>
          <w:highlight w:val="none"/>
        </w:rPr>
        <w:t>1.4 合同的生效及变更</w:t>
      </w:r>
    </w:p>
    <w:p w14:paraId="4A4CFA05">
      <w:pPr>
        <w:ind w:firstLine="420"/>
        <w:rPr>
          <w:rFonts w:hint="eastAsia" w:ascii="宋体" w:hAnsi="宋体" w:eastAsia="宋体" w:cs="宋体"/>
          <w:sz w:val="24"/>
          <w:szCs w:val="24"/>
          <w:highlight w:val="none"/>
        </w:rPr>
      </w:pPr>
    </w:p>
    <w:p w14:paraId="59EF8FE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1.4.1 除专用合同条款另有约定外，买方和卖方的法定代表人（单位负责人）或其授权代表在合同协议书上签字并加盖单位章后，合同生效。</w:t>
      </w:r>
    </w:p>
    <w:p w14:paraId="2098C3B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1.4.2 除专用合同条款另有约定外，在合同履行过程中，如需对合同进行变更，双方应签订书面协议，并经双方法定代表人（单位负责人）或其授权代表签字并加盖单位章后生效。</w:t>
      </w:r>
    </w:p>
    <w:p w14:paraId="6A6C1AC6">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1.5 联络</w:t>
      </w:r>
    </w:p>
    <w:p w14:paraId="7BEFF58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1.5.1 买卖双方应就合同履行中有关的事项及时进行联络，重要事项应通过书面形式进行联络或确认。合同履行过程中的任何联络及相关文件的签署，均应通过专用合同条款指定的联系人和联系方式进行。合同履行过程中，双方可以书面形式增加或变更指定联系人。</w:t>
      </w:r>
    </w:p>
    <w:p w14:paraId="5838944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1.5.2 合同履行中或与合同有关的任何联络，送达到第 1.5.1 项指定的联系人即视为送达。</w:t>
      </w:r>
    </w:p>
    <w:p w14:paraId="281AEEF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1.5.3 买方可以安排监理等相关人员作为买方人员，与卖方进行联络或参加合同设备的监造（如有）、交货前检验（如有）、开箱检验、安装、调试、考核、验收等，但应按照第 1.5.1 项的约定事先书面通知卖方。</w:t>
      </w:r>
    </w:p>
    <w:p w14:paraId="099654FC">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1.6 联合体</w:t>
      </w:r>
    </w:p>
    <w:p w14:paraId="1371A59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1.6.1 卖方为联合体的，联合体各方应当共同与买方签订合同，并向买方为履行合同承担连带责任。</w:t>
      </w:r>
    </w:p>
    <w:p w14:paraId="3C0EA7E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1.6.2 在合同履行过程中，未经买方同意，不得修改联合体协议。联合体协议中关于联合体成员间权利义务的划分，并不影响或减损联合体各方应就履行合同向买方承担的连带责任。</w:t>
      </w:r>
    </w:p>
    <w:p w14:paraId="7C0CB208">
      <w:pPr>
        <w:ind w:firstLine="420"/>
        <w:rPr>
          <w:rFonts w:hint="eastAsia" w:ascii="宋体" w:hAnsi="宋体" w:eastAsia="宋体" w:cs="宋体"/>
          <w:b/>
          <w:sz w:val="24"/>
          <w:szCs w:val="24"/>
          <w:highlight w:val="none"/>
        </w:rPr>
      </w:pPr>
      <w:r>
        <w:rPr>
          <w:rFonts w:hint="eastAsia" w:ascii="宋体" w:hAnsi="宋体" w:eastAsia="宋体" w:cs="宋体"/>
          <w:sz w:val="24"/>
          <w:szCs w:val="24"/>
          <w:highlight w:val="none"/>
        </w:rPr>
        <w:t>1.6.3 联合体牵头人代表联合体与买方联系，并接受指示，负责组织联合体各成员全面履行合同。除非专用合同条款另有约定，牵头人在履行合同中的所有行为均视为已获得联合体各方的授权。买方可将合同价款全部支付给牵头人并视为其已适当履行了付款义务。如牵头人的行为将构成对合同内容的变更，则牵头人须事先获得联合体各方的特别授权。</w:t>
      </w:r>
      <w:r>
        <w:rPr>
          <w:rFonts w:hint="eastAsia" w:ascii="宋体" w:hAnsi="宋体" w:eastAsia="宋体" w:cs="宋体"/>
          <w:sz w:val="24"/>
          <w:szCs w:val="24"/>
          <w:highlight w:val="none"/>
        </w:rPr>
        <w:cr/>
      </w:r>
      <w:r>
        <w:rPr>
          <w:rFonts w:hint="eastAsia" w:ascii="宋体" w:hAnsi="宋体" w:eastAsia="宋体" w:cs="宋体"/>
          <w:b/>
          <w:sz w:val="24"/>
          <w:szCs w:val="24"/>
          <w:highlight w:val="none"/>
        </w:rPr>
        <w:t>1.7 转让</w:t>
      </w:r>
    </w:p>
    <w:p w14:paraId="48E4DBC0">
      <w:pPr>
        <w:ind w:firstLine="420"/>
        <w:rPr>
          <w:rFonts w:hint="eastAsia" w:ascii="宋体" w:hAnsi="宋体" w:eastAsia="宋体" w:cs="宋体"/>
          <w:sz w:val="24"/>
          <w:szCs w:val="24"/>
          <w:highlight w:val="none"/>
        </w:rPr>
      </w:pPr>
    </w:p>
    <w:p w14:paraId="1C9DEFA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未经对方当事人书面同意，合同任何一方均不得转让其在合同项下的权利和（或）义务。</w:t>
      </w:r>
    </w:p>
    <w:p w14:paraId="0118E014">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 合同范围</w:t>
      </w:r>
    </w:p>
    <w:p w14:paraId="4C3EEC5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卖方应根据供货要求、中标设备技术性能指标的详细描述、技术服务和质保期服务计划等合同文件的约定向买方提供合同设备、技术服务和质保期服务。</w:t>
      </w:r>
      <w:r>
        <w:rPr>
          <w:rFonts w:hint="eastAsia" w:ascii="宋体" w:hAnsi="宋体" w:eastAsia="宋体" w:cs="宋体"/>
          <w:sz w:val="24"/>
          <w:szCs w:val="24"/>
          <w:highlight w:val="none"/>
        </w:rPr>
        <w:cr/>
      </w:r>
      <w:r>
        <w:rPr>
          <w:rFonts w:hint="eastAsia" w:ascii="宋体" w:hAnsi="宋体" w:eastAsia="宋体" w:cs="宋体"/>
          <w:sz w:val="24"/>
          <w:szCs w:val="24"/>
          <w:highlight w:val="none"/>
        </w:rPr>
        <w:t>3. 合同价格与支付</w:t>
      </w:r>
    </w:p>
    <w:p w14:paraId="3AC43658">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3.1 合同价格</w:t>
      </w:r>
    </w:p>
    <w:p w14:paraId="229A3FA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3.1.1 合同协议书中载明的签约合同价包括卖方为完成合同全部义务应承担的一切成本、费用和支出以及卖方的合理利润。</w:t>
      </w:r>
    </w:p>
    <w:p w14:paraId="6273884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3.1.2 除专用合同条款另有约定外，签约合同价为固定价格。</w:t>
      </w:r>
    </w:p>
    <w:p w14:paraId="05F19AD9">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3.2 合同价款的支付</w:t>
      </w:r>
    </w:p>
    <w:p w14:paraId="515EA6F2">
      <w:pPr>
        <w:ind w:firstLine="420"/>
        <w:rPr>
          <w:rFonts w:hint="eastAsia" w:eastAsia="宋体"/>
          <w:lang w:val="en-US" w:eastAsia="zh-CN"/>
        </w:rPr>
      </w:pPr>
      <w:r>
        <w:rPr>
          <w:rFonts w:hint="eastAsia" w:eastAsia="宋体"/>
          <w:lang w:val="en-US" w:eastAsia="zh-CN"/>
        </w:rPr>
        <w:t>以</w:t>
      </w:r>
      <w:r>
        <w:rPr>
          <w:rFonts w:hint="eastAsia"/>
        </w:rPr>
        <w:t>专用合同条款</w:t>
      </w:r>
      <w:r>
        <w:rPr>
          <w:rFonts w:hint="eastAsia" w:eastAsia="宋体"/>
          <w:lang w:val="en-US" w:eastAsia="zh-CN"/>
        </w:rPr>
        <w:t>为准。</w:t>
      </w:r>
    </w:p>
    <w:p w14:paraId="27CB8006">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3.3 买方扣款的权利</w:t>
      </w:r>
    </w:p>
    <w:p w14:paraId="33D9500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当卖方应向买方支付合同项下的违约金或赔偿金时，买方有权从上述任何一笔应付款中予以直接扣除和（或）兑付履约保证金。</w:t>
      </w:r>
    </w:p>
    <w:p w14:paraId="4F103C64">
      <w:pPr>
        <w:ind w:firstLine="420"/>
        <w:rPr>
          <w:rFonts w:hint="eastAsia" w:ascii="宋体" w:hAnsi="宋体" w:eastAsia="宋体" w:cs="宋体"/>
          <w:sz w:val="24"/>
          <w:szCs w:val="24"/>
          <w:highlight w:val="none"/>
        </w:rPr>
      </w:pPr>
    </w:p>
    <w:p w14:paraId="08D26485">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4. 监造及交货前检验</w:t>
      </w:r>
    </w:p>
    <w:p w14:paraId="7B278DD9">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4.1 监造</w:t>
      </w:r>
    </w:p>
    <w:p w14:paraId="2230D3E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专用合同条款约定买方对合同设备进行监造的，双方应按本款及专用合同条款约定履行。</w:t>
      </w:r>
    </w:p>
    <w:p w14:paraId="3CD54A0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4.1.1 在合同设备的制造过程中，买方可派出监造人员，对合同设备的生产制造进行监造，监督合同设备制造、检验等情况。监造的范围、方式等应符合专用合同条款和（或）供货要求等合同文件的约定。</w:t>
      </w:r>
    </w:p>
    <w:p w14:paraId="26CC73F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4.1.2 除专用合同条款和（或）供货要求等合同文件另有约定外，买方监造人员可到合同设备及其关键部件的生产制造现场进行监造，卖方应予配合。卖方应免费为买方监造人员提供工作条件及便利，包括但不限于必要的办公场所、技术资料、检测工具及出入许可等。除专用合同条款另有约定外，买方监造人员的交通、食宿费用由买方承担。</w:t>
      </w:r>
    </w:p>
    <w:p w14:paraId="59DDABA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4.1.3 卖方制订生产制造合同设备的进度计划时，应将买方监造纳入计划安排，并提前通知买方；买方进行监造不应影响合同设备的正常生产。除专用合同条款和（或）供货要求等合同文件另有约定外，卖方应提前 7 日将需要买方监造人员现场监造事项通知买方；如买方监造人员未按通知出席，不影响合同设备及其关键部件的制造或检验，但买方监造人员有权事后了解、查阅、复制相关制造或检验记录。</w:t>
      </w:r>
    </w:p>
    <w:p w14:paraId="3F60ECB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4.1.4 买方监造人员在监造中如发现合同设备及其关键部件不符合合同约定的标准，则有权提出意见和建议。卖方应采取必要措施消除合同设备的不符，由此增加的费用和（或）造成的延误由卖方负责。</w:t>
      </w:r>
    </w:p>
    <w:p w14:paraId="36517C8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4.1.5 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14:paraId="1E320B75">
      <w:pPr>
        <w:bidi w:val="0"/>
        <w:rPr>
          <w:rFonts w:hint="eastAsia" w:ascii="宋体" w:hAnsi="宋体" w:eastAsia="宋体" w:cs="宋体"/>
          <w:b/>
          <w:sz w:val="24"/>
          <w:szCs w:val="24"/>
          <w:highlight w:val="none"/>
        </w:rPr>
      </w:pPr>
      <w:r>
        <w:rPr>
          <w:rFonts w:hint="eastAsia" w:ascii="宋体" w:hAnsi="宋体" w:eastAsia="宋体" w:cs="宋体"/>
          <w:b/>
          <w:sz w:val="24"/>
          <w:szCs w:val="24"/>
          <w:highlight w:val="none"/>
        </w:rPr>
        <w:t>4.2 交货前检验</w:t>
      </w:r>
    </w:p>
    <w:p w14:paraId="6EFD431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专用合同条款约定买方参与交货前检验的，双方应按本款及专用合同条款约定履行。</w:t>
      </w:r>
    </w:p>
    <w:p w14:paraId="579959D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4.2.1 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专用合同条款另有约定外，买方代表的交通、食宿费用由买方承担。</w:t>
      </w:r>
    </w:p>
    <w:p w14:paraId="0CE3DB7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4.2.2 除专用合同条款和（或）供货要求等合同文件另有约定外，卖方应提前 7 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7778E1D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4.2.3 买方代表在检验中如发现合同设备不符合合同约定的标准，则有权提出异议。卖方应采取必要措施消除合同设备的不符，由此增加的费用和（或）造成的延误由卖方负责。</w:t>
      </w:r>
    </w:p>
    <w:p w14:paraId="5802E72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4.2.4 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14:paraId="161F0198">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5.包装、标记、运输和交付</w:t>
      </w:r>
    </w:p>
    <w:p w14:paraId="03834586">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5.1 包装</w:t>
      </w:r>
    </w:p>
    <w:p w14:paraId="2208D33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5.1.1 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4BBC230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5.1.2 每个独立包装箱内应附装箱清单、质量合格证、装配图、说明书、操作指南等资料。</w:t>
      </w:r>
    </w:p>
    <w:p w14:paraId="7E973CB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5.1.3 除专用合同条款另有约定外，买方无需将包装物退还给卖方。</w:t>
      </w:r>
    </w:p>
    <w:p w14:paraId="53E3D88E">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5.2 标记</w:t>
      </w:r>
    </w:p>
    <w:p w14:paraId="4072D0A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5.2.1 除专用合同条款另有约定外，卖方应在每一包装箱相邻的四个侧面以不可擦除的、明显的方式标记必要的装运信息和标记，以满足合同设备运输和保管的需要。</w:t>
      </w:r>
    </w:p>
    <w:p w14:paraId="0D245F0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5.2.2 根据合同设备的特点和运输、保管的不同要求，卖方应在包装箱上清楚地标注“小心轻放”、“此端朝上，请勿倒置”、“保持干燥”等字样和其他适当标记。对于专用合同条款约定的超大超重件，卖方应在包装箱两侧标注“重心”和“起吊点”以便装卸和搬运。如果发运合同设备中含有易燃易爆物品、腐蚀物品、放射性物质等危险品，则应在包装箱上标明危险品标志。</w:t>
      </w:r>
    </w:p>
    <w:p w14:paraId="18027479">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5.3 运输</w:t>
      </w:r>
    </w:p>
    <w:p w14:paraId="429025A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5.3.1 卖方应自行选择适宜的运输工具及线路安排合同设备运输。</w:t>
      </w:r>
    </w:p>
    <w:p w14:paraId="1459829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5.3.2 除专用合同条款另有约定外，每件能够独立运行的设备应整套装运。该设备安装、调试、考核和运行所使用的备品、备件、易损易耗件等应随相关的主机一齐装运。</w:t>
      </w:r>
    </w:p>
    <w:p w14:paraId="061FE59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5.3.3 除专用合同条款另有约定外，卖方应在合同设备预计启运 7 日前，将合同设备名称、数量、箱数、总毛重、总体积（用 m3 表示）、每箱尺寸（长×宽×高）、装运合同设备总金额、运输方式、预计交付日期和合同设备在运输、装卸、保管中的注意事项等预通知买方，并在合同设备启运后 24 小时之内正式通知买方。</w:t>
      </w:r>
    </w:p>
    <w:p w14:paraId="4D5499A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5.3.4 卖方在根据第 5.3.3 项进行通知时，如果发运合同设备中包括专用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p>
    <w:p w14:paraId="040371B0">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5.4 交付</w:t>
      </w:r>
    </w:p>
    <w:p w14:paraId="20B73A3D">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5.4.1 除专用合同条款另有约定外，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5C953C4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5.4.2 合同设备的所有权和风险自交付时起由卖方转移至买方，合同设备交付给买方之前包括运输在内的所有风险均由卖方承担。</w:t>
      </w:r>
    </w:p>
    <w:p w14:paraId="72AB6F6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5.4.3 除专用合同条款另有约定外，买方如果发现技术资料存在短缺和（或）损坏，卖方应在收到买方的通知后 7 日内免费补齐短缺和（或）损坏的部分。如果买方发现卖方提供的技术资料有误，卖方应在收到买方通知后 7 日内免费替换。如由于买方原因导致技术资料丢失和（或）损坏，卖方应在收到买方的通知后 7 日内补齐丢失和（或）损坏的部分，但买方应向卖方支付合理的复制、邮寄费用。</w:t>
      </w:r>
    </w:p>
    <w:p w14:paraId="2B52AD62">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6. 开箱检验、安装、调试、考核、验收</w:t>
      </w:r>
    </w:p>
    <w:p w14:paraId="0B920BA6">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6.1 开箱检验</w:t>
      </w:r>
    </w:p>
    <w:p w14:paraId="682DFAB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6.1.1 合同设备交付后应进行开箱检验，即合同设备数量及外观检验。开箱检验在专用合同条款约定的下列任一种时间进行：</w:t>
      </w:r>
    </w:p>
    <w:p w14:paraId="58F843A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（1）合同设备交付时；</w:t>
      </w:r>
    </w:p>
    <w:p w14:paraId="54781A3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（2）合同设备交付后的一定期限内。</w:t>
      </w:r>
    </w:p>
    <w:p w14:paraId="4211096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如开箱检验不在合同设备交付时进行，买方应在开箱检验 3 日前将开箱检验的时间和地点通知卖方。</w:t>
      </w:r>
    </w:p>
    <w:p w14:paraId="3E92861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6.1.2 除专用合同条款另有约定外，合同设备的开箱检验应在施工场地进行。</w:t>
      </w:r>
    </w:p>
    <w:p w14:paraId="62E051D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6.1.3 开箱检验由买卖双方共同进行，卖方应自负费用派遣代表到场参加开箱检验。</w:t>
      </w:r>
    </w:p>
    <w:p w14:paraId="5965942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6.1.4 在开箱检验中，买方和卖方应共同签署数量、外观检验报告，报告应列明检验结果，包括检验合格或发现的任何短缺、损坏或其它与合同约定不符的情形。</w:t>
      </w:r>
    </w:p>
    <w:p w14:paraId="3007C05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6.1.5 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748C4CD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6.1.6 如开箱检验不在合同设备交付时进行，则合同设备交付以后到开箱检验之前，应由买方负责按交货时外包装原样对合同设备进行妥善保管。除专用合同条款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6B02EE9D">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6.1.7 如双方在专用合同条款和（或）供货要求等合同文件中约定由第三方检测机构对合同设备进行开箱检验或在开箱检验过程中另行约定由第三方检验的，则第三方检测机构的检验结果对双方均具有约束力。</w:t>
      </w:r>
    </w:p>
    <w:p w14:paraId="44B76EE9">
      <w:pPr>
        <w:ind w:firstLine="420"/>
        <w:rPr>
          <w:rFonts w:hint="eastAsia" w:ascii="宋体" w:hAnsi="宋体" w:eastAsia="宋体" w:cs="宋体"/>
          <w:b/>
          <w:sz w:val="24"/>
          <w:szCs w:val="24"/>
          <w:highlight w:val="none"/>
        </w:rPr>
      </w:pPr>
      <w:r>
        <w:rPr>
          <w:rFonts w:hint="eastAsia" w:ascii="宋体" w:hAnsi="宋体" w:eastAsia="宋体" w:cs="宋体"/>
          <w:sz w:val="24"/>
          <w:szCs w:val="24"/>
          <w:highlight w:val="none"/>
        </w:rPr>
        <w:t>6.1.8 开箱检验的检验结果不能对抗在合同设备的安装、调试、考核、验收中及质量保证期内发现的合同设备质量问题，也不能免除或影响卖方依照合同约定对买方负有的包括合同设备质量在内的任何义务或责任。</w:t>
      </w:r>
      <w:r>
        <w:rPr>
          <w:rFonts w:hint="eastAsia" w:ascii="宋体" w:hAnsi="宋体" w:eastAsia="宋体" w:cs="宋体"/>
          <w:sz w:val="24"/>
          <w:szCs w:val="24"/>
          <w:highlight w:val="none"/>
        </w:rPr>
        <w:cr/>
      </w:r>
      <w:r>
        <w:rPr>
          <w:rFonts w:hint="eastAsia" w:ascii="宋体" w:hAnsi="宋体" w:eastAsia="宋体" w:cs="宋体"/>
          <w:b/>
          <w:sz w:val="24"/>
          <w:szCs w:val="24"/>
          <w:highlight w:val="none"/>
        </w:rPr>
        <w:t>6.2 安装、调试</w:t>
      </w:r>
    </w:p>
    <w:p w14:paraId="69E6B5C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6.2.1 开箱检验完成后，双方应对合同设备进行安装、调试，以使其具备考核的状态。安装、调试应按照专用合同条款约定的下列任一种方式进行：</w:t>
      </w:r>
    </w:p>
    <w:p w14:paraId="371D1B8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（1）卖方按照合同约定完成合同设备的安装、调试工作；</w:t>
      </w:r>
    </w:p>
    <w:p w14:paraId="02E3231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（2）买方或买方安排第三方负责合同设备的安装、调试工作，卖方提供技术服务。</w:t>
      </w:r>
    </w:p>
    <w:p w14:paraId="21D5FCA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6728451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6.2.2 除专用合同条款另有约定外，安装、调试中合同设备运行需要的用水、用电、其他动力和原材料（如需要）等均由买方承担。</w:t>
      </w:r>
    </w:p>
    <w:p w14:paraId="3D0DB84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6.2.3 双方应对合同设备的安装、调试情况共同及时进行记录。</w:t>
      </w:r>
    </w:p>
    <w:p w14:paraId="34F19888">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6.3 考核</w:t>
      </w:r>
    </w:p>
    <w:p w14:paraId="03FF43E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6.3.1 安装、调试完成后，双方应对合同设备进行考核，以确定合同设备是否达到合同约定的技术性能考核指标。除专用合同条款另有约定外，考核中合同设备运行需要的用水、用电、其他动力和原材料（如需要）等均由买方承担。</w:t>
      </w:r>
    </w:p>
    <w:p w14:paraId="4283C44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6.3.2 如由于卖方原因合同设备在考核中未能达到合同约定的技术性能考核指标，则卖方应在双方同意的期限内采取措施消除合同设备中存在的缺陷，并在缺陷消除以后，尽快进行再次考核。</w:t>
      </w:r>
    </w:p>
    <w:p w14:paraId="6C131E7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6.3.3 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专用合同条款的约定进行减价或向买方支付补偿金。</w:t>
      </w:r>
    </w:p>
    <w:p w14:paraId="67ED9A6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6.3.4 如由于买方原因合同设备在考核中未能达到合同约定的技术性能考核指标，则卖方应协助买方安排再次考核。由于买方原因未能达到技术性能考核指标时，为买方进行考核的机会不超过三次。</w:t>
      </w:r>
    </w:p>
    <w:p w14:paraId="1259473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6.3.5 考核期间，双方应及时共同记录合同设备的用水、用电、其他动力和原材料（如有）的使用及设备考核情况。对于未达到技术性能考核指标的，应如实记录设备表现、可能原因及处理情况等。</w:t>
      </w:r>
    </w:p>
    <w:p w14:paraId="58D87FE4">
      <w:pPr>
        <w:pStyle w:val="5"/>
        <w:ind w:left="0" w:firstLine="0" w:firstLineChars="0"/>
        <w:rPr>
          <w:rFonts w:hint="eastAsia" w:ascii="宋体" w:hAnsi="宋体" w:eastAsia="宋体" w:cs="宋体"/>
          <w:b/>
          <w:sz w:val="24"/>
          <w:szCs w:val="24"/>
          <w:highlight w:val="none"/>
        </w:rPr>
      </w:pPr>
      <w:r>
        <w:rPr>
          <w:rFonts w:hint="eastAsia" w:ascii="宋体" w:hAnsi="宋体" w:eastAsia="宋体" w:cs="宋体"/>
          <w:b/>
          <w:sz w:val="24"/>
          <w:szCs w:val="24"/>
          <w:highlight w:val="none"/>
        </w:rPr>
        <w:t>6.4 验收</w:t>
      </w:r>
    </w:p>
    <w:p w14:paraId="403F1B2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6.4.1 如合同设备在考核中达到或视为达到技术性能考核指标，则买卖双方应在考核完成后7 日内或专用合同条款另行约定的时间内签署合同设备验收证书一式二份，双方各持一份。验收日期应为合同设备达到或视为达到技术性能考核指标的日期。</w:t>
      </w:r>
    </w:p>
    <w:p w14:paraId="6873F46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6.4.2 如由于买方原因合同设备在三次考核中均未能达到技术性能考核指标，买卖双方应在考核结束后 7 日内或专用合同条款另行约定的时间内签署验收款支付函。</w:t>
      </w:r>
    </w:p>
    <w:p w14:paraId="323D276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除专用合同条款另有约定外，卖方有义务在验收款支付函签署后 12 个月内应买方要求提供相关技术服务，协助买方采取一切必要措施使合同设备达到技术性能考核指标。买方应承担卖方因此产生的全部费用。</w:t>
      </w:r>
    </w:p>
    <w:p w14:paraId="1A7A0A3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在上述 12 个月的期限内，如合同设备经过考核达到或视为达到技术性能考核指标，则买卖双方应按照第 6.4.1 项的约定签署合同设备验收证书。</w:t>
      </w:r>
    </w:p>
    <w:p w14:paraId="4B48A58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6.4.3 除专用合同条款另有约定外，如由于买方原因在最后一批合同设备交货后 6 个月内未能开始考核，则买卖双方应在上述期限届满后 7 日内或专用合同条款另行约定的时间内签署验收款支付函。</w:t>
      </w:r>
    </w:p>
    <w:p w14:paraId="4A6B359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除专用合同条款另有约定外，卖方有义务在验收款支付函签署后 6 个月内应买方要求提供不超出合同范围的技术服务，协助买方采取一切必要措施使合同设备达到技术性能考核指标，且买方无需因此向卖方支付费用。</w:t>
      </w:r>
    </w:p>
    <w:p w14:paraId="56CFC3D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在上述 6 个月的期限内，如合同设备经过考核达到或视为达到技术性能考核指标，则买卖双方应按照第 6.4.1 项的约定签署合同设备验收证书。</w:t>
      </w:r>
    </w:p>
    <w:p w14:paraId="677425B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6.4.4 在第 6.4.2 项和第 6.4.3 项情形下，卖方也可单方签署验收款支付函提交买方，如果买方在收到卖方签署的验收款支付函后 14 日内未向卖方提出书面异议，则验收款支付函自签署之日起生效。</w:t>
      </w:r>
    </w:p>
    <w:p w14:paraId="21D37F7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6.4.5合同设备验收证书的签署不能免除卖方在质量保证期内对合同设备应承担的保证责任。</w:t>
      </w:r>
    </w:p>
    <w:p w14:paraId="408C16FD">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7. 技术服务</w:t>
      </w:r>
    </w:p>
    <w:p w14:paraId="3079B34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7.1 卖方应派遣技术熟练、称职的技术人员到施工场地为买方提供技术服务。卖方的技术服务应符合合同的约定。</w:t>
      </w:r>
    </w:p>
    <w:p w14:paraId="3190205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7.2 买方应免费为卖方技术人员提供工作条件及便利，包括但不限于必要的办公场所、技术资料及出入许可等。除专用合同条款另有约定外，卖方技术人员的交通、食宿费用由卖方承担。</w:t>
      </w:r>
    </w:p>
    <w:p w14:paraId="225010F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7.3 卖方技术人员应遵守买方施工现场的各项规章制度和安全操作规程，并服从买方的现场管理。</w:t>
      </w:r>
    </w:p>
    <w:p w14:paraId="7DCF7A6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7.4 如果任何技术人员不合格，买方有权要求卖方撤换，因撤换而产生的费用应由卖方承担。在不影响技术服务并且征得买方同意的条件下，卖方也可自负费用更换其技术人员。</w:t>
      </w:r>
      <w:r>
        <w:rPr>
          <w:rFonts w:hint="eastAsia" w:ascii="宋体" w:hAnsi="宋体" w:eastAsia="宋体" w:cs="宋体"/>
          <w:sz w:val="24"/>
          <w:szCs w:val="24"/>
          <w:highlight w:val="none"/>
        </w:rPr>
        <w:cr/>
      </w:r>
      <w:r>
        <w:rPr>
          <w:rFonts w:hint="eastAsia" w:ascii="宋体" w:hAnsi="宋体" w:eastAsia="宋体" w:cs="宋体"/>
          <w:b/>
          <w:bCs/>
          <w:snapToGrid w:val="0"/>
          <w:color w:val="000000"/>
          <w:kern w:val="0"/>
          <w:sz w:val="24"/>
          <w:szCs w:val="24"/>
          <w:highlight w:val="none"/>
          <w:lang w:val="en-US" w:eastAsia="en-US" w:bidi="ar-SA"/>
        </w:rPr>
        <w:t>8. 质量保证期</w:t>
      </w:r>
    </w:p>
    <w:p w14:paraId="32A3D775">
      <w:pPr>
        <w:ind w:firstLine="420"/>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5年质保期及</w:t>
      </w:r>
      <w:r>
        <w:rPr>
          <w:rFonts w:hint="eastAsia" w:ascii="宋体" w:hAnsi="宋体" w:eastAsia="宋体" w:cs="宋体"/>
          <w:b w:val="0"/>
          <w:bCs w:val="0"/>
          <w:strike w:val="0"/>
          <w:dstrike w:val="0"/>
          <w:snapToGrid w:val="0"/>
          <w:color w:val="000000" w:themeColor="text1"/>
          <w:kern w:val="0"/>
          <w:sz w:val="24"/>
          <w:szCs w:val="24"/>
          <w:highlight w:val="none"/>
          <w:lang w:val="en-US" w:eastAsia="zh-CN" w:bidi="ar-SA"/>
          <w14:textFill>
            <w14:solidFill>
              <w14:schemeClr w14:val="tx1"/>
            </w14:solidFill>
          </w14:textFill>
        </w:rPr>
        <w:t>1</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年免费维保服务。</w:t>
      </w:r>
    </w:p>
    <w:p w14:paraId="66C72710">
      <w:pPr>
        <w:pStyle w:val="4"/>
        <w:spacing w:before="240" w:after="240"/>
        <w:ind w:firstLine="0" w:firstLineChars="0"/>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en-US"/>
        </w:rPr>
        <w:t>9. 质保期服务</w:t>
      </w:r>
    </w:p>
    <w:p w14:paraId="4E12801A">
      <w:pPr>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 卖方应为质保期服务配备充足的技术人员、工具和备件并保证提供的联系方式畅通。除专用合同条款和（或）供货要求等合同文件另有约定外，卖方应在收到买方通知后 24 小时内做出响应，如需卖方到合同设备现场，卖方应在收到买方通知后 48 小时内到达，并在到达后 7日内解决合同设备的故障（重大故障除外）。如果卖方未在上述时间内作出响应，则买方有权自行或委托他人解决相关问题或查找和解决合同设备的故障，卖方应承担由此发生的全部费用。</w:t>
      </w:r>
    </w:p>
    <w:p w14:paraId="4FB1D8A7">
      <w:pPr>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 如卖方技术人员需到合同设备现场进行质保期服务，则买方应免费为卖方技术人员提供工作条件及便利，包括但不限于必要的办公场所、技术资料及出入许可等。除专用合同条款另有约定外，卖方技术人员的交通、食宿费用由卖方承担。卖方技术人员应遵守买方施工现场的各项规章制度和安全操作规程，并服从买方的现场管理。</w:t>
      </w:r>
    </w:p>
    <w:p w14:paraId="2669FAD5">
      <w:pPr>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 如果任何技术人员不合格，买方有权要求卖方撤换，因撤换而产生的费用应由卖方承担。在不影响质保期服务并且征得买方同意的条件下，卖方也可自负费用更换其技术人员。</w:t>
      </w:r>
    </w:p>
    <w:p w14:paraId="5D481066">
      <w:pPr>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 除专用合同条款另有约定外，卖方应就在施工现场进行质保期服务的情况进行记录，记载合同设备故障发生的时间、原因及解决情况等，由买方签字确认，并在质量保证期结束后提交给买方。</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10. 履约保证金</w:t>
      </w:r>
    </w:p>
    <w:p w14:paraId="6F465ED8">
      <w:pPr>
        <w:ind w:firstLine="42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执行</w:t>
      </w:r>
      <w:r>
        <w:rPr>
          <w:rFonts w:hint="eastAsia" w:ascii="宋体" w:hAnsi="宋体" w:eastAsia="宋体" w:cs="宋体"/>
          <w:sz w:val="24"/>
          <w:szCs w:val="24"/>
          <w:highlight w:val="none"/>
        </w:rPr>
        <w:t>专用合同条款</w:t>
      </w:r>
      <w:r>
        <w:rPr>
          <w:rFonts w:hint="eastAsia" w:ascii="宋体" w:hAnsi="宋体" w:eastAsia="宋体" w:cs="宋体"/>
          <w:color w:val="auto"/>
          <w:sz w:val="24"/>
          <w:szCs w:val="24"/>
          <w:highlight w:val="none"/>
        </w:rPr>
        <w:t>约定</w:t>
      </w:r>
      <w:r>
        <w:rPr>
          <w:rFonts w:hint="eastAsia" w:ascii="宋体" w:hAnsi="宋体" w:eastAsia="宋体" w:cs="宋体"/>
          <w:color w:val="auto"/>
          <w:sz w:val="24"/>
          <w:szCs w:val="24"/>
          <w:highlight w:val="none"/>
          <w:lang w:eastAsia="zh-CN"/>
        </w:rPr>
        <w:t>。</w:t>
      </w:r>
    </w:p>
    <w:p w14:paraId="77F55FF7">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11. 保证</w:t>
      </w:r>
    </w:p>
    <w:p w14:paraId="07F40BE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11.1 卖方保证其具有完全的能力履行本合同项下的全部义务。</w:t>
      </w:r>
    </w:p>
    <w:p w14:paraId="66DC4CD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11.2 卖方保证其所提供的合同设备及对合同的履行符合所有应适用的法律、行政法规、地方性法规、自治条例和单行条例、规章及其他规范性文件的强制性规定。</w:t>
      </w:r>
    </w:p>
    <w:p w14:paraId="49E1361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11.3 卖方保证其对合同设备的销售不损害任何第三方的合法权益和社会公众利益。任何第三方不会因卖方原因而基于所有权、抵押权、留置权或其他任何权利或事由对合同设备主张权利。</w:t>
      </w:r>
    </w:p>
    <w:p w14:paraId="43D171B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11.4 卖方保证合同设备符合合同约定的规格、标准、技术性能考核指标等，能够安全和稳定地运行，且合同设备（包括全部部件）全新、完整、未使用过，除非专用合同条款和（或）供货要求等合同文件另有约定。</w:t>
      </w:r>
    </w:p>
    <w:p w14:paraId="60B212F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11.5 卖方保证，卖方所提供的技术资料完整、清晰、准确，符合合同约定并且能够满足合同设备的安装、调试、考核、操作以及维修和保养的需要。</w:t>
      </w:r>
    </w:p>
    <w:p w14:paraId="0A50C0B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11.6 卖方保证合同范围内提供的备品备件能够满足合同设备在质量保证期结束前正常运行及维修的需要，如在质量保证期结束前因卖方原因出现备品备件短缺影响合同设备正常运行的，卖方应免费提供。</w:t>
      </w:r>
    </w:p>
    <w:p w14:paraId="7D13F48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11.7 除专用合同条款和（或）供货要求等合同文件另有约定外，如果在合同设备设计使用寿命期内发生合同项下备品备件停止生产的情况，卖方应事先将拟停止生产的计划通知买方，使买方有足够的时间考虑备品备件的需求量。根据买方要求，卖方应：</w:t>
      </w:r>
    </w:p>
    <w:p w14:paraId="466A3BD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（1）以不高于同期市场价格或其向任何第三方销售同类产品的价格提供合同设备正常运行所需的全部备品备件。</w:t>
      </w:r>
    </w:p>
    <w:p w14:paraId="4D9A8FA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14:paraId="284E3EB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11.8 卖方保证，在合同设备设计使用寿命期内，如果卖方发现合同设备由于设计、制造、标识等原因存在足以危及人身、财产安全的缺陷，卖方将及时通知买方并及时采取修正或者补充标识、修理、更换等措施消除缺陷。</w:t>
      </w:r>
    </w:p>
    <w:p w14:paraId="32522158">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12. 知识产权</w:t>
      </w:r>
    </w:p>
    <w:p w14:paraId="4490792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12.1 买方在履行合同过程中提供给卖方的全部图纸、文件和其他含有数据和信息的资料，其知识产权属于买方。</w:t>
      </w:r>
    </w:p>
    <w:p w14:paraId="011E7FD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12.2 除专用合同条款另有约定外，买方不因签署和履行合同而享有卖方在履行合同过程中提供给买方的图纸、文件、配套软件、电子辅助程序和其他含有数据和信息的资料的知识产权。</w:t>
      </w:r>
    </w:p>
    <w:p w14:paraId="37EA9BA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12.3 如合同设备涉及知识产权，则卖方保证买方在使用合同设备过程中免于受到第三方提出的有关知识产权侵权的主张、索赔或诉讼的伤害。</w:t>
      </w:r>
    </w:p>
    <w:p w14:paraId="5A29384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12.4 如果买方收到任何第三方有关知识产权的主张、索赔或诉讼，卖方在收到买方通知后，应以买方名义并在买方的协助下，自负费用处理与第三方的索赔或诉讼，并赔偿买方因此发生的费用和遭受的损失。除专用合同条款另有约定外，如果卖方拒绝处理前述索赔或诉讼或在收到买方通知后 28 日内未作表示，买方可以自己的名义进行这些索赔或诉讼，因此发生的费用和遭受的损失均应由卖方承担。</w:t>
      </w:r>
    </w:p>
    <w:p w14:paraId="26E05A2F">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13. 保密</w:t>
      </w:r>
    </w:p>
    <w:p w14:paraId="46304B7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合同双方应对因履行合同而取得的另一方当事人的信息、资料等予以保密。未经另一方当事人书面同意，任何一方均不得为与履行合同无关的目的使用或向第三方披露另一方当事人提供的信息、资料。</w:t>
      </w:r>
    </w:p>
    <w:p w14:paraId="7245669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合同当事人的保密义务不适用于下列信息：</w:t>
      </w:r>
    </w:p>
    <w:p w14:paraId="1514EE1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（1）非因接受信息一方的过失现在或以后进入公共领域的信息；</w:t>
      </w:r>
    </w:p>
    <w:p w14:paraId="14E55EC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（2）接受信息一方当事人合法地从第三方获得并且据其善意了解第三方也不对此承担保密义务的信息；</w:t>
      </w:r>
    </w:p>
    <w:p w14:paraId="58FF133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（3）法律或法律的执行要求披露的信息。</w:t>
      </w:r>
    </w:p>
    <w:p w14:paraId="59786290">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14. 违约责任</w:t>
      </w:r>
    </w:p>
    <w:p w14:paraId="5161C23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14.1 合同一方不履行合同义务、履行合同义务不符合约定或者违反合同项下所作保证的， 应向对方承担继续履行、采取修理、更换、退货等补救措施或者赔偿损失等违约责任。 </w:t>
      </w:r>
    </w:p>
    <w:p w14:paraId="0757DC7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14.2 卖方未能按时交付合同设备（包括仅迟延交付技术资料但足以导致合同设备安装、调 试、考核、验收工作推迟的）的，应向买方支付迟延交付违约金。除专用合同条款另有约定外，迟延交付违约金的计算方法如下： </w:t>
      </w:r>
    </w:p>
    <w:p w14:paraId="44F62A1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（1）从迟交的第一周到第四周，每周迟延交付违约金为迟交合同设备价格的 0.5%； </w:t>
      </w:r>
    </w:p>
    <w:p w14:paraId="44CC50D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（2）从迟交的第五周到第八周，每周迟延交付违约金为迟交合同设备价格的 1%； </w:t>
      </w:r>
    </w:p>
    <w:p w14:paraId="7EBF511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（3）从迟交第九周起，每周迟延交付违约金为迟交合同设备价格的 1.5%。 </w:t>
      </w:r>
    </w:p>
    <w:p w14:paraId="19DA3A4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在计算迟延交付违约金时，迟交不足一周的按一周计算。迟延交付违约金的总额不得超过 合同价格的 10%。 </w:t>
      </w:r>
    </w:p>
    <w:p w14:paraId="15ED69F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迟延交付违约金的支付不能免除卖方继续交付相关合同设备的义务，但如迟延交付必然导 致合同设备安装、调试、考核、验收工作推迟的，相关工作应相应顺延。 </w:t>
      </w:r>
    </w:p>
    <w:p w14:paraId="63E0E04C">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14.3 买方未能按合同约定支付合同价款的，应向卖方支付延迟付款违约金。除专用合同条 款另有约定外，迟延付款违约金的计算方法如下： </w:t>
      </w:r>
    </w:p>
    <w:p w14:paraId="3B22967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（1）从迟付的第一周到第四周，每周迟延付款违约金为迟延付款金额的 0.5%； </w:t>
      </w:r>
    </w:p>
    <w:p w14:paraId="69FDB57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（2）从迟付的第五周到第八周，每周迟延付款违约金为迟延付款金额的 1%； </w:t>
      </w:r>
    </w:p>
    <w:p w14:paraId="40EF691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（3）从迟付第九周起，每周迟延付款违约金为迟延付款金额的 1.5%。 </w:t>
      </w:r>
    </w:p>
    <w:p w14:paraId="0F20A9B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在计算迟延付款违约金时，迟付不足一周的按一周计算。迟延付款违约金的总额不得超过 合同价格的 10%。</w:t>
      </w:r>
    </w:p>
    <w:p w14:paraId="6532825F">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15. 合同的解除</w:t>
      </w:r>
    </w:p>
    <w:p w14:paraId="7C780DB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除专用合同条款另有约定外，有下述情形之一，当事人可发出书面通知全部或部分地解除合同，合同自通知到达对方时全部或部分地解除：</w:t>
      </w:r>
    </w:p>
    <w:p w14:paraId="391AB48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（1）卖方迟延交付合同设备超过 3 个月；</w:t>
      </w:r>
    </w:p>
    <w:p w14:paraId="772E82A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72B75AF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（3）买方迟延付款超过 3 个月；</w:t>
      </w:r>
    </w:p>
    <w:p w14:paraId="40BF8A5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（4）合同一方当事人未能履行合同项下任何其它义务（细微义务除外），或在未事先征得另一方当事人同意的情况下，从事任何可能在实质上不利影响其履行合同能力的活动，经另一方当事人书面通知后 14 日内或在专用合同条款约定的其他期限内未能对其行为作出补救；</w:t>
      </w:r>
    </w:p>
    <w:p w14:paraId="3E64AF1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（5）合同一方当事人出现破产、清算、资不抵债、成为失信被执行人等可能丧失履约能力的情形，且未能提供令对方满意的履约保证金。</w:t>
      </w:r>
    </w:p>
    <w:p w14:paraId="1978832B">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16. 不可抗力</w:t>
      </w:r>
    </w:p>
    <w:p w14:paraId="39EFEC4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16.1 如果任何一方当事人受到不能预见、不能避免且不能克服的不可抗力事件的影响，例如战争、严重的火灾、台风、地震、洪水和专用合同条款约定的其他情形，而无法履行合同项下的任何义务，则受影响的一方当事人应立即将此类事件的发生通知另一方当事人，并应在不可抗力事件发生后 28 日内将有关当局或机构出具的证明文件提交给另一方当事人。</w:t>
      </w:r>
    </w:p>
    <w:p w14:paraId="4091767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16.2 受不可抗力事件影响的一方当事人对于不可抗力事件导致的任何合同义务的迟延履行或不能履行不承担违约责任。但该方当事人应尽快将不可抗力事件结束或消除的情况通知另一方当事人。</w:t>
      </w:r>
    </w:p>
    <w:p w14:paraId="68C3DFD9">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16.3 双方当事人应在不可抗力事件结束或其影响消除后立即继续履行其合同义务，合同期限也应相应顺延。除专用合同条款另有约定外，如果不可抗力事件的影响持续超过 140 日，则任何一方当事人均有权以书面通知解除合同。</w:t>
      </w:r>
    </w:p>
    <w:p w14:paraId="62F0B43E">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17. 争议的解决</w:t>
      </w:r>
    </w:p>
    <w:p w14:paraId="529E1A8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因本合同引起的或与本合同有关的任何争议,双方可通过友好协商解决。友好协商解决不成的，可在专用合同条款中约定下列一种方式解决：</w:t>
      </w:r>
    </w:p>
    <w:p w14:paraId="09B344B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（1）向约定的仲裁委员会申请仲裁；</w:t>
      </w:r>
    </w:p>
    <w:p w14:paraId="1B1983E7">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（2）向有管辖权的人民法院提起诉讼。</w:t>
      </w:r>
    </w:p>
    <w:p w14:paraId="61187ED9">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EF2B8E8">
      <w:pPr>
        <w:pStyle w:val="3"/>
        <w:spacing w:before="240" w:after="24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第二节 专用合同条款</w:t>
      </w:r>
    </w:p>
    <w:p w14:paraId="21251414">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1.一般约定</w:t>
      </w:r>
    </w:p>
    <w:p w14:paraId="6FB600DC">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1.1 词语定义</w:t>
      </w:r>
    </w:p>
    <w:p w14:paraId="5DF641D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执行通用合同条款</w:t>
      </w:r>
      <w:r>
        <w:rPr>
          <w:rFonts w:hint="eastAsia" w:ascii="宋体" w:hAnsi="宋体" w:eastAsia="宋体" w:cs="宋体"/>
          <w:sz w:val="24"/>
          <w:szCs w:val="24"/>
          <w:highlight w:val="none"/>
        </w:rPr>
        <w:t>。</w:t>
      </w:r>
    </w:p>
    <w:p w14:paraId="5C23C99F">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1.1.13.1 工程：</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西安高新区第十二小学食堂电梯安装项目</w:t>
      </w:r>
      <w:r>
        <w:rPr>
          <w:rFonts w:hint="eastAsia" w:ascii="宋体" w:hAnsi="宋体" w:eastAsia="宋体" w:cs="宋体"/>
          <w:sz w:val="24"/>
          <w:szCs w:val="24"/>
          <w:highlight w:val="none"/>
          <w:u w:val="single"/>
        </w:rPr>
        <w:t>。</w:t>
      </w:r>
    </w:p>
    <w:p w14:paraId="047AC92F">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1.1.13.2 施工场地：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西安高新区第十二小学</w:t>
      </w:r>
      <w:r>
        <w:rPr>
          <w:rFonts w:hint="eastAsia" w:ascii="宋体" w:hAnsi="宋体" w:eastAsia="宋体" w:cs="宋体"/>
          <w:sz w:val="24"/>
          <w:szCs w:val="24"/>
          <w:highlight w:val="none"/>
          <w:u w:val="single"/>
        </w:rPr>
        <w:t>。</w:t>
      </w:r>
    </w:p>
    <w:p w14:paraId="217A97AD">
      <w:pPr>
        <w:ind w:firstLine="0" w:firstLineChars="0"/>
        <w:rPr>
          <w:rFonts w:hint="eastAsia" w:ascii="宋体" w:hAnsi="宋体" w:eastAsia="宋体" w:cs="宋体"/>
          <w:sz w:val="24"/>
          <w:szCs w:val="24"/>
          <w:highlight w:val="none"/>
          <w:u w:val="single"/>
        </w:rPr>
      </w:pPr>
    </w:p>
    <w:p w14:paraId="24923870">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合同文件的优先顺序</w:t>
      </w:r>
    </w:p>
    <w:p w14:paraId="3376E15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执行通用合同条款</w:t>
      </w:r>
      <w:r>
        <w:rPr>
          <w:rFonts w:hint="eastAsia" w:ascii="宋体" w:hAnsi="宋体" w:eastAsia="宋体" w:cs="宋体"/>
          <w:sz w:val="24"/>
          <w:szCs w:val="24"/>
          <w:highlight w:val="none"/>
        </w:rPr>
        <w:t>。</w:t>
      </w:r>
    </w:p>
    <w:p w14:paraId="3F423A6F">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合同的生效及变更</w:t>
      </w:r>
    </w:p>
    <w:p w14:paraId="62A20F88">
      <w:pPr>
        <w:ind w:firstLine="42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rPr>
        <w:t>执行通用合同条款</w:t>
      </w:r>
      <w:r>
        <w:rPr>
          <w:rFonts w:hint="eastAsia" w:ascii="宋体" w:hAnsi="宋体" w:eastAsia="宋体" w:cs="宋体"/>
          <w:sz w:val="24"/>
          <w:szCs w:val="24"/>
          <w:highlight w:val="none"/>
        </w:rPr>
        <w:t>。</w:t>
      </w:r>
    </w:p>
    <w:p w14:paraId="35B7AA82">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联络</w:t>
      </w:r>
    </w:p>
    <w:p w14:paraId="3C7DF37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1.5.1 买方联系人：</w:t>
      </w:r>
    </w:p>
    <w:p w14:paraId="270566A9">
      <w:pPr>
        <w:ind w:firstLine="0" w:firstLineChars="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p>
    <w:p w14:paraId="02FEA12A">
      <w:pPr>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卖方联系人：</w:t>
      </w:r>
    </w:p>
    <w:p w14:paraId="47DE8123">
      <w:pPr>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p>
    <w:p w14:paraId="5C677449">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联合体</w:t>
      </w:r>
    </w:p>
    <w:p w14:paraId="3A5C8C2A">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本项目接受联合体</w:t>
      </w:r>
      <w:r>
        <w:rPr>
          <w:rFonts w:hint="eastAsia" w:ascii="宋体" w:hAnsi="宋体" w:eastAsia="宋体" w:cs="宋体"/>
          <w:sz w:val="24"/>
          <w:szCs w:val="24"/>
          <w:highlight w:val="none"/>
          <w:u w:val="single"/>
          <w:lang w:val="en-US" w:eastAsia="zh-CN"/>
        </w:rPr>
        <w:t>投标</w:t>
      </w:r>
      <w:r>
        <w:rPr>
          <w:rFonts w:hint="eastAsia" w:ascii="宋体" w:hAnsi="宋体" w:eastAsia="宋体" w:cs="宋体"/>
          <w:sz w:val="24"/>
          <w:szCs w:val="24"/>
          <w:highlight w:val="none"/>
          <w:u w:val="single"/>
        </w:rPr>
        <w:t>。</w:t>
      </w:r>
    </w:p>
    <w:p w14:paraId="5B0AE56B">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3. 合同价格与支付</w:t>
      </w:r>
    </w:p>
    <w:p w14:paraId="3F65B047">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3.1 合同价格</w:t>
      </w:r>
    </w:p>
    <w:p w14:paraId="3F7A6083">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3.1.2 签约合同价： 固定总价。 </w:t>
      </w:r>
    </w:p>
    <w:p w14:paraId="6BDF7A8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合同固定总价（含增值税）：￥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元，其中不含税价款为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元，增值税税率</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%，税额为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元。（当国家税收政策出现变化时，税前价不变，税率按国家政策执行）</w:t>
      </w:r>
    </w:p>
    <w:p w14:paraId="24E8EF9C">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附件《电梯数量、型号和价格汇总表》中设备单价包括卖方为完成本合同发生的一切费用，包括但不限于以下费用：设计费、人工费、机械费、设备材料费、材料检验费、运输费、装卸费、管理费及合同约定期间的保管费、措施费、利润、税金（包含进口关税，若有）、保险费等费用，还包括质保期服务、保修期内因质量问题引起的维修和更换、技术指导和培训等费用。</w:t>
      </w:r>
    </w:p>
    <w:p w14:paraId="610D28F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如有经买方同意的电梯规格变更，发生的相关费用及交货期等由双方另行约定。</w:t>
      </w:r>
    </w:p>
    <w:p w14:paraId="3E610B64">
      <w:pPr>
        <w:pStyle w:val="5"/>
        <w:ind w:left="0" w:firstLine="0" w:firstLineChars="0"/>
        <w:rPr>
          <w:rFonts w:hint="eastAsia" w:ascii="宋体" w:hAnsi="宋体" w:eastAsia="宋体" w:cs="宋体"/>
          <w:b w:val="0"/>
          <w:bCs w:val="0"/>
          <w:sz w:val="24"/>
          <w:szCs w:val="24"/>
          <w:highlight w:val="none"/>
        </w:rPr>
      </w:pPr>
      <w:r>
        <w:rPr>
          <w:rFonts w:hint="eastAsia" w:ascii="宋体" w:hAnsi="宋体" w:eastAsia="宋体" w:cs="宋体"/>
          <w:sz w:val="24"/>
          <w:szCs w:val="24"/>
          <w:highlight w:val="none"/>
        </w:rPr>
        <w:t>3.2</w:t>
      </w:r>
      <w:r>
        <w:rPr>
          <w:rFonts w:hint="eastAsia" w:ascii="宋体" w:hAnsi="宋体" w:eastAsia="宋体" w:cs="宋体"/>
          <w:b w:val="0"/>
          <w:bCs w:val="0"/>
          <w:sz w:val="24"/>
          <w:szCs w:val="24"/>
          <w:highlight w:val="none"/>
        </w:rPr>
        <w:t xml:space="preserve"> 合同价款的支付</w:t>
      </w:r>
    </w:p>
    <w:p w14:paraId="2BD5C0A3">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本合同电梯设备款项根据工程建设进度，分期分批供货、付款：</w:t>
      </w:r>
    </w:p>
    <w:p w14:paraId="0DC2F22C">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（1）买方在合同签订之日起30日内支付合同总价款的20%作为定金, 若合同履行，则定金作为预付款并抵作本合同的货款，卖方应提前15日提供预付款等额保函（格式见附件），有效期为交货验收之日止。若因卖方原因致使合同未能履行，卖方应在双方书面确定不继续履行合同之日起10日内将定金双倍退还给买方。</w:t>
      </w:r>
    </w:p>
    <w:p w14:paraId="4DF0D351">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（2）买方在交货期15日前支付合同总价款的60%，作为提货款。卖方在申请付款前须提供电梯设备生产加工完毕的证明资料。</w:t>
      </w:r>
    </w:p>
    <w:p w14:paraId="6D58ED50">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3）买方应在当地质量技术监督局及质监站对电梯安装工程验收合格后（以取得验收部门相关证书为准）30日内完成电梯工程结算，卖方提前15日向买方提供结算总价款3%的银行保函（期限为质保期满之日）作为质保金，卖方开齐全额发票，买方支付剩余的结算价款。因非卖方原因造成安装/验收/电梯工程财务结算延误的, 买方应最迟不晚于货到工地12个月付清所有款项。银行保函期限为质保期满之日，质保期满后扣除卖方应承担的相关款项，7日内退还卖方。</w:t>
      </w:r>
    </w:p>
    <w:p w14:paraId="17DBDA2F">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（4）分批次履行合同时，按以上比例分批次付款。</w:t>
      </w:r>
    </w:p>
    <w:p w14:paraId="070AF6F6">
      <w:pPr>
        <w:spacing w:line="360" w:lineRule="auto"/>
        <w:ind w:firstLine="420"/>
        <w:rPr>
          <w:rFonts w:hint="eastAsia" w:ascii="宋体" w:hAnsi="宋体" w:eastAsia="宋体" w:cs="宋体"/>
          <w:sz w:val="24"/>
          <w:szCs w:val="24"/>
          <w:highlight w:val="yellow"/>
        </w:rPr>
      </w:pPr>
      <w:r>
        <w:rPr>
          <w:rFonts w:hint="eastAsia" w:ascii="宋体" w:hAnsi="宋体" w:eastAsia="宋体" w:cs="宋体"/>
          <w:sz w:val="24"/>
          <w:szCs w:val="24"/>
          <w:highlight w:val="yellow"/>
        </w:rPr>
        <w:t>（5）买方每次付款前15日，卖方需向买方提供税率为   %的合法、足额增值税专用发票，买方在收到合规的增值税发票之后，才具有在上述付款条件下的付款义务。卖方在发票开具后应及时送达买方，如逾期未送达而导致买方损失的，责任由卖方承担，同时买方有权拒绝付款并顺延付款时间。</w:t>
      </w:r>
    </w:p>
    <w:p w14:paraId="6678A139">
      <w:pPr>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如因卖方开具的发票不规范、不符合法规规定、不能通过认证，或涉嫌虚开发票引起税务问题的，卖方需依法向买方重新开具发票，并向买方承担赔偿责任，包括但不限于税款、滞纳金、罚款及相关损失等。</w:t>
      </w:r>
    </w:p>
    <w:p w14:paraId="22C130AD">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4. 监造及交货前检验</w:t>
      </w:r>
    </w:p>
    <w:p w14:paraId="579B34E7">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4.1 监造</w:t>
      </w:r>
    </w:p>
    <w:p w14:paraId="6B6A338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无    </w:t>
      </w:r>
      <w:r>
        <w:rPr>
          <w:rFonts w:hint="eastAsia" w:ascii="宋体" w:hAnsi="宋体" w:eastAsia="宋体" w:cs="宋体"/>
          <w:sz w:val="24"/>
          <w:szCs w:val="24"/>
          <w:highlight w:val="none"/>
        </w:rPr>
        <w:t>。</w:t>
      </w:r>
    </w:p>
    <w:p w14:paraId="109E1A83">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4.2 交货前检验</w:t>
      </w:r>
    </w:p>
    <w:p w14:paraId="4B3E34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1"/>
          <w:szCs w:val="21"/>
          <w:highlight w:val="none"/>
        </w:rPr>
      </w:pPr>
      <w:r>
        <w:rPr>
          <w:rFonts w:hint="eastAsia" w:ascii="宋体" w:hAnsi="宋体" w:eastAsia="宋体" w:cs="宋体"/>
          <w:sz w:val="24"/>
          <w:szCs w:val="24"/>
          <w:highlight w:val="none"/>
        </w:rPr>
        <w:t>（1）在本合同规定的交货时间内，在每一期设备到达交付地点后7个工作日内，买方和卖方共同对运抵的所有货物进行拆箱验收（数量、规格、产地）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买方</w:t>
      </w:r>
      <w:r>
        <w:rPr>
          <w:rFonts w:hint="eastAsia" w:ascii="宋体" w:hAnsi="宋体" w:eastAsia="宋体" w:cs="宋体"/>
          <w:sz w:val="24"/>
          <w:szCs w:val="24"/>
          <w:highlight w:val="none"/>
        </w:rPr>
        <w:t>仅提供满足货物存放需要的场地及库房，不负保管责任。</w:t>
      </w:r>
    </w:p>
    <w:p w14:paraId="0E48B784">
      <w:pPr>
        <w:ind w:firstLine="420"/>
        <w:rPr>
          <w:rFonts w:hint="eastAsia" w:ascii="宋体" w:hAnsi="宋体" w:eastAsia="宋体" w:cs="宋体"/>
          <w:sz w:val="24"/>
          <w:szCs w:val="24"/>
          <w:highlight w:val="none"/>
        </w:rPr>
      </w:pPr>
    </w:p>
    <w:p w14:paraId="3F1B673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卖方必须保证货物与合同约定数目、规格、产地一致，若发现货物与合同约定数目、规格、产地不符合时，卖方应无条件补齐或调换；在交货验收以后发现货物与合同约定数目、规格、产地不一致的，仍不能排除卖方对此的保证责任。</w:t>
      </w:r>
    </w:p>
    <w:p w14:paraId="4E84887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（3）买方及相关单位、人员的收货验收仅作为外观或感观合格的依据。买方在短时间内无法发现的质量缺陷及任何存在问题均由卖方承担责任，并采取必要的措施弥补缺陷或更换。</w:t>
      </w:r>
    </w:p>
    <w:p w14:paraId="5DA629D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（4）所有进口主设备及零部件必须持有能证明其进口的海关文件，如果该部分系属批量进口，则提供相应批量之海关文件及原产地证明。</w:t>
      </w:r>
    </w:p>
    <w:p w14:paraId="39E36102">
      <w:pPr>
        <w:ind w:firstLine="42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物送达</w:t>
      </w:r>
      <w:r>
        <w:rPr>
          <w:rFonts w:hint="eastAsia" w:ascii="宋体" w:hAnsi="宋体" w:eastAsia="宋体" w:cs="宋体"/>
          <w:b w:val="0"/>
          <w:bCs w:val="0"/>
          <w:color w:val="000000" w:themeColor="text1"/>
          <w:sz w:val="24"/>
          <w:szCs w:val="24"/>
          <w:highlight w:val="none"/>
          <w14:textFill>
            <w14:solidFill>
              <w14:schemeClr w14:val="tx1"/>
            </w14:solidFill>
          </w14:textFill>
        </w:rPr>
        <w:t>现场后，验收由</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两</w:t>
      </w:r>
      <w:r>
        <w:rPr>
          <w:rFonts w:hint="eastAsia" w:ascii="宋体" w:hAnsi="宋体" w:eastAsia="宋体" w:cs="宋体"/>
          <w:b w:val="0"/>
          <w:bCs w:val="0"/>
          <w:color w:val="000000" w:themeColor="text1"/>
          <w:sz w:val="24"/>
          <w:szCs w:val="24"/>
          <w:highlight w:val="none"/>
          <w14:textFill>
            <w14:solidFill>
              <w14:schemeClr w14:val="tx1"/>
            </w14:solidFill>
          </w14:textFill>
        </w:rPr>
        <w:t>方（</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w:t>
      </w:r>
      <w:r>
        <w:rPr>
          <w:rFonts w:hint="eastAsia" w:ascii="宋体" w:hAnsi="宋体" w:eastAsia="宋体" w:cs="宋体"/>
          <w:b w:val="0"/>
          <w:bCs w:val="0"/>
          <w:color w:val="000000" w:themeColor="text1"/>
          <w:sz w:val="24"/>
          <w:szCs w:val="24"/>
          <w:highlight w:val="none"/>
          <w14:textFill>
            <w14:solidFill>
              <w14:schemeClr w14:val="tx1"/>
            </w14:solidFill>
          </w14:textFill>
        </w:rPr>
        <w:t>方、</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卖</w:t>
      </w:r>
      <w:r>
        <w:rPr>
          <w:rFonts w:hint="eastAsia" w:ascii="宋体" w:hAnsi="宋体" w:eastAsia="宋体" w:cs="宋体"/>
          <w:b w:val="0"/>
          <w:bCs w:val="0"/>
          <w:color w:val="000000" w:themeColor="text1"/>
          <w:sz w:val="24"/>
          <w:szCs w:val="24"/>
          <w:highlight w:val="none"/>
          <w14:textFill>
            <w14:solidFill>
              <w14:schemeClr w14:val="tx1"/>
            </w14:solidFill>
          </w14:textFill>
        </w:rPr>
        <w:t>方）共同开箱，根据到货清单（合同）核对产地、数量、检查设备的包装、外观质量等，检验无误后共同签署验收单后，</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卖</w:t>
      </w:r>
      <w:r>
        <w:rPr>
          <w:rFonts w:hint="eastAsia" w:ascii="宋体" w:hAnsi="宋体" w:eastAsia="宋体" w:cs="宋体"/>
          <w:b w:val="0"/>
          <w:bCs w:val="0"/>
          <w:color w:val="000000" w:themeColor="text1"/>
          <w:sz w:val="24"/>
          <w:szCs w:val="24"/>
          <w:highlight w:val="none"/>
          <w14:textFill>
            <w14:solidFill>
              <w14:schemeClr w14:val="tx1"/>
            </w14:solidFill>
          </w14:textFill>
        </w:rPr>
        <w:t>方可按照甲方规定的时间、地点进行安装。</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卖</w:t>
      </w:r>
      <w:r>
        <w:rPr>
          <w:rFonts w:hint="eastAsia" w:ascii="宋体" w:hAnsi="宋体" w:eastAsia="宋体" w:cs="宋体"/>
          <w:b w:val="0"/>
          <w:bCs w:val="0"/>
          <w:color w:val="000000" w:themeColor="text1"/>
          <w:sz w:val="24"/>
          <w:szCs w:val="24"/>
          <w:highlight w:val="none"/>
          <w14:textFill>
            <w14:solidFill>
              <w14:schemeClr w14:val="tx1"/>
            </w14:solidFill>
          </w14:textFill>
        </w:rPr>
        <w:t>方负责进场开工后的保管工作直至交付使用。</w:t>
      </w:r>
    </w:p>
    <w:p w14:paraId="612004CE">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5.包装、标记、运输和交付</w:t>
      </w:r>
    </w:p>
    <w:p w14:paraId="0A1AAE15">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5.1 包装</w:t>
      </w:r>
    </w:p>
    <w:p w14:paraId="28598B6B">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5.1.3 包装物退还：</w:t>
      </w:r>
      <w:r>
        <w:rPr>
          <w:rFonts w:hint="eastAsia" w:ascii="宋体" w:hAnsi="宋体" w:eastAsia="宋体" w:cs="宋体"/>
          <w:sz w:val="24"/>
          <w:szCs w:val="24"/>
          <w:highlight w:val="none"/>
          <w:u w:val="single"/>
        </w:rPr>
        <w:t xml:space="preserve"> 执行通用合同条款。</w:t>
      </w:r>
    </w:p>
    <w:p w14:paraId="5ED47406">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卖方提供的全部货物，均应采用国家及专业标准保护措施进行包装。电梯设备均由木箱包装，适用长途公路或铁路运输，并有良好的防湿、防潮、防震、防腐蚀的能力，电梯设备的导轨为可以妥善保护的软包装，若由于包装不妥引起的货物锈蚀、损坏和损失均由卖方承担。</w:t>
      </w:r>
    </w:p>
    <w:p w14:paraId="1C8F3B84">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5.2 标记</w:t>
      </w:r>
    </w:p>
    <w:p w14:paraId="3232C39C">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5.2.1 标记：</w:t>
      </w:r>
      <w:r>
        <w:rPr>
          <w:rFonts w:hint="eastAsia" w:ascii="宋体" w:hAnsi="宋体" w:eastAsia="宋体" w:cs="宋体"/>
          <w:sz w:val="24"/>
          <w:szCs w:val="24"/>
          <w:highlight w:val="none"/>
          <w:u w:val="single"/>
        </w:rPr>
        <w:t>在每个包装箱表面，须印明有关订货合同号、装箱号、商品名称、体积、毛重、净重和“勿倒放”、“小心轻放”、“避免潮湿”的字样。若单个的木箱重量为2吨或2吨以上，在箱面上须标明重心和起重点，以便装卸和搬运。</w:t>
      </w:r>
    </w:p>
    <w:p w14:paraId="0C3302E9">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5.2.2 超大超重件：</w:t>
      </w:r>
      <w:r>
        <w:rPr>
          <w:rFonts w:hint="eastAsia" w:ascii="宋体" w:hAnsi="宋体" w:eastAsia="宋体" w:cs="宋体"/>
          <w:sz w:val="24"/>
          <w:szCs w:val="24"/>
          <w:highlight w:val="none"/>
          <w:u w:val="single"/>
        </w:rPr>
        <w:t xml:space="preserve">  / 。</w:t>
      </w:r>
    </w:p>
    <w:p w14:paraId="2A3FFE40">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5.3 运输</w:t>
      </w:r>
    </w:p>
    <w:p w14:paraId="1CB1C13A">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5.3.2 整套装运：</w:t>
      </w:r>
      <w:r>
        <w:rPr>
          <w:rFonts w:hint="eastAsia" w:ascii="宋体" w:hAnsi="宋体" w:eastAsia="宋体" w:cs="宋体"/>
          <w:sz w:val="24"/>
          <w:szCs w:val="24"/>
          <w:highlight w:val="none"/>
          <w:u w:val="single"/>
        </w:rPr>
        <w:t>执行通用合同条款</w:t>
      </w:r>
      <w:r>
        <w:rPr>
          <w:rFonts w:hint="eastAsia" w:ascii="宋体" w:hAnsi="宋体" w:eastAsia="宋体" w:cs="宋体"/>
          <w:sz w:val="24"/>
          <w:szCs w:val="24"/>
          <w:highlight w:val="none"/>
        </w:rPr>
        <w:t>。</w:t>
      </w:r>
    </w:p>
    <w:p w14:paraId="092F751B">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5.3.3 启运前通知：</w:t>
      </w:r>
      <w:r>
        <w:rPr>
          <w:rFonts w:hint="eastAsia" w:ascii="宋体" w:hAnsi="宋体" w:eastAsia="宋体" w:cs="宋体"/>
          <w:sz w:val="24"/>
          <w:szCs w:val="24"/>
          <w:highlight w:val="none"/>
          <w:u w:val="single"/>
        </w:rPr>
        <w:t>执行通用合同条款。</w:t>
      </w:r>
    </w:p>
    <w:p w14:paraId="31C7BC2C">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5.4 交付</w:t>
      </w:r>
    </w:p>
    <w:p w14:paraId="64898011">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5.4.1 交付方式：</w:t>
      </w:r>
      <w:r>
        <w:rPr>
          <w:rFonts w:hint="eastAsia" w:ascii="宋体" w:hAnsi="宋体" w:eastAsia="宋体" w:cs="宋体"/>
          <w:sz w:val="24"/>
          <w:szCs w:val="24"/>
          <w:highlight w:val="none"/>
          <w:u w:val="single"/>
        </w:rPr>
        <w:t>卖方应根据合同约定的交付时间和批次在施工场地车面上将合同设备交付给买方。买方对卖方交付的包装的合同设备的外观及件数进行清点核验后应签发收货清单，并由卖方进行卸货。</w:t>
      </w:r>
    </w:p>
    <w:p w14:paraId="33B6D599">
      <w:pPr>
        <w:ind w:firstLine="1200" w:firstLineChars="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rPr>
        <w:t>期限：</w:t>
      </w:r>
      <w:r>
        <w:rPr>
          <w:rFonts w:hint="eastAsia" w:ascii="宋体" w:hAnsi="宋体" w:eastAsia="宋体" w:cs="宋体"/>
          <w:sz w:val="24"/>
          <w:szCs w:val="24"/>
          <w:highlight w:val="none"/>
          <w:u w:val="single"/>
          <w:lang w:val="en-US" w:eastAsia="zh-CN"/>
        </w:rPr>
        <w:t>90</w:t>
      </w:r>
      <w:r>
        <w:rPr>
          <w:rFonts w:hint="eastAsia" w:ascii="宋体" w:hAnsi="宋体" w:eastAsia="宋体" w:cs="宋体"/>
          <w:sz w:val="24"/>
          <w:szCs w:val="24"/>
          <w:highlight w:val="none"/>
          <w:u w:val="single"/>
        </w:rPr>
        <w:t>日历天。</w:t>
      </w:r>
    </w:p>
    <w:p w14:paraId="14F6E7F9">
      <w:pPr>
        <w:ind w:firstLine="1200" w:firstLineChars="500"/>
        <w:rPr>
          <w:rFonts w:hint="eastAsia" w:ascii="宋体" w:hAnsi="宋体" w:eastAsia="宋体" w:cs="宋体"/>
          <w:sz w:val="24"/>
          <w:szCs w:val="24"/>
          <w:highlight w:val="none"/>
        </w:rPr>
      </w:pPr>
      <w:r>
        <w:rPr>
          <w:rFonts w:hint="eastAsia" w:ascii="宋体" w:hAnsi="宋体" w:eastAsia="宋体" w:cs="宋体"/>
          <w:sz w:val="24"/>
          <w:szCs w:val="24"/>
          <w:highlight w:val="none"/>
        </w:rPr>
        <w:t>交付地点：</w:t>
      </w:r>
      <w:r>
        <w:rPr>
          <w:rFonts w:hint="eastAsia" w:ascii="宋体" w:hAnsi="宋体" w:eastAsia="宋体" w:cs="宋体"/>
          <w:sz w:val="24"/>
          <w:szCs w:val="24"/>
          <w:highlight w:val="none"/>
          <w:u w:val="single"/>
        </w:rPr>
        <w:t>买方指定地点。</w:t>
      </w:r>
    </w:p>
    <w:p w14:paraId="12256928">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5.4.3 技术资料短缺或错误：</w:t>
      </w:r>
      <w:r>
        <w:rPr>
          <w:rFonts w:hint="eastAsia" w:ascii="宋体" w:hAnsi="宋体" w:eastAsia="宋体" w:cs="宋体"/>
          <w:sz w:val="24"/>
          <w:szCs w:val="24"/>
          <w:highlight w:val="none"/>
          <w:u w:val="single"/>
        </w:rPr>
        <w:t>执行通用合同条款。</w:t>
      </w:r>
    </w:p>
    <w:p w14:paraId="7777F87F">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6. 开箱检验、安装、调试、考核、验收</w:t>
      </w:r>
    </w:p>
    <w:p w14:paraId="27A1A12E">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6.1 开箱检验</w:t>
      </w:r>
    </w:p>
    <w:p w14:paraId="1FDDE3BA">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6.1.2 开箱检验地点：</w:t>
      </w:r>
      <w:r>
        <w:rPr>
          <w:rFonts w:hint="eastAsia" w:ascii="宋体" w:hAnsi="宋体" w:eastAsia="宋体" w:cs="宋体"/>
          <w:sz w:val="24"/>
          <w:szCs w:val="24"/>
          <w:highlight w:val="none"/>
          <w:u w:val="single"/>
        </w:rPr>
        <w:t>执行通用合同条款。</w:t>
      </w:r>
    </w:p>
    <w:p w14:paraId="6A5F1328">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6.1.6 开箱检验相关责任：</w:t>
      </w:r>
      <w:r>
        <w:rPr>
          <w:rFonts w:hint="eastAsia" w:ascii="宋体" w:hAnsi="宋体" w:eastAsia="宋体" w:cs="宋体"/>
          <w:sz w:val="24"/>
          <w:szCs w:val="24"/>
          <w:highlight w:val="none"/>
          <w:u w:val="single"/>
        </w:rPr>
        <w:t>买方和卖方共同对运抵的所有货物进行拆箱验收后，由卖方自行负责保管直至全部工程验收备案合格并将电梯交付买方完毕（最长保管期不超过质监局验收合格后180日）。货物进场直至电梯工程验收合格期间，货物的保管均由卖方负责，丢失、受损等后果均由卖方承担。买方在卖方通知交付前，将协助卖方提供合适的货物堆放场地。</w:t>
      </w:r>
    </w:p>
    <w:p w14:paraId="1396729D">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6.1.7 第三方检验机构：</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p w14:paraId="61BB1C82">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6.2 安装、调试</w:t>
      </w:r>
    </w:p>
    <w:p w14:paraId="4A86C05F">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6.2.1 安装调试方式：</w:t>
      </w:r>
      <w:r>
        <w:rPr>
          <w:rFonts w:hint="eastAsia" w:ascii="宋体" w:hAnsi="宋体" w:eastAsia="宋体" w:cs="宋体"/>
          <w:sz w:val="24"/>
          <w:szCs w:val="24"/>
          <w:highlight w:val="none"/>
          <w:u w:val="single"/>
        </w:rPr>
        <w:t>卖方按照合同约定完成合同设备的安装、调试工作。</w:t>
      </w:r>
    </w:p>
    <w:p w14:paraId="376287D8">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6.2.2 安装、调试中合同设备运行需要的用水、用电、其他动力和原材料（如需要）等：</w:t>
      </w:r>
      <w:r>
        <w:rPr>
          <w:rFonts w:hint="eastAsia" w:ascii="宋体" w:hAnsi="宋体" w:eastAsia="宋体" w:cs="宋体"/>
          <w:sz w:val="24"/>
          <w:szCs w:val="24"/>
          <w:highlight w:val="none"/>
          <w:u w:val="single"/>
        </w:rPr>
        <w:t>安装、调试中合同设备运行需要的用水、用电、其他动力和原材料（如需要）等均由卖方承担。</w:t>
      </w:r>
    </w:p>
    <w:p w14:paraId="0D9C93FA">
      <w:pPr>
        <w:ind w:firstLine="42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6.2.3 卖方</w:t>
      </w:r>
      <w:r>
        <w:rPr>
          <w:rFonts w:hint="eastAsia" w:ascii="宋体" w:hAnsi="宋体" w:eastAsia="宋体" w:cs="宋体"/>
          <w:b w:val="0"/>
          <w:bCs w:val="0"/>
          <w:color w:val="000000" w:themeColor="text1"/>
          <w:sz w:val="24"/>
          <w:szCs w:val="24"/>
          <w:highlight w:val="none"/>
          <w14:textFill>
            <w14:solidFill>
              <w14:schemeClr w14:val="tx1"/>
            </w14:solidFill>
          </w14:textFill>
        </w:rPr>
        <w:t>应</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按时</w:t>
      </w:r>
      <w:r>
        <w:rPr>
          <w:rFonts w:hint="eastAsia" w:ascii="宋体" w:hAnsi="宋体" w:eastAsia="宋体" w:cs="宋体"/>
          <w:b w:val="0"/>
          <w:bCs w:val="0"/>
          <w:color w:val="000000" w:themeColor="text1"/>
          <w:sz w:val="24"/>
          <w:szCs w:val="24"/>
          <w:highlight w:val="none"/>
          <w14:textFill>
            <w14:solidFill>
              <w14:schemeClr w14:val="tx1"/>
            </w14:solidFill>
          </w14:textFill>
        </w:rPr>
        <w:t>完成发货到货、安装调试、验收工作，取得相关主管部门验收及“安全检验合格 ”标志。若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买方</w:t>
      </w:r>
      <w:r>
        <w:rPr>
          <w:rFonts w:hint="eastAsia" w:ascii="宋体" w:hAnsi="宋体" w:eastAsia="宋体" w:cs="宋体"/>
          <w:b w:val="0"/>
          <w:bCs w:val="0"/>
          <w:color w:val="000000" w:themeColor="text1"/>
          <w:sz w:val="24"/>
          <w:szCs w:val="24"/>
          <w:highlight w:val="none"/>
          <w14:textFill>
            <w14:solidFill>
              <w14:schemeClr w14:val="tx1"/>
            </w14:solidFill>
          </w14:textFill>
        </w:rPr>
        <w:t>要求延期安装，</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卖方</w:t>
      </w:r>
      <w:r>
        <w:rPr>
          <w:rFonts w:hint="eastAsia" w:ascii="宋体" w:hAnsi="宋体" w:eastAsia="宋体" w:cs="宋体"/>
          <w:b w:val="0"/>
          <w:bCs w:val="0"/>
          <w:color w:val="000000" w:themeColor="text1"/>
          <w:sz w:val="24"/>
          <w:szCs w:val="24"/>
          <w:highlight w:val="none"/>
          <w14:textFill>
            <w14:solidFill>
              <w14:schemeClr w14:val="tx1"/>
            </w14:solidFill>
          </w14:textFill>
        </w:rPr>
        <w:t>不得提出增加任何费用。</w:t>
      </w:r>
    </w:p>
    <w:p w14:paraId="49906927">
      <w:pPr>
        <w:ind w:firstLine="42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6.2.4 卖方</w:t>
      </w:r>
      <w:r>
        <w:rPr>
          <w:rFonts w:hint="eastAsia" w:ascii="宋体" w:hAnsi="宋体" w:eastAsia="宋体" w:cs="宋体"/>
          <w:b w:val="0"/>
          <w:bCs w:val="0"/>
          <w:color w:val="000000" w:themeColor="text1"/>
          <w:sz w:val="24"/>
          <w:szCs w:val="24"/>
          <w:highlight w:val="none"/>
          <w14:textFill>
            <w14:solidFill>
              <w14:schemeClr w14:val="tx1"/>
            </w14:solidFill>
          </w14:textFill>
        </w:rPr>
        <w:t>进场安装前用书面形式（开工通知单）通知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买方</w:t>
      </w:r>
      <w:r>
        <w:rPr>
          <w:rFonts w:hint="eastAsia" w:ascii="宋体" w:hAnsi="宋体" w:eastAsia="宋体" w:cs="宋体"/>
          <w:b w:val="0"/>
          <w:bCs w:val="0"/>
          <w:color w:val="000000" w:themeColor="text1"/>
          <w:sz w:val="24"/>
          <w:szCs w:val="24"/>
          <w:highlight w:val="none"/>
          <w14:textFill>
            <w14:solidFill>
              <w14:schemeClr w14:val="tx1"/>
            </w14:solidFill>
          </w14:textFill>
        </w:rPr>
        <w:t>具体开工日期和安装班组负责人名单，</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买方</w:t>
      </w:r>
      <w:r>
        <w:rPr>
          <w:rFonts w:hint="eastAsia" w:ascii="宋体" w:hAnsi="宋体" w:eastAsia="宋体" w:cs="宋体"/>
          <w:b w:val="0"/>
          <w:bCs w:val="0"/>
          <w:color w:val="000000" w:themeColor="text1"/>
          <w:sz w:val="24"/>
          <w:szCs w:val="24"/>
          <w:highlight w:val="none"/>
          <w14:textFill>
            <w14:solidFill>
              <w14:schemeClr w14:val="tx1"/>
            </w14:solidFill>
          </w14:textFill>
        </w:rPr>
        <w:t>联系人签收回复</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卖方</w:t>
      </w:r>
      <w:r>
        <w:rPr>
          <w:rFonts w:hint="eastAsia" w:ascii="宋体" w:hAnsi="宋体" w:eastAsia="宋体" w:cs="宋体"/>
          <w:b w:val="0"/>
          <w:bCs w:val="0"/>
          <w:color w:val="000000" w:themeColor="text1"/>
          <w:sz w:val="24"/>
          <w:szCs w:val="24"/>
          <w:highlight w:val="none"/>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买方</w:t>
      </w:r>
      <w:r>
        <w:rPr>
          <w:rFonts w:hint="eastAsia" w:ascii="宋体" w:hAnsi="宋体" w:eastAsia="宋体" w:cs="宋体"/>
          <w:b w:val="0"/>
          <w:bCs w:val="0"/>
          <w:color w:val="000000" w:themeColor="text1"/>
          <w:sz w:val="24"/>
          <w:szCs w:val="24"/>
          <w:highlight w:val="none"/>
          <w14:textFill>
            <w14:solidFill>
              <w14:schemeClr w14:val="tx1"/>
            </w14:solidFill>
          </w14:textFill>
        </w:rPr>
        <w:t>签收确认的日期为正式开工日期。</w:t>
      </w:r>
    </w:p>
    <w:p w14:paraId="26531227">
      <w:pPr>
        <w:ind w:firstLine="42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6.2.5 卖方</w:t>
      </w:r>
      <w:r>
        <w:rPr>
          <w:rFonts w:hint="eastAsia" w:ascii="宋体" w:hAnsi="宋体" w:eastAsia="宋体" w:cs="宋体"/>
          <w:b w:val="0"/>
          <w:bCs w:val="0"/>
          <w:color w:val="000000" w:themeColor="text1"/>
          <w:sz w:val="24"/>
          <w:szCs w:val="24"/>
          <w:highlight w:val="none"/>
          <w14:textFill>
            <w14:solidFill>
              <w14:schemeClr w14:val="tx1"/>
            </w14:solidFill>
          </w14:textFill>
        </w:rPr>
        <w:t>应于安装队伍进场前5天，将电梯厂家现场负责人、安装队伍及安装技术负责人、安装人员的资质证书及相关资料提交</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买方</w:t>
      </w:r>
      <w:r>
        <w:rPr>
          <w:rFonts w:hint="eastAsia" w:ascii="宋体" w:hAnsi="宋体" w:eastAsia="宋体" w:cs="宋体"/>
          <w:b w:val="0"/>
          <w:bCs w:val="0"/>
          <w:color w:val="000000" w:themeColor="text1"/>
          <w:sz w:val="24"/>
          <w:szCs w:val="24"/>
          <w:highlight w:val="none"/>
          <w14:textFill>
            <w14:solidFill>
              <w14:schemeClr w14:val="tx1"/>
            </w14:solidFill>
          </w14:textFill>
        </w:rPr>
        <w:t>。</w:t>
      </w:r>
    </w:p>
    <w:p w14:paraId="772AEE5D">
      <w:pPr>
        <w:pStyle w:val="5"/>
        <w:ind w:left="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6.3 验收</w:t>
      </w:r>
    </w:p>
    <w:p w14:paraId="504E49E3">
      <w:pPr>
        <w:ind w:firstLine="420"/>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.1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设备技术指标达到验收条件时，7日内向特检院申请验收；</w:t>
      </w:r>
    </w:p>
    <w:p w14:paraId="5A025298">
      <w:pPr>
        <w:ind w:firstLine="420"/>
        <w:rPr>
          <w:rFonts w:hint="eastAsia" w:ascii="宋体" w:hAnsi="宋体" w:eastAsia="宋体" w:cs="宋体"/>
          <w:color w:val="FF0000"/>
          <w:sz w:val="24"/>
          <w:szCs w:val="24"/>
          <w:highlight w:val="none"/>
          <w:u w:val="single"/>
          <w:lang w:val="en-US" w:eastAsia="zh-CN"/>
        </w:rPr>
      </w:pPr>
      <w:r>
        <w:rPr>
          <w:rFonts w:hint="eastAsia" w:ascii="宋体" w:hAnsi="宋体" w:eastAsia="宋体" w:cs="宋体"/>
          <w:b w:val="0"/>
          <w:bCs w:val="0"/>
          <w:color w:val="000000" w:themeColor="text1"/>
          <w:sz w:val="24"/>
          <w:szCs w:val="24"/>
          <w:highlight w:val="none"/>
          <w14:textFill>
            <w14:solidFill>
              <w14:schemeClr w14:val="tx1"/>
            </w14:solidFill>
          </w14:textFill>
        </w:rPr>
        <w:t>6.</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.2 </w:t>
      </w:r>
      <w:r>
        <w:rPr>
          <w:rFonts w:hint="eastAsia" w:ascii="宋体" w:hAnsi="宋体" w:eastAsia="宋体" w:cs="宋体"/>
          <w:b w:val="0"/>
          <w:bCs w:val="0"/>
          <w:color w:val="000000" w:themeColor="text1"/>
          <w:sz w:val="24"/>
          <w:szCs w:val="24"/>
          <w:highlight w:val="none"/>
          <w:u w:val="none"/>
          <w:lang w:val="en-US" w:eastAsia="zh-CN"/>
          <w14:textFill>
            <w14:solidFill>
              <w14:schemeClr w14:val="tx1"/>
            </w14:solidFill>
          </w14:textFill>
        </w:rPr>
        <w:t>符合设备运行条件，特检院出具验收合格报告后，正式交付甲方。</w:t>
      </w:r>
    </w:p>
    <w:p w14:paraId="514F9C14">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7. 技术服务</w:t>
      </w:r>
    </w:p>
    <w:p w14:paraId="00F4336F">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卖方技术人员的交通、食宿费用：</w:t>
      </w:r>
    </w:p>
    <w:p w14:paraId="4F1B494B">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由卖方承担</w:t>
      </w:r>
      <w:r>
        <w:rPr>
          <w:rFonts w:hint="eastAsia" w:ascii="宋体" w:hAnsi="宋体" w:eastAsia="宋体" w:cs="宋体"/>
          <w:sz w:val="24"/>
          <w:szCs w:val="24"/>
          <w:highlight w:val="none"/>
        </w:rPr>
        <w:t>。</w:t>
      </w:r>
    </w:p>
    <w:p w14:paraId="41A725ED">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8. 质量保证期</w:t>
      </w:r>
    </w:p>
    <w:p w14:paraId="0AA133E2">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8.1 质量保证期：</w:t>
      </w:r>
    </w:p>
    <w:p w14:paraId="1FBA08F6">
      <w:pPr>
        <w:ind w:firstLine="420"/>
        <w:rPr>
          <w:rFonts w:hint="eastAsia" w:ascii="宋体" w:hAnsi="宋体" w:eastAsia="宋体" w:cs="宋体"/>
          <w:b w:val="0"/>
          <w:bCs w:val="0"/>
          <w:color w:val="auto"/>
          <w:sz w:val="24"/>
          <w:szCs w:val="24"/>
          <w:highlight w:val="none"/>
          <w:u w:val="single"/>
        </w:rPr>
      </w:pPr>
      <w:r>
        <w:rPr>
          <w:rFonts w:hint="eastAsia" w:ascii="宋体" w:hAnsi="宋体" w:eastAsia="宋体" w:cs="宋体"/>
          <w:b w:val="0"/>
          <w:bCs w:val="0"/>
          <w:color w:val="auto"/>
          <w:sz w:val="24"/>
          <w:szCs w:val="24"/>
          <w:highlight w:val="none"/>
          <w:u w:val="single"/>
        </w:rPr>
        <w:t>电梯质保期、免费维保期从电梯经质量技术监督局验收合格</w:t>
      </w:r>
      <w:r>
        <w:rPr>
          <w:rFonts w:hint="eastAsia" w:ascii="宋体" w:hAnsi="宋体" w:eastAsia="宋体" w:cs="宋体"/>
          <w:b w:val="0"/>
          <w:bCs w:val="0"/>
          <w:color w:val="auto"/>
          <w:sz w:val="24"/>
          <w:szCs w:val="24"/>
          <w:highlight w:val="none"/>
          <w:u w:val="single"/>
          <w:lang w:val="en-US" w:eastAsia="zh-CN"/>
        </w:rPr>
        <w:t>并</w:t>
      </w:r>
      <w:r>
        <w:rPr>
          <w:rFonts w:hint="eastAsia" w:ascii="宋体" w:hAnsi="宋体" w:eastAsia="宋体" w:cs="宋体"/>
          <w:b w:val="0"/>
          <w:bCs w:val="0"/>
          <w:color w:val="auto"/>
          <w:sz w:val="24"/>
          <w:szCs w:val="24"/>
          <w:highlight w:val="none"/>
          <w:u w:val="single"/>
        </w:rPr>
        <w:t>取得特种设备验收合格证书之日起，质保期</w:t>
      </w:r>
      <w:r>
        <w:rPr>
          <w:rFonts w:hint="eastAsia" w:ascii="宋体" w:hAnsi="宋体" w:eastAsia="宋体" w:cs="宋体"/>
          <w:b w:val="0"/>
          <w:bCs w:val="0"/>
          <w:color w:val="auto"/>
          <w:sz w:val="24"/>
          <w:szCs w:val="24"/>
          <w:highlight w:val="none"/>
          <w:u w:val="single"/>
          <w:lang w:val="en-US" w:eastAsia="zh-CN"/>
        </w:rPr>
        <w:t>5年</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免费维保期</w:t>
      </w:r>
      <w:r>
        <w:rPr>
          <w:rFonts w:hint="eastAsia" w:ascii="宋体" w:hAnsi="宋体" w:eastAsia="宋体" w:cs="宋体"/>
          <w:b w:val="0"/>
          <w:bCs w:val="0"/>
          <w:color w:val="auto"/>
          <w:sz w:val="24"/>
          <w:szCs w:val="24"/>
          <w:highlight w:val="none"/>
          <w:u w:val="single"/>
          <w:lang w:val="en-US" w:eastAsia="zh-CN"/>
        </w:rPr>
        <w:t>1年</w:t>
      </w:r>
      <w:r>
        <w:rPr>
          <w:rFonts w:hint="eastAsia" w:ascii="宋体" w:hAnsi="宋体" w:eastAsia="宋体" w:cs="宋体"/>
          <w:b w:val="0"/>
          <w:bCs w:val="0"/>
          <w:color w:val="auto"/>
          <w:sz w:val="24"/>
          <w:szCs w:val="24"/>
          <w:highlight w:val="none"/>
          <w:u w:val="single"/>
        </w:rPr>
        <w:t>。</w:t>
      </w:r>
    </w:p>
    <w:p w14:paraId="53B64D48">
      <w:pPr>
        <w:ind w:firstLine="42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000000" w:themeColor="text1"/>
          <w:sz w:val="24"/>
          <w:szCs w:val="24"/>
          <w:highlight w:val="none"/>
          <w14:textFill>
            <w14:solidFill>
              <w14:schemeClr w14:val="tx1"/>
            </w14:solidFill>
          </w14:textFill>
        </w:rPr>
        <w:t>质</w:t>
      </w:r>
      <w:r>
        <w:rPr>
          <w:rFonts w:hint="eastAsia" w:ascii="宋体" w:hAnsi="宋体" w:eastAsia="宋体" w:cs="宋体"/>
          <w:b w:val="0"/>
          <w:bCs w:val="0"/>
          <w:color w:val="auto"/>
          <w:sz w:val="24"/>
          <w:szCs w:val="24"/>
          <w:highlight w:val="none"/>
        </w:rPr>
        <w:t>保期：根据《建设工程质量保证金管理办法》，本工程电梯质保期为</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年，免费维保期为</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年，自</w:t>
      </w:r>
      <w:r>
        <w:rPr>
          <w:rFonts w:hint="eastAsia" w:ascii="宋体" w:hAnsi="宋体" w:eastAsia="宋体" w:cs="宋体"/>
          <w:b w:val="0"/>
          <w:bCs w:val="0"/>
          <w:color w:val="auto"/>
          <w:sz w:val="24"/>
          <w:szCs w:val="24"/>
          <w:highlight w:val="none"/>
          <w:u w:val="single"/>
        </w:rPr>
        <w:t>电梯经质量技术监督局验收合格</w:t>
      </w:r>
      <w:r>
        <w:rPr>
          <w:rFonts w:hint="eastAsia" w:ascii="宋体" w:hAnsi="宋体" w:eastAsia="宋体" w:cs="宋体"/>
          <w:b w:val="0"/>
          <w:bCs w:val="0"/>
          <w:color w:val="auto"/>
          <w:sz w:val="24"/>
          <w:szCs w:val="24"/>
          <w:highlight w:val="none"/>
          <w:u w:val="single"/>
          <w:lang w:val="en-US" w:eastAsia="zh-CN"/>
        </w:rPr>
        <w:t>并</w:t>
      </w:r>
      <w:r>
        <w:rPr>
          <w:rFonts w:hint="eastAsia" w:ascii="宋体" w:hAnsi="宋体" w:eastAsia="宋体" w:cs="宋体"/>
          <w:b w:val="0"/>
          <w:bCs w:val="0"/>
          <w:color w:val="auto"/>
          <w:sz w:val="24"/>
          <w:szCs w:val="24"/>
          <w:highlight w:val="none"/>
          <w:u w:val="single"/>
        </w:rPr>
        <w:t>取得特种设备验收合格证书之日起</w:t>
      </w:r>
      <w:r>
        <w:rPr>
          <w:rFonts w:hint="eastAsia" w:ascii="宋体" w:hAnsi="宋体" w:eastAsia="宋体" w:cs="宋体"/>
          <w:b w:val="0"/>
          <w:bCs w:val="0"/>
          <w:color w:val="auto"/>
          <w:sz w:val="24"/>
          <w:szCs w:val="24"/>
          <w:highlight w:val="none"/>
          <w:u w:val="single"/>
          <w:lang w:val="en-US" w:eastAsia="zh-CN"/>
        </w:rPr>
        <w:t>计算</w:t>
      </w:r>
      <w:r>
        <w:rPr>
          <w:rFonts w:hint="eastAsia" w:ascii="宋体" w:hAnsi="宋体" w:eastAsia="宋体" w:cs="宋体"/>
          <w:b w:val="0"/>
          <w:bCs w:val="0"/>
          <w:color w:val="auto"/>
          <w:sz w:val="24"/>
          <w:szCs w:val="24"/>
          <w:highlight w:val="none"/>
        </w:rPr>
        <w:t>。质保期内,若设备核心部件发生的任何质量问题需要更换或返修，更换件或返修件的质保期自安装之日起重新计算。</w:t>
      </w:r>
    </w:p>
    <w:p w14:paraId="6604B938">
      <w:pPr>
        <w:ind w:firstLine="42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无论质保期内外，设备送修时，</w:t>
      </w:r>
      <w:r>
        <w:rPr>
          <w:rFonts w:hint="eastAsia" w:ascii="宋体" w:hAnsi="宋体" w:eastAsia="宋体" w:cs="宋体"/>
          <w:b w:val="0"/>
          <w:bCs w:val="0"/>
          <w:color w:val="auto"/>
          <w:sz w:val="24"/>
          <w:szCs w:val="24"/>
          <w:highlight w:val="none"/>
          <w:lang w:eastAsia="zh-CN"/>
        </w:rPr>
        <w:t>卖方</w:t>
      </w:r>
      <w:r>
        <w:rPr>
          <w:rFonts w:hint="eastAsia" w:ascii="宋体" w:hAnsi="宋体" w:eastAsia="宋体" w:cs="宋体"/>
          <w:b w:val="0"/>
          <w:bCs w:val="0"/>
          <w:color w:val="auto"/>
          <w:sz w:val="24"/>
          <w:szCs w:val="24"/>
          <w:highlight w:val="none"/>
        </w:rPr>
        <w:t>必须同时提供相同部件供</w:t>
      </w:r>
      <w:r>
        <w:rPr>
          <w:rFonts w:hint="eastAsia" w:ascii="宋体" w:hAnsi="宋体" w:eastAsia="宋体" w:cs="宋体"/>
          <w:b w:val="0"/>
          <w:bCs w:val="0"/>
          <w:color w:val="auto"/>
          <w:sz w:val="24"/>
          <w:szCs w:val="24"/>
          <w:highlight w:val="none"/>
          <w:lang w:eastAsia="zh-CN"/>
        </w:rPr>
        <w:t>买方</w:t>
      </w:r>
      <w:r>
        <w:rPr>
          <w:rFonts w:hint="eastAsia" w:ascii="宋体" w:hAnsi="宋体" w:eastAsia="宋体" w:cs="宋体"/>
          <w:b w:val="0"/>
          <w:bCs w:val="0"/>
          <w:color w:val="auto"/>
          <w:sz w:val="24"/>
          <w:szCs w:val="24"/>
          <w:highlight w:val="none"/>
        </w:rPr>
        <w:t>使用，</w:t>
      </w:r>
      <w:r>
        <w:rPr>
          <w:rFonts w:hint="eastAsia" w:ascii="宋体" w:hAnsi="宋体" w:eastAsia="宋体" w:cs="宋体"/>
          <w:b w:val="0"/>
          <w:bCs w:val="0"/>
          <w:color w:val="auto"/>
          <w:sz w:val="24"/>
          <w:szCs w:val="24"/>
          <w:highlight w:val="none"/>
          <w:lang w:val="en-US" w:eastAsia="zh-CN"/>
        </w:rPr>
        <w:t>保障电梯正常运行</w:t>
      </w:r>
      <w:r>
        <w:rPr>
          <w:rFonts w:hint="eastAsia" w:ascii="宋体" w:hAnsi="宋体" w:eastAsia="宋体" w:cs="宋体"/>
          <w:b w:val="0"/>
          <w:bCs w:val="0"/>
          <w:color w:val="auto"/>
          <w:sz w:val="24"/>
          <w:szCs w:val="24"/>
          <w:highlight w:val="none"/>
        </w:rPr>
        <w:t>。</w:t>
      </w:r>
    </w:p>
    <w:p w14:paraId="67E92396">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质量保证期届满证书出具时间：</w:t>
      </w:r>
    </w:p>
    <w:p w14:paraId="714E3C23">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质量保证期届满后7日内。</w:t>
      </w:r>
    </w:p>
    <w:p w14:paraId="03550ACA">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9. 质保期服务</w:t>
      </w:r>
    </w:p>
    <w:p w14:paraId="001A79B7">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9.1 服务响应时间：</w:t>
      </w:r>
    </w:p>
    <w:p w14:paraId="30479EF4">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收到买方通知后2小时内。</w:t>
      </w:r>
    </w:p>
    <w:p w14:paraId="1FDDB6C2">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9.2 卖方技术人员的交通、食宿费用</w:t>
      </w:r>
    </w:p>
    <w:p w14:paraId="5D4151F2">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由卖方承担。</w:t>
      </w:r>
    </w:p>
    <w:p w14:paraId="16188AB0">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9.</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质保期服务情况记录：</w:t>
      </w:r>
    </w:p>
    <w:p w14:paraId="2908910F">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执行通用合同条款。</w:t>
      </w:r>
    </w:p>
    <w:p w14:paraId="3C79BFEA">
      <w:pPr>
        <w:pStyle w:val="4"/>
        <w:spacing w:before="240" w:after="240"/>
        <w:ind w:firstLine="0" w:firstLineChars="0"/>
        <w:rPr>
          <w:rFonts w:hint="eastAsia" w:ascii="宋体" w:hAnsi="宋体" w:eastAsia="宋体" w:cs="宋体"/>
          <w:b/>
          <w:bCs/>
          <w:snapToGrid w:val="0"/>
          <w:color w:val="000000"/>
          <w:kern w:val="0"/>
          <w:sz w:val="24"/>
          <w:szCs w:val="24"/>
          <w:highlight w:val="none"/>
          <w:lang w:val="en-US" w:eastAsia="en-US" w:bidi="ar-SA"/>
        </w:rPr>
      </w:pPr>
      <w:r>
        <w:rPr>
          <w:rFonts w:hint="eastAsia" w:ascii="宋体" w:hAnsi="宋体" w:eastAsia="宋体" w:cs="宋体"/>
          <w:b/>
          <w:bCs/>
          <w:snapToGrid w:val="0"/>
          <w:color w:val="000000"/>
          <w:kern w:val="0"/>
          <w:sz w:val="24"/>
          <w:szCs w:val="24"/>
          <w:highlight w:val="none"/>
          <w:lang w:val="en-US" w:eastAsia="en-US" w:bidi="ar-SA"/>
        </w:rPr>
        <w:t>10. 履约保证金</w:t>
      </w:r>
    </w:p>
    <w:p w14:paraId="6B79FB05">
      <w:pPr>
        <w:pStyle w:val="4"/>
        <w:spacing w:before="240" w:after="240"/>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本项目不收取履约保证金。</w:t>
      </w:r>
    </w:p>
    <w:p w14:paraId="022CD203">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11. 保证</w:t>
      </w:r>
    </w:p>
    <w:p w14:paraId="39B6A662">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卖方保证</w:t>
      </w:r>
    </w:p>
    <w:p w14:paraId="34E4F5B9">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卖方保证合同设备符合合同约定的规格、标准、技术性能考核指标等，能够安全和稳定地运行，且合同设备（包括全部部件）全新、完整、未使用过。</w:t>
      </w:r>
    </w:p>
    <w:p w14:paraId="6915D4D3">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备品备件停止生产的情况：</w:t>
      </w:r>
    </w:p>
    <w:p w14:paraId="77C5ABA6">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执行通用合同条款。</w:t>
      </w:r>
    </w:p>
    <w:p w14:paraId="2DA2245C">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12. 知识产权</w:t>
      </w:r>
    </w:p>
    <w:p w14:paraId="643A7B29">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有卖方在履行合同过程中提供给买方的图纸、文件、配套软件、电子辅助程序和其他含有数据和信息的资料的知识产权：</w:t>
      </w:r>
    </w:p>
    <w:p w14:paraId="06D305E7">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执行通用合同条款。</w:t>
      </w:r>
    </w:p>
    <w:p w14:paraId="27C8F7E8">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卖方拒绝处理索赔或诉讼或在收到买方通知后 28 日内未作表示时，发生的费用和遭受的损失：</w:t>
      </w:r>
    </w:p>
    <w:p w14:paraId="18146A22">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执行通用合同条款。</w:t>
      </w:r>
    </w:p>
    <w:p w14:paraId="5DBB858C">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14. 违约责任</w:t>
      </w:r>
    </w:p>
    <w:p w14:paraId="4F9FDBEC">
      <w:pPr>
        <w:pStyle w:val="5"/>
        <w:ind w:left="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14.</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卖方未能按时交付合同设备时迟延交付违约金：</w:t>
      </w:r>
    </w:p>
    <w:p w14:paraId="1121E257">
      <w:pPr>
        <w:ind w:firstLine="420"/>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u w:val="single"/>
          <w:lang w:eastAsia="zh-CN"/>
        </w:rPr>
        <w:t>卖方</w:t>
      </w:r>
      <w:r>
        <w:rPr>
          <w:rFonts w:hint="eastAsia" w:ascii="宋体" w:hAnsi="宋体" w:eastAsia="宋体" w:cs="宋体"/>
          <w:b w:val="0"/>
          <w:bCs w:val="0"/>
          <w:sz w:val="24"/>
          <w:szCs w:val="24"/>
          <w:highlight w:val="none"/>
          <w:u w:val="single"/>
        </w:rPr>
        <w:t>逾期交货</w:t>
      </w:r>
      <w:r>
        <w:rPr>
          <w:rFonts w:hint="eastAsia" w:ascii="宋体" w:hAnsi="宋体" w:eastAsia="宋体" w:cs="宋体"/>
          <w:b w:val="0"/>
          <w:bCs w:val="0"/>
          <w:sz w:val="24"/>
          <w:szCs w:val="24"/>
          <w:highlight w:val="none"/>
          <w:u w:val="single"/>
          <w:lang w:eastAsia="zh-CN"/>
        </w:rPr>
        <w:t>，</w:t>
      </w:r>
      <w:r>
        <w:rPr>
          <w:rFonts w:hint="eastAsia" w:ascii="宋体" w:hAnsi="宋体" w:eastAsia="宋体" w:cs="宋体"/>
          <w:b w:val="0"/>
          <w:bCs w:val="0"/>
          <w:sz w:val="24"/>
          <w:szCs w:val="24"/>
          <w:highlight w:val="none"/>
          <w:u w:val="single"/>
        </w:rPr>
        <w:t>每延期一日按延期交货货物价款总额的万分之五向买方支付违约金</w:t>
      </w:r>
      <w:r>
        <w:rPr>
          <w:rFonts w:hint="eastAsia" w:ascii="宋体" w:hAnsi="宋体" w:eastAsia="宋体" w:cs="宋体"/>
          <w:b w:val="0"/>
          <w:bCs w:val="0"/>
          <w:sz w:val="24"/>
          <w:szCs w:val="24"/>
          <w:highlight w:val="none"/>
          <w:u w:val="single"/>
          <w:lang w:eastAsia="zh-CN"/>
        </w:rPr>
        <w:t>，</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违约金最大不超过20%。</w:t>
      </w:r>
    </w:p>
    <w:p w14:paraId="73AF4852">
      <w:pPr>
        <w:rPr>
          <w:rFonts w:hint="eastAsia" w:ascii="宋体" w:hAnsi="宋体" w:eastAsia="宋体" w:cs="宋体"/>
          <w:b/>
          <w:bCs/>
          <w:snapToGrid w:val="0"/>
          <w:color w:val="000000"/>
          <w:kern w:val="0"/>
          <w:sz w:val="24"/>
          <w:szCs w:val="24"/>
          <w:highlight w:val="none"/>
          <w:lang w:val="en-US" w:eastAsia="zh-CN" w:bidi="ar-SA"/>
        </w:rPr>
      </w:pPr>
    </w:p>
    <w:p w14:paraId="0FEB7A22">
      <w:pPr>
        <w:rPr>
          <w:rFonts w:hint="eastAsia" w:ascii="宋体" w:hAnsi="宋体" w:eastAsia="宋体" w:cs="宋体"/>
          <w:b w:val="0"/>
          <w:bCs w:val="0"/>
          <w:snapToGrid w:val="0"/>
          <w:color w:val="000000"/>
          <w:kern w:val="0"/>
          <w:sz w:val="24"/>
          <w:szCs w:val="24"/>
          <w:highlight w:val="none"/>
          <w:lang w:val="en-US" w:eastAsia="en-US" w:bidi="ar-SA"/>
        </w:rPr>
      </w:pPr>
      <w:r>
        <w:rPr>
          <w:rFonts w:hint="eastAsia" w:ascii="宋体" w:hAnsi="宋体" w:eastAsia="宋体" w:cs="宋体"/>
          <w:b/>
          <w:bCs/>
          <w:snapToGrid w:val="0"/>
          <w:color w:val="000000"/>
          <w:kern w:val="0"/>
          <w:sz w:val="24"/>
          <w:szCs w:val="24"/>
          <w:highlight w:val="none"/>
          <w:lang w:val="en-US" w:eastAsia="zh-CN" w:bidi="ar-SA"/>
        </w:rPr>
        <w:t xml:space="preserve">14.2 </w:t>
      </w:r>
      <w:r>
        <w:rPr>
          <w:rFonts w:hint="eastAsia" w:ascii="宋体" w:hAnsi="宋体" w:eastAsia="宋体" w:cs="宋体"/>
          <w:b w:val="0"/>
          <w:bCs w:val="0"/>
          <w:snapToGrid w:val="0"/>
          <w:color w:val="000000"/>
          <w:kern w:val="0"/>
          <w:sz w:val="24"/>
          <w:szCs w:val="24"/>
          <w:highlight w:val="none"/>
          <w:lang w:val="en-US" w:eastAsia="en-US" w:bidi="ar-SA"/>
        </w:rPr>
        <w:t>因</w:t>
      </w:r>
      <w:r>
        <w:rPr>
          <w:rFonts w:hint="eastAsia" w:ascii="宋体" w:hAnsi="宋体" w:eastAsia="宋体" w:cs="宋体"/>
          <w:b w:val="0"/>
          <w:bCs w:val="0"/>
          <w:snapToGrid w:val="0"/>
          <w:color w:val="000000"/>
          <w:kern w:val="0"/>
          <w:sz w:val="24"/>
          <w:szCs w:val="24"/>
          <w:highlight w:val="none"/>
          <w:lang w:val="en-US" w:eastAsia="zh-CN" w:bidi="ar-SA"/>
        </w:rPr>
        <w:t>卖方</w:t>
      </w:r>
      <w:r>
        <w:rPr>
          <w:rFonts w:hint="eastAsia" w:ascii="宋体" w:hAnsi="宋体" w:eastAsia="宋体" w:cs="宋体"/>
          <w:b w:val="0"/>
          <w:bCs w:val="0"/>
          <w:snapToGrid w:val="0"/>
          <w:color w:val="000000"/>
          <w:kern w:val="0"/>
          <w:sz w:val="24"/>
          <w:szCs w:val="24"/>
          <w:highlight w:val="none"/>
          <w:lang w:val="en-US" w:eastAsia="en-US" w:bidi="ar-SA"/>
        </w:rPr>
        <w:t>安装质量原因，无法通过验收的工程，</w:t>
      </w:r>
      <w:r>
        <w:rPr>
          <w:rFonts w:hint="eastAsia" w:ascii="宋体" w:hAnsi="宋体" w:eastAsia="宋体" w:cs="宋体"/>
          <w:b w:val="0"/>
          <w:bCs w:val="0"/>
          <w:snapToGrid w:val="0"/>
          <w:color w:val="000000"/>
          <w:kern w:val="0"/>
          <w:sz w:val="24"/>
          <w:szCs w:val="24"/>
          <w:highlight w:val="none"/>
          <w:lang w:val="en-US" w:eastAsia="zh-CN" w:bidi="ar-SA"/>
        </w:rPr>
        <w:t>卖方</w:t>
      </w:r>
      <w:r>
        <w:rPr>
          <w:rFonts w:hint="eastAsia" w:ascii="宋体" w:hAnsi="宋体" w:eastAsia="宋体" w:cs="宋体"/>
          <w:b w:val="0"/>
          <w:bCs w:val="0"/>
          <w:snapToGrid w:val="0"/>
          <w:color w:val="000000"/>
          <w:kern w:val="0"/>
          <w:sz w:val="24"/>
          <w:szCs w:val="24"/>
          <w:highlight w:val="none"/>
          <w:lang w:val="en-US" w:eastAsia="en-US" w:bidi="ar-SA"/>
        </w:rPr>
        <w:t>应在最短时间整改直至验收合格；如长时间（不超过15天）整改不合格而导致电梯不能正常交付</w:t>
      </w:r>
      <w:r>
        <w:rPr>
          <w:rFonts w:hint="eastAsia" w:ascii="宋体" w:hAnsi="宋体" w:eastAsia="宋体" w:cs="宋体"/>
          <w:b w:val="0"/>
          <w:bCs w:val="0"/>
          <w:snapToGrid w:val="0"/>
          <w:color w:val="000000"/>
          <w:kern w:val="0"/>
          <w:sz w:val="24"/>
          <w:szCs w:val="24"/>
          <w:highlight w:val="none"/>
          <w:lang w:val="en-US" w:eastAsia="zh-CN" w:bidi="ar-SA"/>
        </w:rPr>
        <w:t>买方</w:t>
      </w:r>
      <w:r>
        <w:rPr>
          <w:rFonts w:hint="eastAsia" w:ascii="宋体" w:hAnsi="宋体" w:eastAsia="宋体" w:cs="宋体"/>
          <w:b w:val="0"/>
          <w:bCs w:val="0"/>
          <w:snapToGrid w:val="0"/>
          <w:color w:val="000000"/>
          <w:kern w:val="0"/>
          <w:sz w:val="24"/>
          <w:szCs w:val="24"/>
          <w:highlight w:val="none"/>
          <w:lang w:val="en-US" w:eastAsia="en-US" w:bidi="ar-SA"/>
        </w:rPr>
        <w:t>使用，则应按违约处理。</w:t>
      </w:r>
    </w:p>
    <w:p w14:paraId="5F6E3D99">
      <w:pPr>
        <w:pStyle w:val="4"/>
        <w:spacing w:before="240" w:after="240"/>
        <w:ind w:firstLine="0" w:firstLineChars="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bCs/>
          <w:color w:val="000000" w:themeColor="text1"/>
          <w:sz w:val="24"/>
          <w:szCs w:val="24"/>
          <w:highlight w:val="none"/>
          <w14:textFill>
            <w14:solidFill>
              <w14:schemeClr w14:val="tx1"/>
            </w14:solidFill>
          </w14:textFill>
        </w:rPr>
        <w:t xml:space="preserve"> 双方权利与义务</w:t>
      </w:r>
    </w:p>
    <w:p w14:paraId="1DBD9C96">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权利与义务</w:t>
      </w:r>
    </w:p>
    <w:p w14:paraId="27D267D0">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在满足支付条件时向</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支付款项，配合</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处理施工中各种矛盾以及组织协调工作，</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协助</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办理旧梯注销手续。</w:t>
      </w:r>
    </w:p>
    <w:p w14:paraId="5DE94B0E">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发出生产发货指令单后，不得以任何理由终止解除合同，否则由此给</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造成的损失由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承担。</w:t>
      </w:r>
    </w:p>
    <w:p w14:paraId="46C19264">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（3）保证</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校园</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内交通顺畅，方便电梯进场；</w:t>
      </w:r>
    </w:p>
    <w:p w14:paraId="4E3F4A32">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（4）向</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提供建筑垃圾暂时堆放场地。</w:t>
      </w:r>
    </w:p>
    <w:p w14:paraId="2BF9B34F">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（5）协调安装工程施工搬运通道，以方便</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的安装工作。</w:t>
      </w:r>
    </w:p>
    <w:p w14:paraId="0B58A53F">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（6）双方验收合格及电梯交付后，</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负责电梯的管理工作。</w:t>
      </w:r>
    </w:p>
    <w:p w14:paraId="2175B46D">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权利与义务</w:t>
      </w:r>
    </w:p>
    <w:p w14:paraId="4069EA5F">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负责施工全过程协调内、外部关系，处理往来文件，对工程进度、质量、工程造价实施控制与管理，对项目做好安全和信息管理。</w:t>
      </w:r>
    </w:p>
    <w:p w14:paraId="45C976E6">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收到</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发出的生产发货指令单后，不得以任何理由终止解除合同，否则由此给</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造成的损失由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承担。</w:t>
      </w:r>
    </w:p>
    <w:p w14:paraId="3811AC39">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（3）在</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设备</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进场</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后</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卖方应妥善</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保管</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，如发生丢失，自行补足</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w:t>
      </w:r>
    </w:p>
    <w:p w14:paraId="13D718E1">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（4）负责井道、机房土建整改、过门石修复工作。</w:t>
      </w:r>
    </w:p>
    <w:p w14:paraId="012BC231">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（5）负责电梯自运输、安装、调试检验合格及交付</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前的保管工作。</w:t>
      </w:r>
    </w:p>
    <w:p w14:paraId="41EA9903">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（6）负责组织专业电梯安装队伍进场施工，同时配备专业管理人员实施现场管理。</w:t>
      </w:r>
    </w:p>
    <w:p w14:paraId="6F213D51">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（7）负责正常安装过程中所需电梯部件材料的搬运（垂直运输设备由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自备）。</w:t>
      </w:r>
    </w:p>
    <w:p w14:paraId="4AE558FD">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（8）自备安装所需工具、机械和劳保用品。</w:t>
      </w:r>
    </w:p>
    <w:p w14:paraId="756642CC">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（9）负责向当地政府主管部门办理安装进场前的安装告知手续及安装完工后的报检手续。</w:t>
      </w:r>
    </w:p>
    <w:p w14:paraId="54E54C36">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（10）负责电梯的安装、调试工作包括电梯井道的安装和调试工作（井道内照明由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负责）。</w:t>
      </w:r>
    </w:p>
    <w:p w14:paraId="600B1B64">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（11）</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安装工作人员在安装施工中应遵守</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现场及安全文明生产规定。</w:t>
      </w:r>
    </w:p>
    <w:p w14:paraId="5C8FEEB6">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（12）负责</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安装工作人员的安全责任，教育安装工人做好井道安全防护工作，负责为</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现场施工人员购买劳动保险和人身保险等，做到文明施工。此次电梯更新改造项目在运输、装卸及安装调试过程中以及因此次施工所发生的所有安全事故由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负责，由此给</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及第三方造成的损失由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承担。</w:t>
      </w:r>
    </w:p>
    <w:p w14:paraId="1C421770">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（13）负责向当地政府主管部门办理申报验收，所需检测费用由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承担。</w:t>
      </w:r>
    </w:p>
    <w:p w14:paraId="15A33D74">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（14）</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要做到工完场清，及时清理现场垃圾，并运离现场。</w:t>
      </w:r>
    </w:p>
    <w:p w14:paraId="7DF13C41">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（15）因</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原因在电梯安装过程中给</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带来的损失以及对其他</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校园</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公共设施造成损害等，由</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负责赔偿，并承担责任。</w:t>
      </w:r>
    </w:p>
    <w:p w14:paraId="6A6D710B">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（16）安装现场免费培训</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的系统管理操作及简单维护人员不少于2人，使</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人员达到能够独立进行管理，日常维护工作，以便电梯能够安全、正常运行。</w:t>
      </w:r>
    </w:p>
    <w:p w14:paraId="78387520">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（17）负责电梯安装验收合格后质保期内的售后服务及维保工作，应达到投标文件时的要求和</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承诺的标准。</w:t>
      </w:r>
    </w:p>
    <w:p w14:paraId="4215DCED">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（18）移交随机资料。</w:t>
      </w:r>
    </w:p>
    <w:p w14:paraId="66EF8AC9">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（19）遵守有关部门对施工场地交通和噪音管理规定。</w:t>
      </w:r>
    </w:p>
    <w:p w14:paraId="541BDA37">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（20）工程未交工前做好工程的成品保护和邻近建、构筑物的保护工作。</w:t>
      </w:r>
    </w:p>
    <w:p w14:paraId="50FD0668">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（21）保证施工现场清洁，交工前清理现场达到无建筑垃圾。</w:t>
      </w:r>
    </w:p>
    <w:p w14:paraId="52EF09BE">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（22）接受</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监督以及对技术的要求，规范管理，严格执行国家有关施工验收规范。</w:t>
      </w:r>
    </w:p>
    <w:p w14:paraId="10FB8F66">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（23）工程施工中其它问题</w:t>
      </w:r>
    </w:p>
    <w:p w14:paraId="67C35EB3">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1.暂停施工：因</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原因需要停工或者</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代表在确认有必要时，可要求暂停施工，由此造成的工期延误不视为</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违约。</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要求复工，</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需在48小时内提出处理意见，若在约定时间未答复，</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可自行复工，责任在</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w:t>
      </w:r>
    </w:p>
    <w:p w14:paraId="145FC36F">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2.工期延误：因不可抗力原因、一周内非</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原因停水、停电及其他原因造成停工累计超过8小时，经</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确认后工期可相应顺延。</w:t>
      </w:r>
    </w:p>
    <w:p w14:paraId="02CD068B">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3.隐蔽工程验收：</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卖方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自检合格后在隐蔽 24 小时前通知</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代表参加，经</w:t>
      </w:r>
      <w:r>
        <w:rPr>
          <w:rFonts w:hint="eastAsia" w:ascii="宋体" w:hAnsi="宋体" w:eastAsia="宋体" w:cs="宋体"/>
          <w:b w:val="0"/>
          <w:bCs w:val="0"/>
          <w:snapToGrid w:val="0"/>
          <w:color w:val="000000" w:themeColor="text1"/>
          <w:kern w:val="0"/>
          <w:sz w:val="24"/>
          <w:szCs w:val="24"/>
          <w:highlight w:val="none"/>
          <w:lang w:val="en-US" w:eastAsia="zh-CN" w:bidi="ar-SA"/>
          <w14:textFill>
            <w14:solidFill>
              <w14:schemeClr w14:val="tx1"/>
            </w14:solidFill>
          </w14:textFill>
        </w:rPr>
        <w:t>买方</w:t>
      </w: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代表验收签字后，方可隐蔽和继续施工。</w:t>
      </w:r>
    </w:p>
    <w:p w14:paraId="23E4A00A">
      <w:pPr>
        <w:keepNext w:val="0"/>
        <w:keepLines w:val="0"/>
        <w:pageBreakBefore w:val="0"/>
        <w:widowControl/>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lang w:val="en-US" w:eastAsia="en-US" w:bidi="ar-SA"/>
          <w14:textFill>
            <w14:solidFill>
              <w14:schemeClr w14:val="tx1"/>
            </w14:solidFill>
          </w14:textFill>
        </w:rPr>
        <w:t>4.材料供应：用于工程的材料、设备应符合设计和规范要求，并附有合格证，否则不能用于此工程。</w:t>
      </w:r>
    </w:p>
    <w:p w14:paraId="1824ECA2">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合同的解除</w:t>
      </w:r>
    </w:p>
    <w:p w14:paraId="73F81032">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（1）如因卖方货物不符合质量要求，致使无法实现合同目的，买方有权拒收货物或解除合同，由此造成的一切法律责任和损失概由卖方承担。买方拒收货物或者解除合同后，货物毁损、丢失的风险由卖方承担。</w:t>
      </w:r>
    </w:p>
    <w:p w14:paraId="1E35E3C4">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2）若因卖方原因未能按时完工，每延迟一天，卖方应向买方支付安装工程价款百分之二的违约金；延期超过20天，买方有权解除合同并要求卖方承担安装工程价款20％的违约金。如延期完工对买方造成损失的，卖方还应据实赔偿买方所受的损失。</w:t>
      </w:r>
    </w:p>
    <w:p w14:paraId="2CF35B8E">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（3）卖方守约的情况下，买方延期付款的，每延迟一天，买方应向卖方支付逾期应付款千分之五的违约金。延期超过60天，卖方有权解除合同并要求买方承担安装工程价款20％的违约金。</w:t>
      </w:r>
    </w:p>
    <w:p w14:paraId="5DD36294">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不可抗力</w:t>
      </w:r>
    </w:p>
    <w:p w14:paraId="10526521">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执行通用合同条款。</w:t>
      </w:r>
    </w:p>
    <w:p w14:paraId="45A45E58">
      <w:pPr>
        <w:pStyle w:val="4"/>
        <w:spacing w:before="240" w:after="24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 争议的解决</w:t>
      </w:r>
    </w:p>
    <w:p w14:paraId="51AE2B85">
      <w:pPr>
        <w:ind w:firstLine="42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如双方在本合同履行过程中产生争议，应通过友好协商方式解决。如协商解决不成，可向电梯安装地人民法院提起诉讼，诉讼费用及胜诉方为此而支出的律师费用由败诉方承担。</w:t>
      </w:r>
    </w:p>
    <w:p w14:paraId="4F58BACC">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8EDA5EE">
      <w:pPr>
        <w:pStyle w:val="3"/>
        <w:spacing w:before="240" w:after="24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第三节 合同附件格式</w:t>
      </w:r>
    </w:p>
    <w:p w14:paraId="1AC984C6">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附件一：合同协议书</w:t>
      </w:r>
    </w:p>
    <w:p w14:paraId="76F41642">
      <w:pPr>
        <w:ind w:firstLine="0" w:firstLineChars="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合同协议书</w:t>
      </w:r>
    </w:p>
    <w:p w14:paraId="701CFE1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（买方名称，以下简称“买方”）为获得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（项目名称）合同设备和技术服务和质保期服务，已接受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（卖方名称，以下简称“卖方”）为提供上述合同设备和技术服务和质保期服务所作的投标，买方和卖方共同达成如下协议：</w:t>
      </w:r>
    </w:p>
    <w:p w14:paraId="5CB82A44">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 本协议书与下列文件一起构成合同文件：</w:t>
      </w:r>
    </w:p>
    <w:p w14:paraId="218293C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w:t>
      </w:r>
    </w:p>
    <w:p w14:paraId="65D71A8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（2）投标函；</w:t>
      </w:r>
    </w:p>
    <w:p w14:paraId="5F3DD28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（3）商务和技术偏差表；</w:t>
      </w:r>
    </w:p>
    <w:p w14:paraId="3132BF7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（4）专用合同条款；</w:t>
      </w:r>
    </w:p>
    <w:p w14:paraId="7D23E7EE">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（5）通用合同条款；</w:t>
      </w:r>
    </w:p>
    <w:p w14:paraId="4416641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（6）供货要求；</w:t>
      </w:r>
    </w:p>
    <w:p w14:paraId="196E7A6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（7）分项报价表；</w:t>
      </w:r>
    </w:p>
    <w:p w14:paraId="4F6FE4C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（8）中标设备技术性能指标的详细描述；</w:t>
      </w:r>
    </w:p>
    <w:p w14:paraId="443669A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（9）技术服务和质保期服务计划；</w:t>
      </w:r>
    </w:p>
    <w:p w14:paraId="08FBB49F">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（10）其他合同文件。</w:t>
      </w:r>
    </w:p>
    <w:p w14:paraId="13E14872">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2. 上述合同文件互相补充和解释。如果合同文件之间存在矛盾或不一致之处，以上述文件的排列顺序在先者为准。</w:t>
      </w:r>
    </w:p>
    <w:p w14:paraId="5C7BD6A5">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3. 签约合同价：人民币（大写）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39FEB10">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4. 卖方承诺保证完全按照合同约定提供合同设备和技术服务和质保期服务并修补缺陷。</w:t>
      </w:r>
    </w:p>
    <w:p w14:paraId="3370CF51">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5. 买方承诺保证按照合同约定的条件、时间和方式向卖方支付合同价款。</w:t>
      </w:r>
    </w:p>
    <w:p w14:paraId="364E4F23">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 本合同协议书一式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份，合同双方各执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27511826">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7. 合同未尽事宜，双方另行签订补充协议，补充协议是合同的组成部分。</w:t>
      </w:r>
    </w:p>
    <w:p w14:paraId="292F87C5">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买方：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盖单位章）</w:t>
      </w:r>
    </w:p>
    <w:p w14:paraId="060653C3">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p>
    <w:p w14:paraId="17347193">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0A499B4">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卖方：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056B7967">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p>
    <w:p w14:paraId="58D070A4">
      <w:pPr>
        <w:spacing w:before="240" w:beforeLines="100" w:after="240" w:afterLines="100"/>
        <w:ind w:firstLine="0" w:firstLineChars="0"/>
        <w:jc w:val="righ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08F6BF3">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34C2D578">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电梯数量、型号和价格汇总表</w:t>
      </w:r>
    </w:p>
    <w:p w14:paraId="57DCC31E">
      <w:pPr>
        <w:ind w:firstLine="0" w:firstLineChars="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电梯数量、型号和价格汇总表</w:t>
      </w:r>
    </w:p>
    <w:p w14:paraId="64775BC2">
      <w:pPr>
        <w:ind w:firstLine="422"/>
        <w:jc w:val="right"/>
        <w:rPr>
          <w:rFonts w:hint="eastAsia" w:ascii="宋体" w:hAnsi="宋体" w:eastAsia="宋体" w:cs="宋体"/>
          <w:b/>
          <w:sz w:val="24"/>
          <w:szCs w:val="24"/>
          <w:highlight w:val="none"/>
        </w:rPr>
      </w:pPr>
      <w:r>
        <w:rPr>
          <w:rFonts w:hint="eastAsia" w:ascii="宋体" w:hAnsi="宋体" w:eastAsia="宋体" w:cs="宋体"/>
          <w:b/>
          <w:sz w:val="24"/>
          <w:szCs w:val="24"/>
          <w:highlight w:val="none"/>
        </w:rPr>
        <w:t>单位：元</w:t>
      </w:r>
    </w:p>
    <w:tbl>
      <w:tblPr>
        <w:tblStyle w:val="8"/>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75"/>
        <w:gridCol w:w="1204"/>
        <w:gridCol w:w="948"/>
        <w:gridCol w:w="949"/>
        <w:gridCol w:w="865"/>
        <w:gridCol w:w="872"/>
        <w:gridCol w:w="1074"/>
        <w:gridCol w:w="1000"/>
        <w:gridCol w:w="994"/>
        <w:gridCol w:w="656"/>
      </w:tblGrid>
      <w:tr w14:paraId="6E14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40" w:type="dxa"/>
            <w:vMerge w:val="restart"/>
            <w:vAlign w:val="center"/>
          </w:tcPr>
          <w:p w14:paraId="05E7CDC8">
            <w:pPr>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序序号</w:t>
            </w:r>
          </w:p>
        </w:tc>
        <w:tc>
          <w:tcPr>
            <w:tcW w:w="1175" w:type="dxa"/>
            <w:vMerge w:val="restart"/>
            <w:vAlign w:val="center"/>
          </w:tcPr>
          <w:p w14:paraId="6DB5F725">
            <w:pPr>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楼号及梯号</w:t>
            </w:r>
          </w:p>
        </w:tc>
        <w:tc>
          <w:tcPr>
            <w:tcW w:w="1204" w:type="dxa"/>
            <w:vMerge w:val="restart"/>
            <w:vAlign w:val="center"/>
          </w:tcPr>
          <w:p w14:paraId="6AF0653F">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功能</w:t>
            </w:r>
          </w:p>
        </w:tc>
        <w:tc>
          <w:tcPr>
            <w:tcW w:w="948" w:type="dxa"/>
            <w:vMerge w:val="restart"/>
            <w:vAlign w:val="center"/>
          </w:tcPr>
          <w:p w14:paraId="113422CF">
            <w:pPr>
              <w:widowControl/>
              <w:spacing w:line="240" w:lineRule="auto"/>
              <w:ind w:firstLine="0" w:firstLineChars="0"/>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层/站/门</w:t>
            </w:r>
          </w:p>
        </w:tc>
        <w:tc>
          <w:tcPr>
            <w:tcW w:w="949" w:type="dxa"/>
            <w:vMerge w:val="restart"/>
            <w:vAlign w:val="center"/>
          </w:tcPr>
          <w:p w14:paraId="62C37B91">
            <w:pPr>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额定载重kg</w:t>
            </w:r>
          </w:p>
        </w:tc>
        <w:tc>
          <w:tcPr>
            <w:tcW w:w="865" w:type="dxa"/>
            <w:vMerge w:val="restart"/>
            <w:vAlign w:val="center"/>
          </w:tcPr>
          <w:p w14:paraId="627F94E2">
            <w:pPr>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额定  速度（m/s）</w:t>
            </w:r>
          </w:p>
        </w:tc>
        <w:tc>
          <w:tcPr>
            <w:tcW w:w="872" w:type="dxa"/>
            <w:vMerge w:val="restart"/>
            <w:vAlign w:val="center"/>
          </w:tcPr>
          <w:p w14:paraId="5BB918BA">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量（台）</w:t>
            </w:r>
          </w:p>
        </w:tc>
        <w:tc>
          <w:tcPr>
            <w:tcW w:w="3068" w:type="dxa"/>
            <w:gridSpan w:val="3"/>
            <w:vAlign w:val="center"/>
          </w:tcPr>
          <w:p w14:paraId="4E83196F">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设备单价（含运输费）</w:t>
            </w:r>
          </w:p>
        </w:tc>
        <w:tc>
          <w:tcPr>
            <w:tcW w:w="656" w:type="dxa"/>
            <w:vMerge w:val="restart"/>
            <w:vAlign w:val="center"/>
          </w:tcPr>
          <w:p w14:paraId="4C0CC7C1">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w:t>
            </w:r>
          </w:p>
        </w:tc>
      </w:tr>
      <w:tr w14:paraId="778CE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40" w:type="dxa"/>
            <w:vMerge w:val="continue"/>
            <w:vAlign w:val="center"/>
          </w:tcPr>
          <w:p w14:paraId="4C3158B5">
            <w:pPr>
              <w:spacing w:line="400" w:lineRule="exact"/>
              <w:ind w:firstLine="360"/>
              <w:jc w:val="center"/>
              <w:outlineLvl w:val="0"/>
              <w:rPr>
                <w:rFonts w:hint="eastAsia" w:ascii="宋体" w:hAnsi="宋体" w:eastAsia="宋体" w:cs="宋体"/>
                <w:bCs/>
                <w:sz w:val="24"/>
                <w:szCs w:val="24"/>
                <w:highlight w:val="none"/>
              </w:rPr>
            </w:pPr>
          </w:p>
        </w:tc>
        <w:tc>
          <w:tcPr>
            <w:tcW w:w="1175" w:type="dxa"/>
            <w:vMerge w:val="continue"/>
            <w:vAlign w:val="center"/>
          </w:tcPr>
          <w:p w14:paraId="6DF31435">
            <w:pPr>
              <w:spacing w:line="400" w:lineRule="exact"/>
              <w:ind w:firstLine="360"/>
              <w:jc w:val="center"/>
              <w:outlineLvl w:val="0"/>
              <w:rPr>
                <w:rFonts w:hint="eastAsia" w:ascii="宋体" w:hAnsi="宋体" w:eastAsia="宋体" w:cs="宋体"/>
                <w:bCs/>
                <w:sz w:val="24"/>
                <w:szCs w:val="24"/>
                <w:highlight w:val="none"/>
              </w:rPr>
            </w:pPr>
          </w:p>
        </w:tc>
        <w:tc>
          <w:tcPr>
            <w:tcW w:w="1204" w:type="dxa"/>
            <w:vMerge w:val="continue"/>
            <w:vAlign w:val="center"/>
          </w:tcPr>
          <w:p w14:paraId="65E20E33">
            <w:pPr>
              <w:spacing w:line="400" w:lineRule="exact"/>
              <w:ind w:firstLine="360"/>
              <w:jc w:val="center"/>
              <w:outlineLvl w:val="0"/>
              <w:rPr>
                <w:rFonts w:hint="eastAsia" w:ascii="宋体" w:hAnsi="宋体" w:eastAsia="宋体" w:cs="宋体"/>
                <w:bCs/>
                <w:sz w:val="24"/>
                <w:szCs w:val="24"/>
                <w:highlight w:val="none"/>
              </w:rPr>
            </w:pPr>
          </w:p>
        </w:tc>
        <w:tc>
          <w:tcPr>
            <w:tcW w:w="948" w:type="dxa"/>
            <w:vMerge w:val="continue"/>
            <w:vAlign w:val="center"/>
          </w:tcPr>
          <w:p w14:paraId="3BF7CFC0">
            <w:pPr>
              <w:widowControl/>
              <w:ind w:firstLine="360"/>
              <w:jc w:val="center"/>
              <w:textAlignment w:val="center"/>
              <w:rPr>
                <w:rFonts w:hint="eastAsia" w:ascii="宋体" w:hAnsi="宋体" w:eastAsia="宋体" w:cs="宋体"/>
                <w:bCs/>
                <w:sz w:val="24"/>
                <w:szCs w:val="24"/>
                <w:highlight w:val="none"/>
              </w:rPr>
            </w:pPr>
          </w:p>
        </w:tc>
        <w:tc>
          <w:tcPr>
            <w:tcW w:w="949" w:type="dxa"/>
            <w:vMerge w:val="continue"/>
            <w:vAlign w:val="center"/>
          </w:tcPr>
          <w:p w14:paraId="64976FBE">
            <w:pPr>
              <w:widowControl/>
              <w:ind w:firstLine="360"/>
              <w:jc w:val="center"/>
              <w:textAlignment w:val="center"/>
              <w:rPr>
                <w:rFonts w:hint="eastAsia" w:ascii="宋体" w:hAnsi="宋体" w:eastAsia="宋体" w:cs="宋体"/>
                <w:bCs/>
                <w:sz w:val="24"/>
                <w:szCs w:val="24"/>
                <w:highlight w:val="none"/>
              </w:rPr>
            </w:pPr>
          </w:p>
        </w:tc>
        <w:tc>
          <w:tcPr>
            <w:tcW w:w="865" w:type="dxa"/>
            <w:vMerge w:val="continue"/>
            <w:vAlign w:val="center"/>
          </w:tcPr>
          <w:p w14:paraId="0D4B8C65">
            <w:pPr>
              <w:widowControl/>
              <w:ind w:firstLine="360"/>
              <w:jc w:val="center"/>
              <w:textAlignment w:val="center"/>
              <w:rPr>
                <w:rFonts w:hint="eastAsia" w:ascii="宋体" w:hAnsi="宋体" w:eastAsia="宋体" w:cs="宋体"/>
                <w:bCs/>
                <w:sz w:val="24"/>
                <w:szCs w:val="24"/>
                <w:highlight w:val="none"/>
              </w:rPr>
            </w:pPr>
          </w:p>
        </w:tc>
        <w:tc>
          <w:tcPr>
            <w:tcW w:w="872" w:type="dxa"/>
            <w:vMerge w:val="continue"/>
            <w:vAlign w:val="center"/>
          </w:tcPr>
          <w:p w14:paraId="594D5A89">
            <w:pPr>
              <w:spacing w:line="400" w:lineRule="exact"/>
              <w:ind w:firstLine="360"/>
              <w:jc w:val="center"/>
              <w:outlineLvl w:val="0"/>
              <w:rPr>
                <w:rFonts w:hint="eastAsia" w:ascii="宋体" w:hAnsi="宋体" w:eastAsia="宋体" w:cs="宋体"/>
                <w:bCs/>
                <w:sz w:val="24"/>
                <w:szCs w:val="24"/>
                <w:highlight w:val="none"/>
              </w:rPr>
            </w:pPr>
          </w:p>
        </w:tc>
        <w:tc>
          <w:tcPr>
            <w:tcW w:w="1074" w:type="dxa"/>
            <w:vAlign w:val="center"/>
          </w:tcPr>
          <w:p w14:paraId="24DE03CD">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不含税单价</w:t>
            </w:r>
          </w:p>
        </w:tc>
        <w:tc>
          <w:tcPr>
            <w:tcW w:w="1000" w:type="dxa"/>
            <w:vAlign w:val="center"/>
          </w:tcPr>
          <w:p w14:paraId="14871456">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增值税</w:t>
            </w:r>
          </w:p>
        </w:tc>
        <w:tc>
          <w:tcPr>
            <w:tcW w:w="994" w:type="dxa"/>
            <w:vAlign w:val="center"/>
          </w:tcPr>
          <w:p w14:paraId="7F2842B8">
            <w:pPr>
              <w:spacing w:line="24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含税单价</w:t>
            </w:r>
          </w:p>
        </w:tc>
        <w:tc>
          <w:tcPr>
            <w:tcW w:w="656" w:type="dxa"/>
            <w:vMerge w:val="continue"/>
            <w:vAlign w:val="center"/>
          </w:tcPr>
          <w:p w14:paraId="71890A29">
            <w:pPr>
              <w:spacing w:line="240" w:lineRule="auto"/>
              <w:ind w:firstLine="0" w:firstLineChars="0"/>
              <w:jc w:val="center"/>
              <w:outlineLvl w:val="0"/>
              <w:rPr>
                <w:rFonts w:hint="eastAsia" w:ascii="宋体" w:hAnsi="宋体" w:eastAsia="宋体" w:cs="宋体"/>
                <w:bCs/>
                <w:sz w:val="24"/>
                <w:szCs w:val="24"/>
                <w:highlight w:val="none"/>
              </w:rPr>
            </w:pPr>
          </w:p>
        </w:tc>
      </w:tr>
      <w:tr w14:paraId="4CF5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53E40A8C">
            <w:pPr>
              <w:widowControl/>
              <w:ind w:firstLine="0" w:firstLineChars="0"/>
              <w:jc w:val="center"/>
              <w:textAlignment w:val="center"/>
              <w:rPr>
                <w:rFonts w:hint="eastAsia" w:ascii="宋体" w:hAnsi="宋体" w:eastAsia="宋体" w:cs="宋体"/>
                <w:bCs/>
                <w:sz w:val="24"/>
                <w:szCs w:val="24"/>
                <w:highlight w:val="none"/>
                <w:lang w:val="en-US"/>
              </w:rPr>
            </w:pPr>
          </w:p>
        </w:tc>
        <w:tc>
          <w:tcPr>
            <w:tcW w:w="1175" w:type="dxa"/>
            <w:vAlign w:val="center"/>
          </w:tcPr>
          <w:p w14:paraId="3507557F">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71A98843">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61B8DD55">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19BA591E">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0645C086">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6B161992">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1167D45C">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711C9E41">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5CCEEF50">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7C526BC9">
            <w:pPr>
              <w:spacing w:line="400" w:lineRule="exact"/>
              <w:ind w:firstLine="360"/>
              <w:outlineLvl w:val="0"/>
              <w:rPr>
                <w:rFonts w:hint="eastAsia" w:ascii="宋体" w:hAnsi="宋体" w:eastAsia="宋体" w:cs="宋体"/>
                <w:bCs/>
                <w:sz w:val="24"/>
                <w:szCs w:val="24"/>
                <w:highlight w:val="none"/>
              </w:rPr>
            </w:pPr>
          </w:p>
        </w:tc>
      </w:tr>
      <w:tr w14:paraId="6537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40C8745D">
            <w:pPr>
              <w:widowControl/>
              <w:ind w:firstLine="0" w:firstLineChars="0"/>
              <w:jc w:val="center"/>
              <w:textAlignment w:val="center"/>
              <w:rPr>
                <w:rFonts w:hint="eastAsia" w:ascii="宋体" w:hAnsi="宋体" w:eastAsia="宋体" w:cs="宋体"/>
                <w:bCs/>
                <w:sz w:val="24"/>
                <w:szCs w:val="24"/>
                <w:highlight w:val="none"/>
                <w:lang w:val="en-US"/>
              </w:rPr>
            </w:pPr>
          </w:p>
        </w:tc>
        <w:tc>
          <w:tcPr>
            <w:tcW w:w="1175" w:type="dxa"/>
            <w:vAlign w:val="center"/>
          </w:tcPr>
          <w:p w14:paraId="60CB4AC4">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13A8DBFF">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77D0D8C8">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70E70094">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17A49E71">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22A92C21">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29FEB2D5">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6394C444">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02E6F4C1">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2B158EC7">
            <w:pPr>
              <w:spacing w:line="400" w:lineRule="exact"/>
              <w:ind w:firstLine="360"/>
              <w:outlineLvl w:val="0"/>
              <w:rPr>
                <w:rFonts w:hint="eastAsia" w:ascii="宋体" w:hAnsi="宋体" w:eastAsia="宋体" w:cs="宋体"/>
                <w:bCs/>
                <w:sz w:val="24"/>
                <w:szCs w:val="24"/>
                <w:highlight w:val="none"/>
              </w:rPr>
            </w:pPr>
          </w:p>
        </w:tc>
      </w:tr>
      <w:tr w14:paraId="62B3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540" w:type="dxa"/>
            <w:vAlign w:val="center"/>
          </w:tcPr>
          <w:p w14:paraId="6909D35E">
            <w:pPr>
              <w:widowControl/>
              <w:ind w:firstLine="0" w:firstLineChars="0"/>
              <w:jc w:val="center"/>
              <w:textAlignment w:val="center"/>
              <w:rPr>
                <w:rFonts w:hint="eastAsia" w:ascii="宋体" w:hAnsi="宋体" w:eastAsia="宋体" w:cs="宋体"/>
                <w:bCs/>
                <w:sz w:val="24"/>
                <w:szCs w:val="24"/>
                <w:highlight w:val="none"/>
                <w:lang w:val="en-US"/>
              </w:rPr>
            </w:pPr>
          </w:p>
        </w:tc>
        <w:tc>
          <w:tcPr>
            <w:tcW w:w="1175" w:type="dxa"/>
            <w:vAlign w:val="center"/>
          </w:tcPr>
          <w:p w14:paraId="0FEC3F0D">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4075A4AC">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4E9BF6F3">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464DD662">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78B9E1C8">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3FD8E850">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3C188926">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05CC7AD4">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29332D82">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706EFACE">
            <w:pPr>
              <w:spacing w:line="400" w:lineRule="exact"/>
              <w:ind w:firstLine="360"/>
              <w:outlineLvl w:val="0"/>
              <w:rPr>
                <w:rFonts w:hint="eastAsia" w:ascii="宋体" w:hAnsi="宋体" w:eastAsia="宋体" w:cs="宋体"/>
                <w:bCs/>
                <w:sz w:val="24"/>
                <w:szCs w:val="24"/>
                <w:highlight w:val="none"/>
              </w:rPr>
            </w:pPr>
          </w:p>
        </w:tc>
      </w:tr>
      <w:tr w14:paraId="4073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5FC2614E">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2D433E44">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311087A2">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1ACD7543">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4240445E">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4EE15045">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136D81D7">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1D9EF3D4">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1F7C3799">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6BDFCCE9">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7F189416">
            <w:pPr>
              <w:spacing w:line="400" w:lineRule="exact"/>
              <w:ind w:firstLine="360"/>
              <w:outlineLvl w:val="0"/>
              <w:rPr>
                <w:rFonts w:hint="eastAsia" w:ascii="宋体" w:hAnsi="宋体" w:eastAsia="宋体" w:cs="宋体"/>
                <w:bCs/>
                <w:sz w:val="24"/>
                <w:szCs w:val="24"/>
                <w:highlight w:val="none"/>
              </w:rPr>
            </w:pPr>
          </w:p>
        </w:tc>
      </w:tr>
      <w:tr w14:paraId="50CB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612070C9">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227E9B9B">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408B10D2">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2DEAEAAF">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4B3FD01E">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58C9C91F">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3A9FD5B9">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5520C559">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11A7D80F">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5CF924AF">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755D67A4">
            <w:pPr>
              <w:spacing w:line="400" w:lineRule="exact"/>
              <w:ind w:firstLine="360"/>
              <w:outlineLvl w:val="0"/>
              <w:rPr>
                <w:rFonts w:hint="eastAsia" w:ascii="宋体" w:hAnsi="宋体" w:eastAsia="宋体" w:cs="宋体"/>
                <w:bCs/>
                <w:sz w:val="24"/>
                <w:szCs w:val="24"/>
                <w:highlight w:val="none"/>
              </w:rPr>
            </w:pPr>
          </w:p>
        </w:tc>
      </w:tr>
      <w:tr w14:paraId="4ABB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793C95CD">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2FB5A0B5">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2A7252C5">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1E7B4884">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524BCB39">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01DF747A">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42E1F65D">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7772F4A5">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7C5B14E9">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6B11D6B4">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2159C14A">
            <w:pPr>
              <w:spacing w:line="400" w:lineRule="exact"/>
              <w:ind w:firstLine="360"/>
              <w:outlineLvl w:val="0"/>
              <w:rPr>
                <w:rFonts w:hint="eastAsia" w:ascii="宋体" w:hAnsi="宋体" w:eastAsia="宋体" w:cs="宋体"/>
                <w:bCs/>
                <w:sz w:val="24"/>
                <w:szCs w:val="24"/>
                <w:highlight w:val="none"/>
              </w:rPr>
            </w:pPr>
          </w:p>
        </w:tc>
      </w:tr>
      <w:tr w14:paraId="4D6C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7CFEFDED">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5ECD0B73">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46982B01">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05328186">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0254CAC1">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13FFCE27">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10AB23C9">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6277DED5">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535B9D8B">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0679DCA5">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387A7662">
            <w:pPr>
              <w:spacing w:line="400" w:lineRule="exact"/>
              <w:ind w:firstLine="360"/>
              <w:outlineLvl w:val="0"/>
              <w:rPr>
                <w:rFonts w:hint="eastAsia" w:ascii="宋体" w:hAnsi="宋体" w:eastAsia="宋体" w:cs="宋体"/>
                <w:bCs/>
                <w:sz w:val="24"/>
                <w:szCs w:val="24"/>
                <w:highlight w:val="none"/>
              </w:rPr>
            </w:pPr>
          </w:p>
        </w:tc>
      </w:tr>
      <w:tr w14:paraId="1F35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233A90F4">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32C47FE6">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27B53006">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1C77268C">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3BF512DD">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0221F0CE">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5F6A86E5">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5FC3340D">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228A9206">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6D3645A8">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4DCA2B6C">
            <w:pPr>
              <w:spacing w:line="400" w:lineRule="exact"/>
              <w:ind w:firstLine="360"/>
              <w:outlineLvl w:val="0"/>
              <w:rPr>
                <w:rFonts w:hint="eastAsia" w:ascii="宋体" w:hAnsi="宋体" w:eastAsia="宋体" w:cs="宋体"/>
                <w:bCs/>
                <w:sz w:val="24"/>
                <w:szCs w:val="24"/>
                <w:highlight w:val="none"/>
              </w:rPr>
            </w:pPr>
          </w:p>
        </w:tc>
      </w:tr>
      <w:tr w14:paraId="16E5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25356681">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12FBA1D9">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151BF0BC">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711E875C">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773AE5D1">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6CAA3C08">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3317DCCB">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6C713142">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3EA90ABD">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683B0607">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2786EC65">
            <w:pPr>
              <w:spacing w:line="400" w:lineRule="exact"/>
              <w:ind w:firstLine="360"/>
              <w:outlineLvl w:val="0"/>
              <w:rPr>
                <w:rFonts w:hint="eastAsia" w:ascii="宋体" w:hAnsi="宋体" w:eastAsia="宋体" w:cs="宋体"/>
                <w:bCs/>
                <w:sz w:val="24"/>
                <w:szCs w:val="24"/>
                <w:highlight w:val="none"/>
              </w:rPr>
            </w:pPr>
          </w:p>
        </w:tc>
      </w:tr>
      <w:tr w14:paraId="311F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58AD7071">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23E96C1A">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2FBDC1CD">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082A8C89">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13C0D29E">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05A19435">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1F4F08C4">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2BA7BA86">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3EFF7234">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6CB43621">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06889874">
            <w:pPr>
              <w:spacing w:line="400" w:lineRule="exact"/>
              <w:ind w:firstLine="360"/>
              <w:outlineLvl w:val="0"/>
              <w:rPr>
                <w:rFonts w:hint="eastAsia" w:ascii="宋体" w:hAnsi="宋体" w:eastAsia="宋体" w:cs="宋体"/>
                <w:bCs/>
                <w:sz w:val="24"/>
                <w:szCs w:val="24"/>
                <w:highlight w:val="none"/>
              </w:rPr>
            </w:pPr>
          </w:p>
        </w:tc>
      </w:tr>
      <w:tr w14:paraId="5BA03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6179C3D0">
            <w:pPr>
              <w:widowControl/>
              <w:ind w:firstLine="0" w:firstLineChars="0"/>
              <w:jc w:val="center"/>
              <w:textAlignment w:val="center"/>
              <w:rPr>
                <w:rFonts w:hint="eastAsia" w:ascii="宋体" w:hAnsi="宋体" w:eastAsia="宋体" w:cs="宋体"/>
                <w:bCs/>
                <w:sz w:val="24"/>
                <w:szCs w:val="24"/>
                <w:highlight w:val="none"/>
              </w:rPr>
            </w:pPr>
          </w:p>
        </w:tc>
        <w:tc>
          <w:tcPr>
            <w:tcW w:w="1175" w:type="dxa"/>
            <w:vAlign w:val="center"/>
          </w:tcPr>
          <w:p w14:paraId="1D076D12">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6614DD98">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2C4B265D">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5A64476D">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2340F1BC">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6BAD5B7D">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5EEC47B0">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393FFE00">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20CFD62F">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42261461">
            <w:pPr>
              <w:spacing w:line="400" w:lineRule="exact"/>
              <w:ind w:firstLine="360"/>
              <w:outlineLvl w:val="0"/>
              <w:rPr>
                <w:rFonts w:hint="eastAsia" w:ascii="宋体" w:hAnsi="宋体" w:eastAsia="宋体" w:cs="宋体"/>
                <w:bCs/>
                <w:sz w:val="24"/>
                <w:szCs w:val="24"/>
                <w:highlight w:val="none"/>
              </w:rPr>
            </w:pPr>
          </w:p>
        </w:tc>
      </w:tr>
      <w:tr w14:paraId="5E86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40" w:type="dxa"/>
            <w:vAlign w:val="center"/>
          </w:tcPr>
          <w:p w14:paraId="25844C43">
            <w:pPr>
              <w:widowControl/>
              <w:ind w:firstLine="0" w:firstLineChars="0"/>
              <w:jc w:val="center"/>
              <w:textAlignment w:val="center"/>
              <w:rPr>
                <w:rFonts w:hint="eastAsia" w:ascii="宋体" w:hAnsi="宋体" w:eastAsia="宋体" w:cs="宋体"/>
                <w:bCs/>
                <w:sz w:val="24"/>
                <w:szCs w:val="24"/>
                <w:highlight w:val="none"/>
                <w:lang w:val="en-US"/>
              </w:rPr>
            </w:pPr>
          </w:p>
        </w:tc>
        <w:tc>
          <w:tcPr>
            <w:tcW w:w="1175" w:type="dxa"/>
            <w:vAlign w:val="center"/>
          </w:tcPr>
          <w:p w14:paraId="48AC3C04">
            <w:pPr>
              <w:widowControl/>
              <w:ind w:firstLine="0" w:firstLineChars="0"/>
              <w:textAlignment w:val="center"/>
              <w:rPr>
                <w:rFonts w:hint="eastAsia" w:ascii="宋体" w:hAnsi="宋体" w:eastAsia="宋体" w:cs="宋体"/>
                <w:bCs/>
                <w:sz w:val="24"/>
                <w:szCs w:val="24"/>
                <w:highlight w:val="none"/>
              </w:rPr>
            </w:pPr>
          </w:p>
        </w:tc>
        <w:tc>
          <w:tcPr>
            <w:tcW w:w="1204" w:type="dxa"/>
            <w:vAlign w:val="center"/>
          </w:tcPr>
          <w:p w14:paraId="044E88EB">
            <w:pPr>
              <w:widowControl/>
              <w:ind w:firstLine="0" w:firstLineChars="0"/>
              <w:textAlignment w:val="center"/>
              <w:rPr>
                <w:rFonts w:hint="eastAsia" w:ascii="宋体" w:hAnsi="宋体" w:eastAsia="宋体" w:cs="宋体"/>
                <w:bCs/>
                <w:sz w:val="24"/>
                <w:szCs w:val="24"/>
                <w:highlight w:val="none"/>
              </w:rPr>
            </w:pPr>
          </w:p>
        </w:tc>
        <w:tc>
          <w:tcPr>
            <w:tcW w:w="948" w:type="dxa"/>
            <w:vAlign w:val="center"/>
          </w:tcPr>
          <w:p w14:paraId="75AC45BA">
            <w:pPr>
              <w:widowControl/>
              <w:ind w:firstLine="0" w:firstLineChars="0"/>
              <w:jc w:val="center"/>
              <w:textAlignment w:val="center"/>
              <w:rPr>
                <w:rFonts w:hint="eastAsia" w:ascii="宋体" w:hAnsi="宋体" w:eastAsia="宋体" w:cs="宋体"/>
                <w:bCs/>
                <w:sz w:val="24"/>
                <w:szCs w:val="24"/>
                <w:highlight w:val="none"/>
              </w:rPr>
            </w:pPr>
          </w:p>
        </w:tc>
        <w:tc>
          <w:tcPr>
            <w:tcW w:w="949" w:type="dxa"/>
            <w:vAlign w:val="center"/>
          </w:tcPr>
          <w:p w14:paraId="1E7B2AE9">
            <w:pPr>
              <w:widowControl/>
              <w:ind w:firstLine="0" w:firstLineChars="0"/>
              <w:jc w:val="center"/>
              <w:textAlignment w:val="center"/>
              <w:rPr>
                <w:rFonts w:hint="eastAsia" w:ascii="宋体" w:hAnsi="宋体" w:eastAsia="宋体" w:cs="宋体"/>
                <w:bCs/>
                <w:sz w:val="24"/>
                <w:szCs w:val="24"/>
                <w:highlight w:val="none"/>
              </w:rPr>
            </w:pPr>
          </w:p>
        </w:tc>
        <w:tc>
          <w:tcPr>
            <w:tcW w:w="865" w:type="dxa"/>
            <w:vAlign w:val="center"/>
          </w:tcPr>
          <w:p w14:paraId="448714E8">
            <w:pPr>
              <w:widowControl/>
              <w:ind w:firstLine="0" w:firstLineChars="0"/>
              <w:jc w:val="center"/>
              <w:textAlignment w:val="center"/>
              <w:rPr>
                <w:rFonts w:hint="eastAsia" w:ascii="宋体" w:hAnsi="宋体" w:eastAsia="宋体" w:cs="宋体"/>
                <w:bCs/>
                <w:sz w:val="24"/>
                <w:szCs w:val="24"/>
                <w:highlight w:val="none"/>
              </w:rPr>
            </w:pPr>
          </w:p>
        </w:tc>
        <w:tc>
          <w:tcPr>
            <w:tcW w:w="872" w:type="dxa"/>
            <w:vAlign w:val="center"/>
          </w:tcPr>
          <w:p w14:paraId="33D0FEC4">
            <w:pPr>
              <w:spacing w:line="240" w:lineRule="auto"/>
              <w:ind w:firstLine="0" w:firstLineChars="0"/>
              <w:jc w:val="center"/>
              <w:rPr>
                <w:rFonts w:hint="eastAsia" w:ascii="宋体" w:hAnsi="宋体" w:eastAsia="宋体" w:cs="宋体"/>
                <w:sz w:val="24"/>
                <w:szCs w:val="24"/>
                <w:highlight w:val="none"/>
              </w:rPr>
            </w:pPr>
          </w:p>
        </w:tc>
        <w:tc>
          <w:tcPr>
            <w:tcW w:w="1074" w:type="dxa"/>
            <w:vAlign w:val="center"/>
          </w:tcPr>
          <w:p w14:paraId="4C72D125">
            <w:pPr>
              <w:spacing w:line="400" w:lineRule="exact"/>
              <w:ind w:firstLine="360"/>
              <w:jc w:val="center"/>
              <w:outlineLvl w:val="0"/>
              <w:rPr>
                <w:rFonts w:hint="eastAsia" w:ascii="宋体" w:hAnsi="宋体" w:eastAsia="宋体" w:cs="宋体"/>
                <w:bCs/>
                <w:sz w:val="24"/>
                <w:szCs w:val="24"/>
                <w:highlight w:val="none"/>
              </w:rPr>
            </w:pPr>
          </w:p>
        </w:tc>
        <w:tc>
          <w:tcPr>
            <w:tcW w:w="1000" w:type="dxa"/>
            <w:vAlign w:val="center"/>
          </w:tcPr>
          <w:p w14:paraId="3199769E">
            <w:pPr>
              <w:spacing w:line="400" w:lineRule="exact"/>
              <w:ind w:firstLine="360"/>
              <w:outlineLvl w:val="0"/>
              <w:rPr>
                <w:rFonts w:hint="eastAsia" w:ascii="宋体" w:hAnsi="宋体" w:eastAsia="宋体" w:cs="宋体"/>
                <w:bCs/>
                <w:sz w:val="24"/>
                <w:szCs w:val="24"/>
                <w:highlight w:val="none"/>
              </w:rPr>
            </w:pPr>
          </w:p>
        </w:tc>
        <w:tc>
          <w:tcPr>
            <w:tcW w:w="994" w:type="dxa"/>
            <w:vAlign w:val="center"/>
          </w:tcPr>
          <w:p w14:paraId="215B28AB">
            <w:pPr>
              <w:spacing w:line="400" w:lineRule="exact"/>
              <w:ind w:firstLine="360"/>
              <w:outlineLvl w:val="0"/>
              <w:rPr>
                <w:rFonts w:hint="eastAsia" w:ascii="宋体" w:hAnsi="宋体" w:eastAsia="宋体" w:cs="宋体"/>
                <w:bCs/>
                <w:sz w:val="24"/>
                <w:szCs w:val="24"/>
                <w:highlight w:val="none"/>
              </w:rPr>
            </w:pPr>
          </w:p>
        </w:tc>
        <w:tc>
          <w:tcPr>
            <w:tcW w:w="656" w:type="dxa"/>
            <w:vAlign w:val="center"/>
          </w:tcPr>
          <w:p w14:paraId="1EE044E7">
            <w:pPr>
              <w:spacing w:line="400" w:lineRule="exact"/>
              <w:ind w:firstLine="360"/>
              <w:outlineLvl w:val="0"/>
              <w:rPr>
                <w:rFonts w:hint="eastAsia" w:ascii="宋体" w:hAnsi="宋体" w:eastAsia="宋体" w:cs="宋体"/>
                <w:bCs/>
                <w:sz w:val="24"/>
                <w:szCs w:val="24"/>
                <w:highlight w:val="none"/>
              </w:rPr>
            </w:pPr>
          </w:p>
        </w:tc>
      </w:tr>
      <w:tr w14:paraId="01DF6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0277" w:type="dxa"/>
            <w:gridSpan w:val="11"/>
            <w:vAlign w:val="center"/>
          </w:tcPr>
          <w:p w14:paraId="0D08B370">
            <w:pPr>
              <w:ind w:firstLine="360"/>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r>
    </w:tbl>
    <w:p w14:paraId="5152C8D8">
      <w:pPr>
        <w:spacing w:before="240" w:beforeLines="100" w:after="240" w:afterLines="100"/>
        <w:ind w:right="1680" w:firstLine="0" w:firstLineChars="0"/>
        <w:rPr>
          <w:rFonts w:hint="eastAsia" w:ascii="宋体" w:hAnsi="宋体" w:eastAsia="宋体" w:cs="宋体"/>
          <w:sz w:val="24"/>
          <w:szCs w:val="24"/>
          <w:highlight w:val="none"/>
        </w:rPr>
      </w:pPr>
    </w:p>
    <w:p w14:paraId="66A5C81C">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5F1F032">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三：电梯供货清单</w:t>
      </w:r>
      <w:r>
        <w:rPr>
          <w:rFonts w:hint="eastAsia" w:ascii="宋体" w:hAnsi="宋体" w:eastAsia="宋体" w:cs="宋体"/>
          <w:sz w:val="24"/>
          <w:szCs w:val="24"/>
          <w:highlight w:val="none"/>
        </w:rPr>
        <w:t xml:space="preserve">  </w:t>
      </w:r>
    </w:p>
    <w:p w14:paraId="78313330">
      <w:pPr>
        <w:spacing w:line="400" w:lineRule="exact"/>
        <w:ind w:left="31" w:hanging="31" w:hangingChars="13"/>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电梯供货清单</w:t>
      </w:r>
    </w:p>
    <w:tbl>
      <w:tblPr>
        <w:tblStyle w:val="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270"/>
        <w:gridCol w:w="1198"/>
        <w:gridCol w:w="1607"/>
        <w:gridCol w:w="903"/>
        <w:gridCol w:w="1666"/>
        <w:gridCol w:w="1620"/>
      </w:tblGrid>
      <w:tr w14:paraId="636B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6455F3BE">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70" w:type="dxa"/>
            <w:vAlign w:val="center"/>
          </w:tcPr>
          <w:p w14:paraId="23C62DFB">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电梯编号</w:t>
            </w:r>
          </w:p>
        </w:tc>
        <w:tc>
          <w:tcPr>
            <w:tcW w:w="1198" w:type="dxa"/>
            <w:vAlign w:val="center"/>
          </w:tcPr>
          <w:p w14:paraId="3240B656">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电梯型号</w:t>
            </w:r>
          </w:p>
        </w:tc>
        <w:tc>
          <w:tcPr>
            <w:tcW w:w="1607" w:type="dxa"/>
            <w:vAlign w:val="center"/>
          </w:tcPr>
          <w:p w14:paraId="1D216FAF">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电梯使用楼号</w:t>
            </w:r>
          </w:p>
        </w:tc>
        <w:tc>
          <w:tcPr>
            <w:tcW w:w="903" w:type="dxa"/>
            <w:vAlign w:val="center"/>
          </w:tcPr>
          <w:p w14:paraId="56AFE29D">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台数</w:t>
            </w:r>
          </w:p>
        </w:tc>
        <w:tc>
          <w:tcPr>
            <w:tcW w:w="1666" w:type="dxa"/>
            <w:vAlign w:val="center"/>
          </w:tcPr>
          <w:p w14:paraId="369B49C1">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电梯约定进场时间</w:t>
            </w:r>
          </w:p>
        </w:tc>
        <w:tc>
          <w:tcPr>
            <w:tcW w:w="1620" w:type="dxa"/>
            <w:vAlign w:val="center"/>
          </w:tcPr>
          <w:p w14:paraId="20B850C0">
            <w:pPr>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电梯约定安装时间</w:t>
            </w:r>
          </w:p>
        </w:tc>
      </w:tr>
      <w:tr w14:paraId="0EDB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5084601D">
            <w:pPr>
              <w:ind w:firstLine="420"/>
              <w:jc w:val="center"/>
              <w:rPr>
                <w:rFonts w:hint="eastAsia" w:ascii="宋体" w:hAnsi="宋体" w:eastAsia="宋体" w:cs="宋体"/>
                <w:sz w:val="24"/>
                <w:szCs w:val="24"/>
                <w:highlight w:val="none"/>
              </w:rPr>
            </w:pPr>
          </w:p>
        </w:tc>
        <w:tc>
          <w:tcPr>
            <w:tcW w:w="1270" w:type="dxa"/>
            <w:vAlign w:val="center"/>
          </w:tcPr>
          <w:p w14:paraId="09372A21">
            <w:pPr>
              <w:ind w:firstLine="420"/>
              <w:jc w:val="center"/>
              <w:rPr>
                <w:rFonts w:hint="eastAsia" w:ascii="宋体" w:hAnsi="宋体" w:eastAsia="宋体" w:cs="宋体"/>
                <w:sz w:val="24"/>
                <w:szCs w:val="24"/>
                <w:highlight w:val="none"/>
              </w:rPr>
            </w:pPr>
          </w:p>
        </w:tc>
        <w:tc>
          <w:tcPr>
            <w:tcW w:w="1198" w:type="dxa"/>
            <w:vAlign w:val="center"/>
          </w:tcPr>
          <w:p w14:paraId="35493938">
            <w:pPr>
              <w:ind w:firstLine="420"/>
              <w:jc w:val="center"/>
              <w:rPr>
                <w:rFonts w:hint="eastAsia" w:ascii="宋体" w:hAnsi="宋体" w:eastAsia="宋体" w:cs="宋体"/>
                <w:sz w:val="24"/>
                <w:szCs w:val="24"/>
                <w:highlight w:val="none"/>
              </w:rPr>
            </w:pPr>
          </w:p>
        </w:tc>
        <w:tc>
          <w:tcPr>
            <w:tcW w:w="1607" w:type="dxa"/>
            <w:vAlign w:val="center"/>
          </w:tcPr>
          <w:p w14:paraId="305EB134">
            <w:pPr>
              <w:ind w:firstLine="420"/>
              <w:jc w:val="center"/>
              <w:rPr>
                <w:rFonts w:hint="eastAsia" w:ascii="宋体" w:hAnsi="宋体" w:eastAsia="宋体" w:cs="宋体"/>
                <w:sz w:val="24"/>
                <w:szCs w:val="24"/>
                <w:highlight w:val="none"/>
              </w:rPr>
            </w:pPr>
          </w:p>
        </w:tc>
        <w:tc>
          <w:tcPr>
            <w:tcW w:w="903" w:type="dxa"/>
            <w:vAlign w:val="center"/>
          </w:tcPr>
          <w:p w14:paraId="2F80AE4C">
            <w:pPr>
              <w:ind w:firstLine="420"/>
              <w:jc w:val="center"/>
              <w:rPr>
                <w:rFonts w:hint="eastAsia" w:ascii="宋体" w:hAnsi="宋体" w:eastAsia="宋体" w:cs="宋体"/>
                <w:sz w:val="24"/>
                <w:szCs w:val="24"/>
                <w:highlight w:val="none"/>
              </w:rPr>
            </w:pPr>
          </w:p>
        </w:tc>
        <w:tc>
          <w:tcPr>
            <w:tcW w:w="1666" w:type="dxa"/>
            <w:vAlign w:val="center"/>
          </w:tcPr>
          <w:p w14:paraId="57EC2352">
            <w:pPr>
              <w:ind w:firstLine="420"/>
              <w:jc w:val="center"/>
              <w:rPr>
                <w:rFonts w:hint="eastAsia" w:ascii="宋体" w:hAnsi="宋体" w:eastAsia="宋体" w:cs="宋体"/>
                <w:sz w:val="24"/>
                <w:szCs w:val="24"/>
                <w:highlight w:val="none"/>
              </w:rPr>
            </w:pPr>
          </w:p>
        </w:tc>
        <w:tc>
          <w:tcPr>
            <w:tcW w:w="1620" w:type="dxa"/>
            <w:vAlign w:val="center"/>
          </w:tcPr>
          <w:p w14:paraId="48BBCF13">
            <w:pPr>
              <w:ind w:firstLine="420"/>
              <w:jc w:val="center"/>
              <w:rPr>
                <w:rFonts w:hint="eastAsia" w:ascii="宋体" w:hAnsi="宋体" w:eastAsia="宋体" w:cs="宋体"/>
                <w:sz w:val="24"/>
                <w:szCs w:val="24"/>
                <w:highlight w:val="none"/>
              </w:rPr>
            </w:pPr>
          </w:p>
        </w:tc>
      </w:tr>
      <w:tr w14:paraId="5450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240492CD">
            <w:pPr>
              <w:ind w:firstLine="420"/>
              <w:jc w:val="center"/>
              <w:rPr>
                <w:rFonts w:hint="eastAsia" w:ascii="宋体" w:hAnsi="宋体" w:eastAsia="宋体" w:cs="宋体"/>
                <w:sz w:val="24"/>
                <w:szCs w:val="24"/>
                <w:highlight w:val="none"/>
              </w:rPr>
            </w:pPr>
          </w:p>
        </w:tc>
        <w:tc>
          <w:tcPr>
            <w:tcW w:w="1270" w:type="dxa"/>
            <w:vAlign w:val="center"/>
          </w:tcPr>
          <w:p w14:paraId="7E091C6E">
            <w:pPr>
              <w:ind w:firstLine="420"/>
              <w:jc w:val="center"/>
              <w:rPr>
                <w:rFonts w:hint="eastAsia" w:ascii="宋体" w:hAnsi="宋体" w:eastAsia="宋体" w:cs="宋体"/>
                <w:sz w:val="24"/>
                <w:szCs w:val="24"/>
                <w:highlight w:val="none"/>
              </w:rPr>
            </w:pPr>
          </w:p>
        </w:tc>
        <w:tc>
          <w:tcPr>
            <w:tcW w:w="1198" w:type="dxa"/>
            <w:vAlign w:val="center"/>
          </w:tcPr>
          <w:p w14:paraId="0EB0ACFB">
            <w:pPr>
              <w:ind w:firstLine="420"/>
              <w:jc w:val="center"/>
              <w:rPr>
                <w:rFonts w:hint="eastAsia" w:ascii="宋体" w:hAnsi="宋体" w:eastAsia="宋体" w:cs="宋体"/>
                <w:sz w:val="24"/>
                <w:szCs w:val="24"/>
                <w:highlight w:val="none"/>
              </w:rPr>
            </w:pPr>
          </w:p>
        </w:tc>
        <w:tc>
          <w:tcPr>
            <w:tcW w:w="1607" w:type="dxa"/>
            <w:vAlign w:val="center"/>
          </w:tcPr>
          <w:p w14:paraId="78F73DEB">
            <w:pPr>
              <w:ind w:firstLine="420"/>
              <w:jc w:val="center"/>
              <w:rPr>
                <w:rFonts w:hint="eastAsia" w:ascii="宋体" w:hAnsi="宋体" w:eastAsia="宋体" w:cs="宋体"/>
                <w:sz w:val="24"/>
                <w:szCs w:val="24"/>
                <w:highlight w:val="none"/>
              </w:rPr>
            </w:pPr>
          </w:p>
        </w:tc>
        <w:tc>
          <w:tcPr>
            <w:tcW w:w="903" w:type="dxa"/>
            <w:vAlign w:val="center"/>
          </w:tcPr>
          <w:p w14:paraId="6BF62704">
            <w:pPr>
              <w:ind w:firstLine="420"/>
              <w:jc w:val="center"/>
              <w:rPr>
                <w:rFonts w:hint="eastAsia" w:ascii="宋体" w:hAnsi="宋体" w:eastAsia="宋体" w:cs="宋体"/>
                <w:sz w:val="24"/>
                <w:szCs w:val="24"/>
                <w:highlight w:val="none"/>
              </w:rPr>
            </w:pPr>
          </w:p>
        </w:tc>
        <w:tc>
          <w:tcPr>
            <w:tcW w:w="1666" w:type="dxa"/>
            <w:vAlign w:val="center"/>
          </w:tcPr>
          <w:p w14:paraId="467532B7">
            <w:pPr>
              <w:ind w:firstLine="420"/>
              <w:jc w:val="center"/>
              <w:rPr>
                <w:rFonts w:hint="eastAsia" w:ascii="宋体" w:hAnsi="宋体" w:eastAsia="宋体" w:cs="宋体"/>
                <w:sz w:val="24"/>
                <w:szCs w:val="24"/>
                <w:highlight w:val="none"/>
              </w:rPr>
            </w:pPr>
          </w:p>
        </w:tc>
        <w:tc>
          <w:tcPr>
            <w:tcW w:w="1620" w:type="dxa"/>
            <w:vAlign w:val="center"/>
          </w:tcPr>
          <w:p w14:paraId="7116967F">
            <w:pPr>
              <w:ind w:firstLine="420"/>
              <w:jc w:val="center"/>
              <w:rPr>
                <w:rFonts w:hint="eastAsia" w:ascii="宋体" w:hAnsi="宋体" w:eastAsia="宋体" w:cs="宋体"/>
                <w:sz w:val="24"/>
                <w:szCs w:val="24"/>
                <w:highlight w:val="none"/>
              </w:rPr>
            </w:pPr>
          </w:p>
        </w:tc>
      </w:tr>
      <w:tr w14:paraId="10B4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32C6FA60">
            <w:pPr>
              <w:ind w:firstLine="420"/>
              <w:jc w:val="center"/>
              <w:rPr>
                <w:rFonts w:hint="eastAsia" w:ascii="宋体" w:hAnsi="宋体" w:eastAsia="宋体" w:cs="宋体"/>
                <w:sz w:val="24"/>
                <w:szCs w:val="24"/>
                <w:highlight w:val="none"/>
              </w:rPr>
            </w:pPr>
          </w:p>
        </w:tc>
        <w:tc>
          <w:tcPr>
            <w:tcW w:w="1270" w:type="dxa"/>
            <w:vAlign w:val="center"/>
          </w:tcPr>
          <w:p w14:paraId="29693BC9">
            <w:pPr>
              <w:ind w:firstLine="420"/>
              <w:jc w:val="center"/>
              <w:rPr>
                <w:rFonts w:hint="eastAsia" w:ascii="宋体" w:hAnsi="宋体" w:eastAsia="宋体" w:cs="宋体"/>
                <w:sz w:val="24"/>
                <w:szCs w:val="24"/>
                <w:highlight w:val="none"/>
              </w:rPr>
            </w:pPr>
          </w:p>
        </w:tc>
        <w:tc>
          <w:tcPr>
            <w:tcW w:w="1198" w:type="dxa"/>
            <w:vAlign w:val="center"/>
          </w:tcPr>
          <w:p w14:paraId="618FD34D">
            <w:pPr>
              <w:ind w:firstLine="420"/>
              <w:jc w:val="center"/>
              <w:rPr>
                <w:rFonts w:hint="eastAsia" w:ascii="宋体" w:hAnsi="宋体" w:eastAsia="宋体" w:cs="宋体"/>
                <w:sz w:val="24"/>
                <w:szCs w:val="24"/>
                <w:highlight w:val="none"/>
              </w:rPr>
            </w:pPr>
          </w:p>
        </w:tc>
        <w:tc>
          <w:tcPr>
            <w:tcW w:w="1607" w:type="dxa"/>
            <w:vAlign w:val="center"/>
          </w:tcPr>
          <w:p w14:paraId="0541205D">
            <w:pPr>
              <w:ind w:firstLine="420"/>
              <w:jc w:val="center"/>
              <w:rPr>
                <w:rFonts w:hint="eastAsia" w:ascii="宋体" w:hAnsi="宋体" w:eastAsia="宋体" w:cs="宋体"/>
                <w:sz w:val="24"/>
                <w:szCs w:val="24"/>
                <w:highlight w:val="none"/>
              </w:rPr>
            </w:pPr>
          </w:p>
        </w:tc>
        <w:tc>
          <w:tcPr>
            <w:tcW w:w="903" w:type="dxa"/>
            <w:vAlign w:val="center"/>
          </w:tcPr>
          <w:p w14:paraId="6FD58491">
            <w:pPr>
              <w:ind w:firstLine="420"/>
              <w:jc w:val="center"/>
              <w:rPr>
                <w:rFonts w:hint="eastAsia" w:ascii="宋体" w:hAnsi="宋体" w:eastAsia="宋体" w:cs="宋体"/>
                <w:sz w:val="24"/>
                <w:szCs w:val="24"/>
                <w:highlight w:val="none"/>
              </w:rPr>
            </w:pPr>
          </w:p>
        </w:tc>
        <w:tc>
          <w:tcPr>
            <w:tcW w:w="1666" w:type="dxa"/>
            <w:vAlign w:val="center"/>
          </w:tcPr>
          <w:p w14:paraId="78F9D9B4">
            <w:pPr>
              <w:ind w:firstLine="420"/>
              <w:jc w:val="center"/>
              <w:rPr>
                <w:rFonts w:hint="eastAsia" w:ascii="宋体" w:hAnsi="宋体" w:eastAsia="宋体" w:cs="宋体"/>
                <w:sz w:val="24"/>
                <w:szCs w:val="24"/>
                <w:highlight w:val="none"/>
              </w:rPr>
            </w:pPr>
          </w:p>
        </w:tc>
        <w:tc>
          <w:tcPr>
            <w:tcW w:w="1620" w:type="dxa"/>
            <w:vAlign w:val="center"/>
          </w:tcPr>
          <w:p w14:paraId="1FA7C11B">
            <w:pPr>
              <w:ind w:firstLine="420"/>
              <w:jc w:val="center"/>
              <w:rPr>
                <w:rFonts w:hint="eastAsia" w:ascii="宋体" w:hAnsi="宋体" w:eastAsia="宋体" w:cs="宋体"/>
                <w:sz w:val="24"/>
                <w:szCs w:val="24"/>
                <w:highlight w:val="none"/>
              </w:rPr>
            </w:pPr>
          </w:p>
        </w:tc>
      </w:tr>
      <w:tr w14:paraId="5502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4F1FCFD8">
            <w:pPr>
              <w:ind w:firstLine="420"/>
              <w:jc w:val="center"/>
              <w:rPr>
                <w:rFonts w:hint="eastAsia" w:ascii="宋体" w:hAnsi="宋体" w:eastAsia="宋体" w:cs="宋体"/>
                <w:sz w:val="24"/>
                <w:szCs w:val="24"/>
                <w:highlight w:val="none"/>
              </w:rPr>
            </w:pPr>
          </w:p>
        </w:tc>
        <w:tc>
          <w:tcPr>
            <w:tcW w:w="1270" w:type="dxa"/>
            <w:vAlign w:val="center"/>
          </w:tcPr>
          <w:p w14:paraId="3902A019">
            <w:pPr>
              <w:ind w:firstLine="420"/>
              <w:jc w:val="center"/>
              <w:rPr>
                <w:rFonts w:hint="eastAsia" w:ascii="宋体" w:hAnsi="宋体" w:eastAsia="宋体" w:cs="宋体"/>
                <w:sz w:val="24"/>
                <w:szCs w:val="24"/>
                <w:highlight w:val="none"/>
              </w:rPr>
            </w:pPr>
          </w:p>
        </w:tc>
        <w:tc>
          <w:tcPr>
            <w:tcW w:w="1198" w:type="dxa"/>
            <w:vAlign w:val="center"/>
          </w:tcPr>
          <w:p w14:paraId="271CE2F5">
            <w:pPr>
              <w:ind w:firstLine="420"/>
              <w:jc w:val="center"/>
              <w:rPr>
                <w:rFonts w:hint="eastAsia" w:ascii="宋体" w:hAnsi="宋体" w:eastAsia="宋体" w:cs="宋体"/>
                <w:sz w:val="24"/>
                <w:szCs w:val="24"/>
                <w:highlight w:val="none"/>
              </w:rPr>
            </w:pPr>
          </w:p>
        </w:tc>
        <w:tc>
          <w:tcPr>
            <w:tcW w:w="1607" w:type="dxa"/>
            <w:vAlign w:val="center"/>
          </w:tcPr>
          <w:p w14:paraId="4D14DD50">
            <w:pPr>
              <w:ind w:firstLine="420"/>
              <w:jc w:val="center"/>
              <w:rPr>
                <w:rFonts w:hint="eastAsia" w:ascii="宋体" w:hAnsi="宋体" w:eastAsia="宋体" w:cs="宋体"/>
                <w:sz w:val="24"/>
                <w:szCs w:val="24"/>
                <w:highlight w:val="none"/>
              </w:rPr>
            </w:pPr>
          </w:p>
        </w:tc>
        <w:tc>
          <w:tcPr>
            <w:tcW w:w="903" w:type="dxa"/>
            <w:vAlign w:val="center"/>
          </w:tcPr>
          <w:p w14:paraId="5940D11D">
            <w:pPr>
              <w:ind w:firstLine="420"/>
              <w:jc w:val="center"/>
              <w:rPr>
                <w:rFonts w:hint="eastAsia" w:ascii="宋体" w:hAnsi="宋体" w:eastAsia="宋体" w:cs="宋体"/>
                <w:sz w:val="24"/>
                <w:szCs w:val="24"/>
                <w:highlight w:val="none"/>
              </w:rPr>
            </w:pPr>
          </w:p>
        </w:tc>
        <w:tc>
          <w:tcPr>
            <w:tcW w:w="1666" w:type="dxa"/>
            <w:vAlign w:val="center"/>
          </w:tcPr>
          <w:p w14:paraId="08D41132">
            <w:pPr>
              <w:ind w:firstLine="420"/>
              <w:jc w:val="center"/>
              <w:rPr>
                <w:rFonts w:hint="eastAsia" w:ascii="宋体" w:hAnsi="宋体" w:eastAsia="宋体" w:cs="宋体"/>
                <w:sz w:val="24"/>
                <w:szCs w:val="24"/>
                <w:highlight w:val="none"/>
              </w:rPr>
            </w:pPr>
          </w:p>
        </w:tc>
        <w:tc>
          <w:tcPr>
            <w:tcW w:w="1620" w:type="dxa"/>
            <w:vAlign w:val="center"/>
          </w:tcPr>
          <w:p w14:paraId="267C709C">
            <w:pPr>
              <w:ind w:firstLine="420"/>
              <w:jc w:val="center"/>
              <w:rPr>
                <w:rFonts w:hint="eastAsia" w:ascii="宋体" w:hAnsi="宋体" w:eastAsia="宋体" w:cs="宋体"/>
                <w:sz w:val="24"/>
                <w:szCs w:val="24"/>
                <w:highlight w:val="none"/>
              </w:rPr>
            </w:pPr>
          </w:p>
        </w:tc>
      </w:tr>
      <w:tr w14:paraId="383AD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76" w:type="dxa"/>
            <w:vAlign w:val="center"/>
          </w:tcPr>
          <w:p w14:paraId="58930934">
            <w:pPr>
              <w:ind w:firstLine="420"/>
              <w:jc w:val="center"/>
              <w:rPr>
                <w:rFonts w:hint="eastAsia" w:ascii="宋体" w:hAnsi="宋体" w:eastAsia="宋体" w:cs="宋体"/>
                <w:sz w:val="24"/>
                <w:szCs w:val="24"/>
                <w:highlight w:val="none"/>
              </w:rPr>
            </w:pPr>
          </w:p>
        </w:tc>
        <w:tc>
          <w:tcPr>
            <w:tcW w:w="1270" w:type="dxa"/>
            <w:vAlign w:val="center"/>
          </w:tcPr>
          <w:p w14:paraId="6A85165C">
            <w:pPr>
              <w:ind w:firstLine="420"/>
              <w:jc w:val="center"/>
              <w:rPr>
                <w:rFonts w:hint="eastAsia" w:ascii="宋体" w:hAnsi="宋体" w:eastAsia="宋体" w:cs="宋体"/>
                <w:sz w:val="24"/>
                <w:szCs w:val="24"/>
                <w:highlight w:val="none"/>
              </w:rPr>
            </w:pPr>
          </w:p>
        </w:tc>
        <w:tc>
          <w:tcPr>
            <w:tcW w:w="1198" w:type="dxa"/>
            <w:vAlign w:val="center"/>
          </w:tcPr>
          <w:p w14:paraId="0C770DC7">
            <w:pPr>
              <w:ind w:firstLine="420"/>
              <w:jc w:val="center"/>
              <w:rPr>
                <w:rFonts w:hint="eastAsia" w:ascii="宋体" w:hAnsi="宋体" w:eastAsia="宋体" w:cs="宋体"/>
                <w:sz w:val="24"/>
                <w:szCs w:val="24"/>
                <w:highlight w:val="none"/>
              </w:rPr>
            </w:pPr>
          </w:p>
        </w:tc>
        <w:tc>
          <w:tcPr>
            <w:tcW w:w="1607" w:type="dxa"/>
            <w:vAlign w:val="center"/>
          </w:tcPr>
          <w:p w14:paraId="6D75D251">
            <w:pPr>
              <w:ind w:firstLine="420"/>
              <w:jc w:val="center"/>
              <w:rPr>
                <w:rFonts w:hint="eastAsia" w:ascii="宋体" w:hAnsi="宋体" w:eastAsia="宋体" w:cs="宋体"/>
                <w:sz w:val="24"/>
                <w:szCs w:val="24"/>
                <w:highlight w:val="none"/>
              </w:rPr>
            </w:pPr>
          </w:p>
        </w:tc>
        <w:tc>
          <w:tcPr>
            <w:tcW w:w="903" w:type="dxa"/>
            <w:vAlign w:val="center"/>
          </w:tcPr>
          <w:p w14:paraId="219EDDAD">
            <w:pPr>
              <w:ind w:firstLine="420"/>
              <w:jc w:val="center"/>
              <w:rPr>
                <w:rFonts w:hint="eastAsia" w:ascii="宋体" w:hAnsi="宋体" w:eastAsia="宋体" w:cs="宋体"/>
                <w:sz w:val="24"/>
                <w:szCs w:val="24"/>
                <w:highlight w:val="none"/>
              </w:rPr>
            </w:pPr>
          </w:p>
        </w:tc>
        <w:tc>
          <w:tcPr>
            <w:tcW w:w="1666" w:type="dxa"/>
            <w:vAlign w:val="center"/>
          </w:tcPr>
          <w:p w14:paraId="17335E11">
            <w:pPr>
              <w:ind w:firstLine="420"/>
              <w:jc w:val="center"/>
              <w:rPr>
                <w:rFonts w:hint="eastAsia" w:ascii="宋体" w:hAnsi="宋体" w:eastAsia="宋体" w:cs="宋体"/>
                <w:sz w:val="24"/>
                <w:szCs w:val="24"/>
                <w:highlight w:val="none"/>
              </w:rPr>
            </w:pPr>
          </w:p>
        </w:tc>
        <w:tc>
          <w:tcPr>
            <w:tcW w:w="1620" w:type="dxa"/>
            <w:vAlign w:val="center"/>
          </w:tcPr>
          <w:p w14:paraId="4126116C">
            <w:pPr>
              <w:ind w:firstLine="420"/>
              <w:jc w:val="center"/>
              <w:rPr>
                <w:rFonts w:hint="eastAsia" w:ascii="宋体" w:hAnsi="宋体" w:eastAsia="宋体" w:cs="宋体"/>
                <w:sz w:val="24"/>
                <w:szCs w:val="24"/>
                <w:highlight w:val="none"/>
              </w:rPr>
            </w:pPr>
          </w:p>
        </w:tc>
      </w:tr>
    </w:tbl>
    <w:p w14:paraId="6598BA1F">
      <w:pPr>
        <w:spacing w:before="240" w:beforeLines="100" w:after="240" w:afterLines="100"/>
        <w:ind w:right="1680" w:firstLine="0" w:firstLineChars="0"/>
        <w:rPr>
          <w:rFonts w:hint="eastAsia" w:ascii="宋体" w:hAnsi="宋体" w:eastAsia="宋体" w:cs="宋体"/>
          <w:sz w:val="24"/>
          <w:szCs w:val="24"/>
          <w:highlight w:val="none"/>
        </w:rPr>
      </w:pPr>
    </w:p>
    <w:p w14:paraId="54BB7DA2">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72A896D9">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电梯技术规格</w:t>
      </w:r>
    </w:p>
    <w:p w14:paraId="664979C4">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A7426F1">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电梯部件产地清单</w:t>
      </w:r>
    </w:p>
    <w:p w14:paraId="3FB8270E">
      <w:pPr>
        <w:widowControl/>
        <w:autoSpaceDE/>
        <w:autoSpaceDN/>
        <w:spacing w:line="24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E7F006E">
      <w:pPr>
        <w:pStyle w:val="4"/>
        <w:spacing w:before="240" w:after="240"/>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设备的随机备品备件、易损件、专用工具明细表</w:t>
      </w:r>
    </w:p>
    <w:p w14:paraId="4CD4BF46">
      <w:pPr>
        <w:spacing w:line="400" w:lineRule="exact"/>
        <w:ind w:firstLine="48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报价内的随机备品备件、易损件明细表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1276"/>
        <w:gridCol w:w="1134"/>
        <w:gridCol w:w="1276"/>
        <w:gridCol w:w="1559"/>
        <w:gridCol w:w="1134"/>
      </w:tblGrid>
      <w:tr w14:paraId="1623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0281CE1C">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693" w:type="dxa"/>
            <w:tcBorders>
              <w:top w:val="single" w:color="auto" w:sz="4" w:space="0"/>
              <w:left w:val="single" w:color="auto" w:sz="4" w:space="0"/>
              <w:bottom w:val="single" w:color="auto" w:sz="4" w:space="0"/>
              <w:right w:val="single" w:color="auto" w:sz="4" w:space="0"/>
            </w:tcBorders>
            <w:vAlign w:val="center"/>
          </w:tcPr>
          <w:p w14:paraId="1DB51279">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备品备件、易损件名称</w:t>
            </w:r>
          </w:p>
        </w:tc>
        <w:tc>
          <w:tcPr>
            <w:tcW w:w="1276" w:type="dxa"/>
            <w:tcBorders>
              <w:top w:val="single" w:color="auto" w:sz="4" w:space="0"/>
              <w:left w:val="single" w:color="auto" w:sz="4" w:space="0"/>
              <w:bottom w:val="single" w:color="auto" w:sz="4" w:space="0"/>
              <w:right w:val="single" w:color="auto" w:sz="4" w:space="0"/>
            </w:tcBorders>
            <w:vAlign w:val="center"/>
          </w:tcPr>
          <w:p w14:paraId="2759FB64">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1134" w:type="dxa"/>
            <w:tcBorders>
              <w:top w:val="single" w:color="auto" w:sz="4" w:space="0"/>
              <w:left w:val="single" w:color="auto" w:sz="4" w:space="0"/>
              <w:bottom w:val="single" w:color="auto" w:sz="4" w:space="0"/>
              <w:right w:val="single" w:color="auto" w:sz="4" w:space="0"/>
            </w:tcBorders>
            <w:vAlign w:val="center"/>
          </w:tcPr>
          <w:p w14:paraId="3FBEEFF5">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1187CA38">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1559" w:type="dxa"/>
            <w:tcBorders>
              <w:top w:val="single" w:color="auto" w:sz="4" w:space="0"/>
              <w:left w:val="single" w:color="auto" w:sz="4" w:space="0"/>
              <w:bottom w:val="single" w:color="auto" w:sz="4" w:space="0"/>
              <w:right w:val="single" w:color="auto" w:sz="4" w:space="0"/>
            </w:tcBorders>
            <w:vAlign w:val="center"/>
          </w:tcPr>
          <w:p w14:paraId="7B7BFB0C">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134" w:type="dxa"/>
            <w:tcBorders>
              <w:top w:val="single" w:color="auto" w:sz="4" w:space="0"/>
              <w:left w:val="single" w:color="auto" w:sz="4" w:space="0"/>
              <w:bottom w:val="single" w:color="auto" w:sz="4" w:space="0"/>
              <w:right w:val="single" w:color="auto" w:sz="4" w:space="0"/>
            </w:tcBorders>
            <w:vAlign w:val="center"/>
          </w:tcPr>
          <w:p w14:paraId="7FD662FA">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4FAD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9932FA3">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693" w:type="dxa"/>
            <w:tcBorders>
              <w:top w:val="single" w:color="auto" w:sz="4" w:space="0"/>
              <w:left w:val="single" w:color="auto" w:sz="4" w:space="0"/>
              <w:bottom w:val="single" w:color="auto" w:sz="4" w:space="0"/>
              <w:right w:val="single" w:color="auto" w:sz="4" w:space="0"/>
            </w:tcBorders>
            <w:vAlign w:val="center"/>
          </w:tcPr>
          <w:p w14:paraId="177F6FBC">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5644A11">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49A43F5">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52F83DC">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620BF048">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BC91BDE">
            <w:pPr>
              <w:spacing w:line="400" w:lineRule="exact"/>
              <w:ind w:firstLine="480"/>
              <w:jc w:val="center"/>
              <w:rPr>
                <w:rFonts w:hint="eastAsia" w:ascii="宋体" w:hAnsi="宋体" w:eastAsia="宋体" w:cs="宋体"/>
                <w:sz w:val="24"/>
                <w:szCs w:val="24"/>
                <w:highlight w:val="none"/>
              </w:rPr>
            </w:pPr>
          </w:p>
        </w:tc>
      </w:tr>
      <w:tr w14:paraId="4F5DF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54172F5">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693" w:type="dxa"/>
            <w:tcBorders>
              <w:top w:val="single" w:color="auto" w:sz="4" w:space="0"/>
              <w:left w:val="single" w:color="auto" w:sz="4" w:space="0"/>
              <w:bottom w:val="single" w:color="auto" w:sz="4" w:space="0"/>
              <w:right w:val="single" w:color="auto" w:sz="4" w:space="0"/>
            </w:tcBorders>
            <w:vAlign w:val="center"/>
          </w:tcPr>
          <w:p w14:paraId="0EE6E9FC">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F68DEC3">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60103B7">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49F367C">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7ECFFFB">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A9E81B7">
            <w:pPr>
              <w:spacing w:line="400" w:lineRule="exact"/>
              <w:ind w:firstLine="480"/>
              <w:jc w:val="center"/>
              <w:rPr>
                <w:rFonts w:hint="eastAsia" w:ascii="宋体" w:hAnsi="宋体" w:eastAsia="宋体" w:cs="宋体"/>
                <w:sz w:val="24"/>
                <w:szCs w:val="24"/>
                <w:highlight w:val="none"/>
              </w:rPr>
            </w:pPr>
          </w:p>
        </w:tc>
      </w:tr>
      <w:tr w14:paraId="1B43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6EE592F1">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693" w:type="dxa"/>
            <w:tcBorders>
              <w:top w:val="single" w:color="auto" w:sz="4" w:space="0"/>
              <w:left w:val="single" w:color="auto" w:sz="4" w:space="0"/>
              <w:bottom w:val="single" w:color="auto" w:sz="4" w:space="0"/>
              <w:right w:val="single" w:color="auto" w:sz="4" w:space="0"/>
            </w:tcBorders>
            <w:vAlign w:val="center"/>
          </w:tcPr>
          <w:p w14:paraId="011D577E">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C572BF8">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3133CD8">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ECAB94F">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F3B1E2F">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7128D0C">
            <w:pPr>
              <w:spacing w:line="400" w:lineRule="exact"/>
              <w:ind w:firstLine="480"/>
              <w:jc w:val="center"/>
              <w:rPr>
                <w:rFonts w:hint="eastAsia" w:ascii="宋体" w:hAnsi="宋体" w:eastAsia="宋体" w:cs="宋体"/>
                <w:sz w:val="24"/>
                <w:szCs w:val="24"/>
                <w:highlight w:val="none"/>
              </w:rPr>
            </w:pPr>
          </w:p>
        </w:tc>
      </w:tr>
      <w:tr w14:paraId="2012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FC0B93D">
            <w:pPr>
              <w:spacing w:line="400" w:lineRule="exact"/>
              <w:ind w:firstLine="0" w:firstLineChars="0"/>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4EBB6F08">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745B96">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5B69E32">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8272986">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DAF5F47">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2BE280E">
            <w:pPr>
              <w:spacing w:line="400" w:lineRule="exact"/>
              <w:ind w:firstLine="480"/>
              <w:jc w:val="center"/>
              <w:rPr>
                <w:rFonts w:hint="eastAsia" w:ascii="宋体" w:hAnsi="宋体" w:eastAsia="宋体" w:cs="宋体"/>
                <w:sz w:val="24"/>
                <w:szCs w:val="24"/>
                <w:highlight w:val="none"/>
              </w:rPr>
            </w:pPr>
          </w:p>
        </w:tc>
      </w:tr>
      <w:tr w14:paraId="4F50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44A0AEBC">
            <w:pPr>
              <w:spacing w:line="400" w:lineRule="exact"/>
              <w:ind w:firstLine="0" w:firstLineChars="0"/>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2B31575D">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25679DE">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B77C4B3">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F39623B">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47392493">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66274C7">
            <w:pPr>
              <w:spacing w:line="400" w:lineRule="exact"/>
              <w:ind w:firstLine="480"/>
              <w:jc w:val="center"/>
              <w:rPr>
                <w:rFonts w:hint="eastAsia" w:ascii="宋体" w:hAnsi="宋体" w:eastAsia="宋体" w:cs="宋体"/>
                <w:sz w:val="24"/>
                <w:szCs w:val="24"/>
                <w:highlight w:val="none"/>
              </w:rPr>
            </w:pPr>
          </w:p>
        </w:tc>
      </w:tr>
      <w:tr w14:paraId="6B36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14139AA">
            <w:pPr>
              <w:spacing w:line="400" w:lineRule="exact"/>
              <w:ind w:firstLine="0" w:firstLineChars="0"/>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69A483D6">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C0DB735">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F5660B">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8CD5AFB">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8BD4AB6">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AAA78C">
            <w:pPr>
              <w:spacing w:line="400" w:lineRule="exact"/>
              <w:ind w:firstLine="480"/>
              <w:jc w:val="center"/>
              <w:rPr>
                <w:rFonts w:hint="eastAsia" w:ascii="宋体" w:hAnsi="宋体" w:eastAsia="宋体" w:cs="宋体"/>
                <w:sz w:val="24"/>
                <w:szCs w:val="24"/>
                <w:highlight w:val="none"/>
              </w:rPr>
            </w:pPr>
          </w:p>
        </w:tc>
      </w:tr>
      <w:tr w14:paraId="191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78FCC13">
            <w:pPr>
              <w:spacing w:line="400" w:lineRule="exact"/>
              <w:ind w:firstLine="0" w:firstLineChars="0"/>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155AE080">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8DD57B9">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96C6CB2">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6C12ACA">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6AC35421">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8E77582">
            <w:pPr>
              <w:spacing w:line="400" w:lineRule="exact"/>
              <w:ind w:firstLine="480"/>
              <w:jc w:val="center"/>
              <w:rPr>
                <w:rFonts w:hint="eastAsia" w:ascii="宋体" w:hAnsi="宋体" w:eastAsia="宋体" w:cs="宋体"/>
                <w:sz w:val="24"/>
                <w:szCs w:val="24"/>
                <w:highlight w:val="none"/>
              </w:rPr>
            </w:pPr>
          </w:p>
        </w:tc>
      </w:tr>
    </w:tbl>
    <w:p w14:paraId="6B01A68A">
      <w:pPr>
        <w:ind w:firstLine="482"/>
        <w:jc w:val="center"/>
        <w:rPr>
          <w:rFonts w:hint="eastAsia" w:ascii="宋体" w:hAnsi="宋体" w:eastAsia="宋体" w:cs="宋体"/>
          <w:b/>
          <w:bCs/>
          <w:sz w:val="24"/>
          <w:szCs w:val="24"/>
          <w:highlight w:val="none"/>
        </w:rPr>
      </w:pPr>
    </w:p>
    <w:p w14:paraId="28CFA9DB">
      <w:pPr>
        <w:ind w:firstLine="482"/>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总价外长期优惠供应的备品备件、易损件价格明细表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1276"/>
        <w:gridCol w:w="1134"/>
        <w:gridCol w:w="1276"/>
        <w:gridCol w:w="1559"/>
        <w:gridCol w:w="1134"/>
      </w:tblGrid>
      <w:tr w14:paraId="4103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1032B260">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693" w:type="dxa"/>
            <w:tcBorders>
              <w:top w:val="single" w:color="auto" w:sz="4" w:space="0"/>
              <w:left w:val="single" w:color="auto" w:sz="4" w:space="0"/>
              <w:bottom w:val="single" w:color="auto" w:sz="4" w:space="0"/>
              <w:right w:val="single" w:color="auto" w:sz="4" w:space="0"/>
            </w:tcBorders>
            <w:vAlign w:val="center"/>
          </w:tcPr>
          <w:p w14:paraId="67D0E8E5">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备品备件、易损件名称</w:t>
            </w:r>
          </w:p>
        </w:tc>
        <w:tc>
          <w:tcPr>
            <w:tcW w:w="1276" w:type="dxa"/>
            <w:tcBorders>
              <w:top w:val="single" w:color="auto" w:sz="4" w:space="0"/>
              <w:left w:val="single" w:color="auto" w:sz="4" w:space="0"/>
              <w:bottom w:val="single" w:color="auto" w:sz="4" w:space="0"/>
              <w:right w:val="single" w:color="auto" w:sz="4" w:space="0"/>
            </w:tcBorders>
            <w:vAlign w:val="center"/>
          </w:tcPr>
          <w:p w14:paraId="3B6584B1">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型号规格</w:t>
            </w:r>
          </w:p>
        </w:tc>
        <w:tc>
          <w:tcPr>
            <w:tcW w:w="1134" w:type="dxa"/>
            <w:tcBorders>
              <w:top w:val="single" w:color="auto" w:sz="4" w:space="0"/>
              <w:left w:val="single" w:color="auto" w:sz="4" w:space="0"/>
              <w:bottom w:val="single" w:color="auto" w:sz="4" w:space="0"/>
              <w:right w:val="single" w:color="auto" w:sz="4" w:space="0"/>
            </w:tcBorders>
            <w:vAlign w:val="center"/>
          </w:tcPr>
          <w:p w14:paraId="34040DB0">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39A1A8D7">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1559" w:type="dxa"/>
            <w:tcBorders>
              <w:top w:val="single" w:color="auto" w:sz="4" w:space="0"/>
              <w:left w:val="single" w:color="auto" w:sz="4" w:space="0"/>
              <w:bottom w:val="single" w:color="auto" w:sz="4" w:space="0"/>
              <w:right w:val="single" w:color="auto" w:sz="4" w:space="0"/>
            </w:tcBorders>
            <w:vAlign w:val="center"/>
          </w:tcPr>
          <w:p w14:paraId="07105EFE">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134" w:type="dxa"/>
            <w:tcBorders>
              <w:top w:val="single" w:color="auto" w:sz="4" w:space="0"/>
              <w:left w:val="single" w:color="auto" w:sz="4" w:space="0"/>
              <w:bottom w:val="single" w:color="auto" w:sz="4" w:space="0"/>
              <w:right w:val="single" w:color="auto" w:sz="4" w:space="0"/>
            </w:tcBorders>
            <w:vAlign w:val="center"/>
          </w:tcPr>
          <w:p w14:paraId="35172480">
            <w:pPr>
              <w:spacing w:line="400" w:lineRule="exact"/>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6861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17" w:type="dxa"/>
            <w:tcBorders>
              <w:top w:val="nil"/>
              <w:left w:val="single" w:color="auto" w:sz="4" w:space="0"/>
              <w:bottom w:val="single" w:color="auto" w:sz="4" w:space="0"/>
              <w:right w:val="single" w:color="auto" w:sz="4" w:space="0"/>
            </w:tcBorders>
            <w:vAlign w:val="center"/>
          </w:tcPr>
          <w:p w14:paraId="23A6F41C">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693" w:type="dxa"/>
            <w:tcBorders>
              <w:top w:val="nil"/>
              <w:left w:val="single" w:color="auto" w:sz="4" w:space="0"/>
              <w:bottom w:val="single" w:color="auto" w:sz="4" w:space="0"/>
              <w:right w:val="single" w:color="auto" w:sz="4" w:space="0"/>
            </w:tcBorders>
            <w:vAlign w:val="center"/>
          </w:tcPr>
          <w:p w14:paraId="4B7FC808">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2BA587">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1EEE313">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4D63B4A">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E6DC65D">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A7B7E96">
            <w:pPr>
              <w:spacing w:line="400" w:lineRule="exact"/>
              <w:ind w:firstLine="480"/>
              <w:jc w:val="center"/>
              <w:rPr>
                <w:rFonts w:hint="eastAsia" w:ascii="宋体" w:hAnsi="宋体" w:eastAsia="宋体" w:cs="宋体"/>
                <w:sz w:val="24"/>
                <w:szCs w:val="24"/>
                <w:highlight w:val="none"/>
              </w:rPr>
            </w:pPr>
          </w:p>
        </w:tc>
      </w:tr>
      <w:tr w14:paraId="6B93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17" w:type="dxa"/>
            <w:tcBorders>
              <w:top w:val="nil"/>
              <w:left w:val="single" w:color="auto" w:sz="4" w:space="0"/>
              <w:bottom w:val="single" w:color="auto" w:sz="4" w:space="0"/>
              <w:right w:val="single" w:color="auto" w:sz="4" w:space="0"/>
            </w:tcBorders>
            <w:vAlign w:val="center"/>
          </w:tcPr>
          <w:p w14:paraId="6ABD6992">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693" w:type="dxa"/>
            <w:tcBorders>
              <w:top w:val="nil"/>
              <w:left w:val="single" w:color="auto" w:sz="4" w:space="0"/>
              <w:bottom w:val="single" w:color="auto" w:sz="4" w:space="0"/>
              <w:right w:val="single" w:color="auto" w:sz="4" w:space="0"/>
            </w:tcBorders>
            <w:vAlign w:val="center"/>
          </w:tcPr>
          <w:p w14:paraId="73556988">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387FC2C">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7D83DFB">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3C13800">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351AD64">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0A81AB6">
            <w:pPr>
              <w:spacing w:line="400" w:lineRule="exact"/>
              <w:ind w:firstLine="480"/>
              <w:jc w:val="center"/>
              <w:rPr>
                <w:rFonts w:hint="eastAsia" w:ascii="宋体" w:hAnsi="宋体" w:eastAsia="宋体" w:cs="宋体"/>
                <w:sz w:val="24"/>
                <w:szCs w:val="24"/>
                <w:highlight w:val="none"/>
              </w:rPr>
            </w:pPr>
          </w:p>
        </w:tc>
      </w:tr>
      <w:tr w14:paraId="6F7E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0F64E7F2">
            <w:pPr>
              <w:spacing w:line="400" w:lineRule="exact"/>
              <w:ind w:firstLine="199" w:firstLineChars="83"/>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693" w:type="dxa"/>
            <w:tcBorders>
              <w:top w:val="single" w:color="auto" w:sz="4" w:space="0"/>
              <w:left w:val="single" w:color="auto" w:sz="4" w:space="0"/>
              <w:bottom w:val="single" w:color="auto" w:sz="4" w:space="0"/>
              <w:right w:val="single" w:color="auto" w:sz="4" w:space="0"/>
            </w:tcBorders>
            <w:vAlign w:val="center"/>
          </w:tcPr>
          <w:p w14:paraId="132B713B">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86DEE5A">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E1F5B40">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E137726">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F5777B5">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A495139">
            <w:pPr>
              <w:spacing w:line="400" w:lineRule="exact"/>
              <w:ind w:firstLine="480"/>
              <w:jc w:val="center"/>
              <w:rPr>
                <w:rFonts w:hint="eastAsia" w:ascii="宋体" w:hAnsi="宋体" w:eastAsia="宋体" w:cs="宋体"/>
                <w:sz w:val="24"/>
                <w:szCs w:val="24"/>
                <w:highlight w:val="none"/>
              </w:rPr>
            </w:pPr>
          </w:p>
        </w:tc>
      </w:tr>
      <w:tr w14:paraId="79D7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518A20FB">
            <w:pPr>
              <w:spacing w:line="400" w:lineRule="exact"/>
              <w:ind w:firstLine="0" w:firstLineChars="0"/>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503661E5">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5E542AF">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9C0B9BE">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F5FDF1">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9DFF55A">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13C0E98">
            <w:pPr>
              <w:spacing w:line="400" w:lineRule="exact"/>
              <w:ind w:firstLine="480"/>
              <w:jc w:val="center"/>
              <w:rPr>
                <w:rFonts w:hint="eastAsia" w:ascii="宋体" w:hAnsi="宋体" w:eastAsia="宋体" w:cs="宋体"/>
                <w:sz w:val="24"/>
                <w:szCs w:val="24"/>
                <w:highlight w:val="none"/>
              </w:rPr>
            </w:pPr>
          </w:p>
        </w:tc>
      </w:tr>
      <w:tr w14:paraId="3B22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578D8BAD">
            <w:pPr>
              <w:spacing w:line="400" w:lineRule="exact"/>
              <w:ind w:firstLine="199" w:firstLineChars="83"/>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059FF7A4">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74FA14">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1EACB7C">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204465B">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8403388">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E7D8693">
            <w:pPr>
              <w:spacing w:line="400" w:lineRule="exact"/>
              <w:ind w:firstLine="480"/>
              <w:jc w:val="center"/>
              <w:rPr>
                <w:rFonts w:hint="eastAsia" w:ascii="宋体" w:hAnsi="宋体" w:eastAsia="宋体" w:cs="宋体"/>
                <w:sz w:val="24"/>
                <w:szCs w:val="24"/>
                <w:highlight w:val="none"/>
              </w:rPr>
            </w:pPr>
          </w:p>
        </w:tc>
      </w:tr>
      <w:tr w14:paraId="3F5C5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16B1CB1E">
            <w:pPr>
              <w:spacing w:line="400" w:lineRule="exact"/>
              <w:ind w:firstLine="199" w:firstLineChars="83"/>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1AA2A080">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BE50944">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FB9C674">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B3AFFE8">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573E5BA">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D4D0FE6">
            <w:pPr>
              <w:spacing w:line="400" w:lineRule="exact"/>
              <w:ind w:firstLine="480"/>
              <w:jc w:val="center"/>
              <w:rPr>
                <w:rFonts w:hint="eastAsia" w:ascii="宋体" w:hAnsi="宋体" w:eastAsia="宋体" w:cs="宋体"/>
                <w:sz w:val="24"/>
                <w:szCs w:val="24"/>
                <w:highlight w:val="none"/>
              </w:rPr>
            </w:pPr>
          </w:p>
        </w:tc>
      </w:tr>
      <w:tr w14:paraId="12F2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31D6C24A">
            <w:pPr>
              <w:spacing w:line="400" w:lineRule="exact"/>
              <w:ind w:firstLine="199" w:firstLineChars="83"/>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01D48184">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695F56D4">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6A7CAC0">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FD86DF">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191B9EC">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A63BEF4">
            <w:pPr>
              <w:spacing w:line="400" w:lineRule="exact"/>
              <w:ind w:firstLine="480"/>
              <w:jc w:val="center"/>
              <w:rPr>
                <w:rFonts w:hint="eastAsia" w:ascii="宋体" w:hAnsi="宋体" w:eastAsia="宋体" w:cs="宋体"/>
                <w:sz w:val="24"/>
                <w:szCs w:val="24"/>
                <w:highlight w:val="none"/>
              </w:rPr>
            </w:pPr>
          </w:p>
        </w:tc>
      </w:tr>
      <w:tr w14:paraId="35BF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14:paraId="6A674654">
            <w:pPr>
              <w:spacing w:line="400" w:lineRule="exact"/>
              <w:ind w:firstLine="199" w:firstLineChars="83"/>
              <w:rPr>
                <w:rFonts w:hint="eastAsia" w:ascii="宋体" w:hAnsi="宋体" w:eastAsia="宋体" w:cs="宋体"/>
                <w:sz w:val="24"/>
                <w:szCs w:val="24"/>
                <w:highlight w:val="none"/>
              </w:rPr>
            </w:pPr>
          </w:p>
        </w:tc>
        <w:tc>
          <w:tcPr>
            <w:tcW w:w="2693" w:type="dxa"/>
            <w:tcBorders>
              <w:top w:val="single" w:color="auto" w:sz="4" w:space="0"/>
              <w:left w:val="single" w:color="auto" w:sz="4" w:space="0"/>
              <w:bottom w:val="single" w:color="auto" w:sz="4" w:space="0"/>
              <w:right w:val="single" w:color="auto" w:sz="4" w:space="0"/>
            </w:tcBorders>
            <w:vAlign w:val="center"/>
          </w:tcPr>
          <w:p w14:paraId="3C5DB465">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C29B882">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B402569">
            <w:pPr>
              <w:spacing w:line="400" w:lineRule="exact"/>
              <w:ind w:firstLine="480"/>
              <w:jc w:val="center"/>
              <w:rPr>
                <w:rFonts w:hint="eastAsia" w:ascii="宋体" w:hAnsi="宋体" w:eastAsia="宋体" w:cs="宋体"/>
                <w:sz w:val="24"/>
                <w:szCs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E9CE834">
            <w:pPr>
              <w:spacing w:line="400" w:lineRule="exact"/>
              <w:ind w:firstLine="480"/>
              <w:jc w:val="center"/>
              <w:rPr>
                <w:rFonts w:hint="eastAsia" w:ascii="宋体" w:hAnsi="宋体" w:eastAsia="宋体" w:cs="宋体"/>
                <w:sz w:val="24"/>
                <w:szCs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487B706">
            <w:pPr>
              <w:spacing w:line="400" w:lineRule="exact"/>
              <w:ind w:firstLine="480"/>
              <w:jc w:val="center"/>
              <w:rPr>
                <w:rFonts w:hint="eastAsia" w:ascii="宋体" w:hAnsi="宋体" w:eastAsia="宋体" w:cs="宋体"/>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41B0072">
            <w:pPr>
              <w:spacing w:line="400" w:lineRule="exact"/>
              <w:ind w:firstLine="480"/>
              <w:jc w:val="center"/>
              <w:rPr>
                <w:rFonts w:hint="eastAsia" w:ascii="宋体" w:hAnsi="宋体" w:eastAsia="宋体" w:cs="宋体"/>
                <w:sz w:val="24"/>
                <w:szCs w:val="24"/>
                <w:highlight w:val="none"/>
              </w:rPr>
            </w:pPr>
          </w:p>
        </w:tc>
      </w:tr>
    </w:tbl>
    <w:p w14:paraId="6CA4224E">
      <w:pPr>
        <w:spacing w:before="240" w:beforeLines="100" w:after="240" w:afterLines="100"/>
        <w:ind w:right="1680" w:firstLine="0" w:firstLineChars="0"/>
        <w:rPr>
          <w:rFonts w:hint="eastAsia" w:ascii="宋体" w:hAnsi="宋体" w:eastAsia="宋体" w:cs="宋体"/>
          <w:sz w:val="24"/>
          <w:szCs w:val="24"/>
          <w:highlight w:val="none"/>
        </w:rPr>
      </w:pPr>
    </w:p>
    <w:p w14:paraId="0C560E94">
      <w:pPr>
        <w:widowControl/>
        <w:autoSpaceDE/>
        <w:autoSpaceDN/>
        <w:spacing w:line="240" w:lineRule="auto"/>
        <w:ind w:firstLine="0" w:firstLineChars="0"/>
        <w:rPr>
          <w:rFonts w:hint="eastAsia" w:ascii="宋体" w:hAnsi="宋体" w:eastAsia="宋体" w:cs="宋体"/>
          <w:sz w:val="24"/>
          <w:szCs w:val="24"/>
          <w:highlight w:val="none"/>
        </w:rPr>
      </w:pPr>
      <w:bookmarkStart w:id="1" w:name="_bookmark147"/>
      <w:bookmarkEnd w:id="1"/>
    </w:p>
    <w:p w14:paraId="209B8A5E">
      <w:pPr>
        <w:rPr>
          <w:rFonts w:hint="default" w:ascii="宋体" w:hAnsi="宋体" w:eastAsia="宋体" w:cs="宋体"/>
          <w:b/>
          <w:bCs/>
          <w:snapToGrid w:val="0"/>
          <w:color w:val="000000"/>
          <w:kern w:val="0"/>
          <w:sz w:val="24"/>
          <w:szCs w:val="24"/>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03B98"/>
    <w:rsid w:val="0165060B"/>
    <w:rsid w:val="03F23901"/>
    <w:rsid w:val="1E140EE8"/>
    <w:rsid w:val="2A997AF3"/>
    <w:rsid w:val="343A7D68"/>
    <w:rsid w:val="3C1F03E3"/>
    <w:rsid w:val="47A3011A"/>
    <w:rsid w:val="52703B98"/>
    <w:rsid w:val="73E15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3"/>
    <w:qFormat/>
    <w:uiPriority w:val="0"/>
    <w:pPr>
      <w:keepNext/>
      <w:keepLines/>
      <w:spacing w:beforeLines="0" w:beforeAutospacing="0" w:after="20" w:afterLines="0" w:afterAutospacing="0" w:line="360" w:lineRule="auto"/>
      <w:jc w:val="center"/>
      <w:outlineLvl w:val="0"/>
    </w:pPr>
    <w:rPr>
      <w:rFonts w:ascii="Arial" w:hAnsi="Arial" w:eastAsia="Arial"/>
      <w:b/>
      <w:kern w:val="44"/>
      <w:sz w:val="44"/>
    </w:rPr>
  </w:style>
  <w:style w:type="paragraph" w:styleId="3">
    <w:name w:val="heading 2"/>
    <w:basedOn w:val="1"/>
    <w:next w:val="1"/>
    <w:qFormat/>
    <w:uiPriority w:val="1"/>
    <w:pPr>
      <w:spacing w:before="100" w:beforeLines="100" w:after="100" w:afterLines="100"/>
      <w:ind w:firstLine="0" w:firstLineChars="0"/>
      <w:outlineLvl w:val="1"/>
    </w:pPr>
    <w:rPr>
      <w:b/>
      <w:bCs/>
      <w:sz w:val="28"/>
      <w:szCs w:val="28"/>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正文1"/>
    <w:next w:val="11"/>
    <w:qFormat/>
    <w:uiPriority w:val="0"/>
    <w:pPr>
      <w:jc w:val="both"/>
    </w:pPr>
    <w:rPr>
      <w:rFonts w:ascii="Times New Roman" w:hAnsi="Times New Roman" w:eastAsia="宋体" w:cs="Times New Roman"/>
      <w:kern w:val="2"/>
      <w:sz w:val="21"/>
      <w:szCs w:val="21"/>
      <w:lang w:val="en-US" w:eastAsia="zh-CN" w:bidi="ar-SA"/>
    </w:rPr>
  </w:style>
  <w:style w:type="paragraph" w:customStyle="1" w:styleId="11">
    <w:name w:val="样式 样式 正文缩进正文（首行缩进两字）正文2 + 首行缩进:  2 字符 + 首行缩进:  2 字符"/>
    <w:basedOn w:val="1"/>
    <w:qFormat/>
    <w:uiPriority w:val="0"/>
    <w:pPr>
      <w:adjustRightInd w:val="0"/>
      <w:snapToGrid w:val="0"/>
      <w:spacing w:after="200" w:line="324" w:lineRule="auto"/>
      <w:ind w:firstLine="600"/>
    </w:pPr>
    <w:rPr>
      <w:rFonts w:ascii="Tahoma" w:hAnsi="宋体" w:eastAsia="微软雅黑" w:cs="宋体"/>
      <w:sz w:val="28"/>
    </w:rPr>
  </w:style>
  <w:style w:type="paragraph" w:customStyle="1" w:styleId="12">
    <w:name w:val="Table Text"/>
    <w:basedOn w:val="1"/>
    <w:semiHidden/>
    <w:qFormat/>
    <w:uiPriority w:val="0"/>
    <w:rPr>
      <w:rFonts w:ascii="宋体" w:hAnsi="宋体" w:eastAsia="宋体" w:cs="宋体"/>
      <w:sz w:val="24"/>
      <w:szCs w:val="24"/>
      <w:lang w:val="en-US" w:eastAsia="en-US" w:bidi="ar-SA"/>
    </w:rPr>
  </w:style>
  <w:style w:type="character" w:customStyle="1" w:styleId="13">
    <w:name w:val="标题 1 字符"/>
    <w:link w:val="2"/>
    <w:qFormat/>
    <w:uiPriority w:val="99"/>
    <w:rPr>
      <w:rFonts w:ascii="Arial" w:hAnsi="Arial" w:eastAsia="Arial"/>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17014</Words>
  <Characters>17826</Characters>
  <Lines>0</Lines>
  <Paragraphs>0</Paragraphs>
  <TotalTime>2</TotalTime>
  <ScaleCrop>false</ScaleCrop>
  <LinksUpToDate>false</LinksUpToDate>
  <CharactersWithSpaces>18509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2026-07-07T00:37:00Z</dcterms:created>
  <dc:creator>胜玉</dc:creator>
  <cp:lastModifiedBy>胜玉</cp:lastModifiedBy>
  <dcterms:modified xsi:type="dcterms:W3CDTF">2026-07-07T06:26:35Z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C7408A08E2AF422AAFD39A53E97D9429_13</vt:lpwstr>
  </property>
  <property fmtid="{D5CDD505-2E9C-101B-9397-08002B2CF9AE}" pid="4" name="KSOTemplateDocerSaveRecord">
    <vt:lpwstr>eyJoZGlkIjoiNjNkNmJiMWI3NDg4ZWY5NmY5MThkYTczYWFmNDFiNTYiLCJ1c2VySWQiOiIyNDE2MTUxMDMifQ==</vt:lpwstr>
  </property>
</Properties>
</file>