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FEDD164">
      <w:pPr>
        <w:pStyle w:val="17"/>
        <w:outlineLvl w:val="2"/>
        <w:rPr>
          <w:rFonts w:hint="default"/>
        </w:rPr>
      </w:pPr>
      <w:r>
        <w:rPr>
          <w:rFonts w:ascii="仿宋_GB2312" w:hAnsi="仿宋_GB2312" w:eastAsia="仿宋_GB2312" w:cs="仿宋_GB2312"/>
          <w:b/>
          <w:sz w:val="28"/>
        </w:rPr>
        <w:t>3.2采购内容</w:t>
      </w:r>
    </w:p>
    <w:p w14:paraId="2186BE73">
      <w:pPr>
        <w:pStyle w:val="17"/>
        <w:rPr>
          <w:rFonts w:hint="default"/>
        </w:rPr>
      </w:pPr>
      <w:r>
        <w:rPr>
          <w:rFonts w:ascii="仿宋_GB2312" w:hAnsi="仿宋_GB2312" w:eastAsia="仿宋_GB2312" w:cs="仿宋_GB2312"/>
        </w:rPr>
        <w:t>采购包1：</w:t>
      </w:r>
    </w:p>
    <w:p w14:paraId="49450271">
      <w:pPr>
        <w:pStyle w:val="17"/>
        <w:rPr>
          <w:rFonts w:hint="default" w:eastAsia="仿宋_GB2312"/>
          <w:lang w:eastAsia="zh-CN"/>
        </w:rPr>
      </w:pPr>
      <w:r>
        <w:rPr>
          <w:rFonts w:ascii="仿宋_GB2312" w:hAnsi="仿宋_GB2312" w:eastAsia="仿宋_GB2312" w:cs="仿宋_GB2312"/>
        </w:rPr>
        <w:t>采购包预算金额（元）:</w:t>
      </w:r>
      <w:r>
        <w:rPr>
          <w:rFonts w:ascii="仿宋_GB2312" w:hAnsi="仿宋_GB2312" w:eastAsia="仿宋_GB2312" w:cs="仿宋_GB2312"/>
          <w:lang w:eastAsia="zh-CN"/>
        </w:rPr>
        <w:t xml:space="preserve"> 350000</w:t>
      </w:r>
      <w:r>
        <w:rPr>
          <w:rFonts w:ascii="仿宋_GB2312" w:hAnsi="仿宋_GB2312" w:eastAsia="仿宋_GB2312" w:cs="仿宋_GB2312"/>
        </w:rPr>
        <w:t>.00</w:t>
      </w:r>
    </w:p>
    <w:p w14:paraId="777B7985">
      <w:pPr>
        <w:pStyle w:val="17"/>
        <w:rPr>
          <w:rFonts w:hint="default" w:eastAsia="仿宋_GB2312"/>
          <w:lang w:eastAsia="zh-CN"/>
        </w:rPr>
      </w:pPr>
      <w:r>
        <w:rPr>
          <w:rFonts w:ascii="仿宋_GB2312" w:hAnsi="仿宋_GB2312" w:eastAsia="仿宋_GB2312" w:cs="仿宋_GB2312"/>
        </w:rPr>
        <w:t xml:space="preserve">采购包最高限价（元）: </w:t>
      </w:r>
      <w:r>
        <w:rPr>
          <w:rFonts w:ascii="仿宋_GB2312" w:hAnsi="仿宋_GB2312" w:eastAsia="仿宋_GB2312" w:cs="仿宋_GB2312"/>
          <w:lang w:eastAsia="zh-CN"/>
        </w:rPr>
        <w:t>350000</w:t>
      </w:r>
      <w:r>
        <w:rPr>
          <w:rFonts w:ascii="仿宋_GB2312" w:hAnsi="仿宋_GB2312" w:eastAsia="仿宋_GB2312" w:cs="仿宋_GB2312"/>
        </w:rPr>
        <w:t>.00</w:t>
      </w:r>
    </w:p>
    <w:p w14:paraId="56F1E6AA">
      <w:pPr>
        <w:pStyle w:val="17"/>
        <w:rPr>
          <w:rFonts w:hint="default"/>
        </w:rPr>
      </w:pPr>
      <w:r>
        <w:rPr>
          <w:rFonts w:ascii="仿宋_GB2312" w:hAnsi="仿宋_GB2312" w:eastAsia="仿宋_GB2312" w:cs="仿宋_GB2312"/>
        </w:rPr>
        <w:t>供应商报价不允许超过标的金额</w:t>
      </w:r>
    </w:p>
    <w:p w14:paraId="192AF1A2">
      <w:pPr>
        <w:pStyle w:val="17"/>
        <w:rPr>
          <w:rFonts w:hint="default"/>
        </w:rPr>
      </w:pPr>
      <w:r>
        <w:rPr>
          <w:rFonts w:ascii="仿宋_GB2312" w:hAnsi="仿宋_GB2312" w:eastAsia="仿宋_GB2312" w:cs="仿宋_GB2312"/>
        </w:rPr>
        <w:t>（招单价的）供应商报价不允许超过标的单价</w:t>
      </w:r>
    </w:p>
    <w:tbl>
      <w:tblPr>
        <w:tblStyle w:val="13"/>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
      <w:tblGrid>
        <w:gridCol w:w="376"/>
        <w:gridCol w:w="1244"/>
        <w:gridCol w:w="820"/>
        <w:gridCol w:w="1216"/>
        <w:gridCol w:w="702"/>
        <w:gridCol w:w="920"/>
        <w:gridCol w:w="811"/>
        <w:gridCol w:w="811"/>
        <w:gridCol w:w="811"/>
        <w:gridCol w:w="811"/>
      </w:tblGrid>
      <w:tr w14:paraId="1D8453C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76" w:type="dxa"/>
          </w:tcPr>
          <w:p w14:paraId="1F84A095">
            <w:pPr>
              <w:pStyle w:val="17"/>
              <w:rPr>
                <w:rFonts w:hint="default"/>
              </w:rPr>
            </w:pPr>
            <w:r>
              <w:rPr>
                <w:rFonts w:ascii="仿宋_GB2312" w:hAnsi="仿宋_GB2312" w:eastAsia="仿宋_GB2312" w:cs="仿宋_GB2312"/>
              </w:rPr>
              <w:t>序号</w:t>
            </w:r>
          </w:p>
        </w:tc>
        <w:tc>
          <w:tcPr>
            <w:tcW w:w="1244" w:type="dxa"/>
          </w:tcPr>
          <w:p w14:paraId="3E11279B">
            <w:pPr>
              <w:pStyle w:val="17"/>
              <w:rPr>
                <w:rFonts w:hint="default"/>
              </w:rPr>
            </w:pPr>
            <w:r>
              <w:rPr>
                <w:rFonts w:ascii="仿宋_GB2312" w:hAnsi="仿宋_GB2312" w:eastAsia="仿宋_GB2312" w:cs="仿宋_GB2312"/>
              </w:rPr>
              <w:t>标的名称</w:t>
            </w:r>
          </w:p>
        </w:tc>
        <w:tc>
          <w:tcPr>
            <w:tcW w:w="820" w:type="dxa"/>
          </w:tcPr>
          <w:p w14:paraId="332936FB">
            <w:pPr>
              <w:pStyle w:val="17"/>
              <w:rPr>
                <w:rFonts w:hint="default"/>
              </w:rPr>
            </w:pPr>
            <w:r>
              <w:rPr>
                <w:rFonts w:ascii="仿宋_GB2312" w:hAnsi="仿宋_GB2312" w:eastAsia="仿宋_GB2312" w:cs="仿宋_GB2312"/>
              </w:rPr>
              <w:t>数量</w:t>
            </w:r>
          </w:p>
        </w:tc>
        <w:tc>
          <w:tcPr>
            <w:tcW w:w="1216" w:type="dxa"/>
          </w:tcPr>
          <w:p w14:paraId="4F2F1493">
            <w:pPr>
              <w:pStyle w:val="17"/>
              <w:rPr>
                <w:rFonts w:hint="default"/>
              </w:rPr>
            </w:pPr>
            <w:r>
              <w:rPr>
                <w:rFonts w:ascii="仿宋_GB2312" w:hAnsi="仿宋_GB2312" w:eastAsia="仿宋_GB2312" w:cs="仿宋_GB2312"/>
              </w:rPr>
              <w:t>标的金额 （元）</w:t>
            </w:r>
          </w:p>
        </w:tc>
        <w:tc>
          <w:tcPr>
            <w:tcW w:w="702" w:type="dxa"/>
          </w:tcPr>
          <w:p w14:paraId="5C3519A0">
            <w:pPr>
              <w:pStyle w:val="17"/>
              <w:rPr>
                <w:rFonts w:hint="default"/>
              </w:rPr>
            </w:pPr>
            <w:r>
              <w:rPr>
                <w:rFonts w:ascii="仿宋_GB2312" w:hAnsi="仿宋_GB2312" w:eastAsia="仿宋_GB2312" w:cs="仿宋_GB2312"/>
              </w:rPr>
              <w:t>计量单位</w:t>
            </w:r>
          </w:p>
        </w:tc>
        <w:tc>
          <w:tcPr>
            <w:tcW w:w="920" w:type="dxa"/>
          </w:tcPr>
          <w:p w14:paraId="7C25013D">
            <w:pPr>
              <w:pStyle w:val="17"/>
              <w:rPr>
                <w:rFonts w:hint="default"/>
              </w:rPr>
            </w:pPr>
            <w:r>
              <w:rPr>
                <w:rFonts w:ascii="仿宋_GB2312" w:hAnsi="仿宋_GB2312" w:eastAsia="仿宋_GB2312" w:cs="仿宋_GB2312"/>
              </w:rPr>
              <w:t>所属行业</w:t>
            </w:r>
          </w:p>
        </w:tc>
        <w:tc>
          <w:tcPr>
            <w:tcW w:w="811" w:type="dxa"/>
          </w:tcPr>
          <w:p w14:paraId="32AD7380">
            <w:pPr>
              <w:pStyle w:val="17"/>
              <w:rPr>
                <w:rFonts w:hint="default"/>
              </w:rPr>
            </w:pPr>
            <w:r>
              <w:rPr>
                <w:rFonts w:ascii="仿宋_GB2312" w:hAnsi="仿宋_GB2312" w:eastAsia="仿宋_GB2312" w:cs="仿宋_GB2312"/>
              </w:rPr>
              <w:t>是否核心产品</w:t>
            </w:r>
          </w:p>
        </w:tc>
        <w:tc>
          <w:tcPr>
            <w:tcW w:w="811" w:type="dxa"/>
          </w:tcPr>
          <w:p w14:paraId="4334D688">
            <w:pPr>
              <w:pStyle w:val="17"/>
              <w:rPr>
                <w:rFonts w:hint="default"/>
              </w:rPr>
            </w:pPr>
            <w:r>
              <w:rPr>
                <w:rFonts w:ascii="仿宋_GB2312" w:hAnsi="仿宋_GB2312" w:eastAsia="仿宋_GB2312" w:cs="仿宋_GB2312"/>
              </w:rPr>
              <w:t>是否允许进口产品</w:t>
            </w:r>
          </w:p>
        </w:tc>
        <w:tc>
          <w:tcPr>
            <w:tcW w:w="811" w:type="dxa"/>
          </w:tcPr>
          <w:p w14:paraId="5D1701DC">
            <w:pPr>
              <w:pStyle w:val="17"/>
              <w:rPr>
                <w:rFonts w:hint="default"/>
              </w:rPr>
            </w:pPr>
            <w:r>
              <w:rPr>
                <w:rFonts w:ascii="仿宋_GB2312" w:hAnsi="仿宋_GB2312" w:eastAsia="仿宋_GB2312" w:cs="仿宋_GB2312"/>
              </w:rPr>
              <w:t>是否属于节能产品</w:t>
            </w:r>
          </w:p>
        </w:tc>
        <w:tc>
          <w:tcPr>
            <w:tcW w:w="811" w:type="dxa"/>
          </w:tcPr>
          <w:p w14:paraId="56AF48AF">
            <w:pPr>
              <w:pStyle w:val="17"/>
              <w:rPr>
                <w:rFonts w:hint="default"/>
              </w:rPr>
            </w:pPr>
            <w:r>
              <w:rPr>
                <w:rFonts w:ascii="仿宋_GB2312" w:hAnsi="仿宋_GB2312" w:eastAsia="仿宋_GB2312" w:cs="仿宋_GB2312"/>
              </w:rPr>
              <w:t>是否属于环境标志产品</w:t>
            </w:r>
          </w:p>
        </w:tc>
      </w:tr>
      <w:tr w14:paraId="7200EF6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76" w:type="dxa"/>
          </w:tcPr>
          <w:p w14:paraId="788E5925">
            <w:pPr>
              <w:pStyle w:val="17"/>
              <w:jc w:val="right"/>
              <w:rPr>
                <w:rFonts w:hint="default" w:ascii="仿宋_GB2312" w:hAnsi="仿宋_GB2312" w:eastAsia="仿宋_GB2312" w:cs="仿宋_GB2312"/>
                <w:lang w:eastAsia="zh-CN"/>
              </w:rPr>
            </w:pPr>
            <w:r>
              <w:rPr>
                <w:rFonts w:ascii="仿宋_GB2312" w:hAnsi="仿宋_GB2312" w:eastAsia="仿宋_GB2312" w:cs="仿宋_GB2312"/>
                <w:lang w:eastAsia="zh-CN"/>
              </w:rPr>
              <w:t>1</w:t>
            </w:r>
          </w:p>
        </w:tc>
        <w:tc>
          <w:tcPr>
            <w:tcW w:w="1244" w:type="dxa"/>
          </w:tcPr>
          <w:p w14:paraId="07FEE392">
            <w:pPr>
              <w:pStyle w:val="17"/>
              <w:jc w:val="center"/>
              <w:rPr>
                <w:rFonts w:hint="default" w:ascii="仿宋_GB2312" w:hAnsi="仿宋_GB2312" w:eastAsia="仿宋_GB2312" w:cs="仿宋_GB2312"/>
                <w:lang w:eastAsia="zh-CN"/>
              </w:rPr>
            </w:pPr>
            <w:r>
              <w:rPr>
                <w:rFonts w:hint="default" w:ascii="仿宋_GB2312" w:hAnsi="仿宋_GB2312" w:eastAsia="仿宋_GB2312" w:cs="仿宋_GB2312"/>
                <w:lang w:eastAsia="zh-CN"/>
              </w:rPr>
              <w:t>工科类图书</w:t>
            </w:r>
          </w:p>
        </w:tc>
        <w:tc>
          <w:tcPr>
            <w:tcW w:w="820" w:type="dxa"/>
          </w:tcPr>
          <w:p w14:paraId="586D06B8">
            <w:pPr>
              <w:pStyle w:val="17"/>
              <w:jc w:val="right"/>
              <w:rPr>
                <w:rFonts w:hint="default"/>
              </w:rPr>
            </w:pPr>
            <w:r>
              <w:rPr>
                <w:rFonts w:ascii="仿宋_GB2312" w:hAnsi="仿宋_GB2312" w:eastAsia="仿宋_GB2312" w:cs="仿宋_GB2312"/>
              </w:rPr>
              <w:t>1.00</w:t>
            </w:r>
          </w:p>
        </w:tc>
        <w:tc>
          <w:tcPr>
            <w:tcW w:w="1216" w:type="dxa"/>
          </w:tcPr>
          <w:p w14:paraId="69A7A0E6">
            <w:pPr>
              <w:pStyle w:val="17"/>
              <w:jc w:val="right"/>
              <w:rPr>
                <w:rFonts w:hint="default"/>
              </w:rPr>
            </w:pPr>
            <w:r>
              <w:rPr>
                <w:rFonts w:ascii="仿宋_GB2312" w:hAnsi="仿宋_GB2312" w:eastAsia="仿宋_GB2312" w:cs="仿宋_GB2312"/>
                <w:lang w:eastAsia="zh-CN"/>
              </w:rPr>
              <w:t>350000</w:t>
            </w:r>
            <w:r>
              <w:rPr>
                <w:rFonts w:ascii="仿宋_GB2312" w:hAnsi="仿宋_GB2312" w:eastAsia="仿宋_GB2312" w:cs="仿宋_GB2312"/>
              </w:rPr>
              <w:t>.00</w:t>
            </w:r>
          </w:p>
        </w:tc>
        <w:tc>
          <w:tcPr>
            <w:tcW w:w="702" w:type="dxa"/>
          </w:tcPr>
          <w:p w14:paraId="5ED49283">
            <w:pPr>
              <w:pStyle w:val="17"/>
              <w:rPr>
                <w:rFonts w:hint="default"/>
                <w:lang w:eastAsia="zh-CN"/>
              </w:rPr>
            </w:pPr>
            <w:r>
              <w:rPr>
                <w:rFonts w:ascii="仿宋_GB2312" w:hAnsi="仿宋_GB2312" w:eastAsia="仿宋_GB2312" w:cs="仿宋_GB2312"/>
                <w:lang w:eastAsia="zh-CN"/>
              </w:rPr>
              <w:t>批</w:t>
            </w:r>
          </w:p>
        </w:tc>
        <w:tc>
          <w:tcPr>
            <w:tcW w:w="920" w:type="dxa"/>
          </w:tcPr>
          <w:p w14:paraId="1C058834">
            <w:pPr>
              <w:pStyle w:val="17"/>
              <w:rPr>
                <w:rFonts w:hint="default"/>
              </w:rPr>
            </w:pPr>
            <w:r>
              <w:rPr>
                <w:rFonts w:ascii="仿宋_GB2312" w:hAnsi="仿宋_GB2312" w:eastAsia="仿宋_GB2312" w:cs="仿宋_GB2312"/>
              </w:rPr>
              <w:t>其他未列明行业</w:t>
            </w:r>
          </w:p>
        </w:tc>
        <w:tc>
          <w:tcPr>
            <w:tcW w:w="811" w:type="dxa"/>
          </w:tcPr>
          <w:p w14:paraId="1B46F9DA">
            <w:pPr>
              <w:pStyle w:val="17"/>
              <w:rPr>
                <w:rFonts w:hint="default"/>
              </w:rPr>
            </w:pPr>
            <w:r>
              <w:rPr>
                <w:rFonts w:ascii="仿宋_GB2312" w:hAnsi="仿宋_GB2312" w:eastAsia="仿宋_GB2312" w:cs="仿宋_GB2312"/>
              </w:rPr>
              <w:t>否</w:t>
            </w:r>
          </w:p>
        </w:tc>
        <w:tc>
          <w:tcPr>
            <w:tcW w:w="811" w:type="dxa"/>
          </w:tcPr>
          <w:p w14:paraId="0CEBD433">
            <w:pPr>
              <w:pStyle w:val="17"/>
              <w:rPr>
                <w:rFonts w:hint="default"/>
              </w:rPr>
            </w:pPr>
            <w:r>
              <w:rPr>
                <w:rFonts w:ascii="仿宋_GB2312" w:hAnsi="仿宋_GB2312" w:eastAsia="仿宋_GB2312" w:cs="仿宋_GB2312"/>
              </w:rPr>
              <w:t>否</w:t>
            </w:r>
          </w:p>
        </w:tc>
        <w:tc>
          <w:tcPr>
            <w:tcW w:w="811" w:type="dxa"/>
          </w:tcPr>
          <w:p w14:paraId="4E385E40">
            <w:pPr>
              <w:pStyle w:val="17"/>
              <w:rPr>
                <w:rFonts w:hint="default"/>
              </w:rPr>
            </w:pPr>
            <w:r>
              <w:rPr>
                <w:rFonts w:ascii="仿宋_GB2312" w:hAnsi="仿宋_GB2312" w:eastAsia="仿宋_GB2312" w:cs="仿宋_GB2312"/>
              </w:rPr>
              <w:t>否</w:t>
            </w:r>
          </w:p>
        </w:tc>
        <w:tc>
          <w:tcPr>
            <w:tcW w:w="811" w:type="dxa"/>
          </w:tcPr>
          <w:p w14:paraId="6384A027">
            <w:pPr>
              <w:pStyle w:val="17"/>
              <w:rPr>
                <w:rFonts w:hint="default"/>
              </w:rPr>
            </w:pPr>
            <w:r>
              <w:rPr>
                <w:rFonts w:ascii="仿宋_GB2312" w:hAnsi="仿宋_GB2312" w:eastAsia="仿宋_GB2312" w:cs="仿宋_GB2312"/>
              </w:rPr>
              <w:t>否</w:t>
            </w:r>
          </w:p>
        </w:tc>
      </w:tr>
    </w:tbl>
    <w:p w14:paraId="28EC35B4">
      <w:pPr>
        <w:pStyle w:val="17"/>
        <w:rPr>
          <w:rFonts w:hint="default"/>
        </w:rPr>
      </w:pPr>
      <w:r>
        <w:rPr>
          <w:rFonts w:ascii="仿宋_GB2312" w:hAnsi="仿宋_GB2312" w:eastAsia="仿宋_GB2312" w:cs="仿宋_GB2312"/>
        </w:rPr>
        <w:t>采购包</w:t>
      </w:r>
      <w:r>
        <w:rPr>
          <w:rFonts w:ascii="仿宋_GB2312" w:hAnsi="仿宋_GB2312" w:eastAsia="仿宋_GB2312" w:cs="仿宋_GB2312"/>
          <w:lang w:eastAsia="zh-CN"/>
        </w:rPr>
        <w:t>2</w:t>
      </w:r>
      <w:r>
        <w:rPr>
          <w:rFonts w:ascii="仿宋_GB2312" w:hAnsi="仿宋_GB2312" w:eastAsia="仿宋_GB2312" w:cs="仿宋_GB2312"/>
        </w:rPr>
        <w:t>：</w:t>
      </w:r>
    </w:p>
    <w:p w14:paraId="08D50FBD">
      <w:pPr>
        <w:pStyle w:val="17"/>
        <w:rPr>
          <w:rFonts w:hint="default" w:eastAsia="仿宋_GB2312"/>
          <w:lang w:eastAsia="zh-CN"/>
        </w:rPr>
      </w:pPr>
      <w:r>
        <w:rPr>
          <w:rFonts w:ascii="仿宋_GB2312" w:hAnsi="仿宋_GB2312" w:eastAsia="仿宋_GB2312" w:cs="仿宋_GB2312"/>
        </w:rPr>
        <w:t xml:space="preserve">采购包预算金额（元）: </w:t>
      </w:r>
      <w:r>
        <w:rPr>
          <w:rFonts w:ascii="仿宋_GB2312" w:hAnsi="仿宋_GB2312" w:eastAsia="仿宋_GB2312" w:cs="仿宋_GB2312"/>
          <w:lang w:eastAsia="zh-CN"/>
        </w:rPr>
        <w:t>150000</w:t>
      </w:r>
      <w:r>
        <w:rPr>
          <w:rFonts w:ascii="仿宋_GB2312" w:hAnsi="仿宋_GB2312" w:eastAsia="仿宋_GB2312" w:cs="仿宋_GB2312"/>
        </w:rPr>
        <w:t>.00</w:t>
      </w:r>
    </w:p>
    <w:p w14:paraId="70C974DD">
      <w:pPr>
        <w:pStyle w:val="17"/>
        <w:rPr>
          <w:rFonts w:hint="default" w:eastAsia="仿宋_GB2312"/>
          <w:lang w:eastAsia="zh-CN"/>
        </w:rPr>
      </w:pPr>
      <w:r>
        <w:rPr>
          <w:rFonts w:ascii="仿宋_GB2312" w:hAnsi="仿宋_GB2312" w:eastAsia="仿宋_GB2312" w:cs="仿宋_GB2312"/>
        </w:rPr>
        <w:t xml:space="preserve">采购包最高限价（元）: </w:t>
      </w:r>
      <w:r>
        <w:rPr>
          <w:rFonts w:ascii="仿宋_GB2312" w:hAnsi="仿宋_GB2312" w:eastAsia="仿宋_GB2312" w:cs="仿宋_GB2312"/>
          <w:lang w:eastAsia="zh-CN"/>
        </w:rPr>
        <w:t>150000</w:t>
      </w:r>
      <w:r>
        <w:rPr>
          <w:rFonts w:ascii="仿宋_GB2312" w:hAnsi="仿宋_GB2312" w:eastAsia="仿宋_GB2312" w:cs="仿宋_GB2312"/>
        </w:rPr>
        <w:t>.00</w:t>
      </w:r>
    </w:p>
    <w:p w14:paraId="7B952CC1">
      <w:pPr>
        <w:pStyle w:val="17"/>
        <w:rPr>
          <w:rFonts w:hint="default"/>
        </w:rPr>
      </w:pPr>
      <w:r>
        <w:rPr>
          <w:rFonts w:ascii="仿宋_GB2312" w:hAnsi="仿宋_GB2312" w:eastAsia="仿宋_GB2312" w:cs="仿宋_GB2312"/>
        </w:rPr>
        <w:t>供应商报价不允许超过标的金额</w:t>
      </w:r>
    </w:p>
    <w:p w14:paraId="24E2ECAA">
      <w:pPr>
        <w:pStyle w:val="17"/>
        <w:rPr>
          <w:rFonts w:hint="default"/>
        </w:rPr>
      </w:pPr>
      <w:r>
        <w:rPr>
          <w:rFonts w:ascii="仿宋_GB2312" w:hAnsi="仿宋_GB2312" w:eastAsia="仿宋_GB2312" w:cs="仿宋_GB2312"/>
        </w:rPr>
        <w:t>（招单价的）供应商报价不允许超过标的单价</w:t>
      </w:r>
    </w:p>
    <w:tbl>
      <w:tblPr>
        <w:tblStyle w:val="13"/>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
      <w:tblGrid>
        <w:gridCol w:w="376"/>
        <w:gridCol w:w="1244"/>
        <w:gridCol w:w="820"/>
        <w:gridCol w:w="1216"/>
        <w:gridCol w:w="657"/>
        <w:gridCol w:w="965"/>
        <w:gridCol w:w="811"/>
        <w:gridCol w:w="811"/>
        <w:gridCol w:w="811"/>
        <w:gridCol w:w="811"/>
      </w:tblGrid>
      <w:tr w14:paraId="7CBA7F5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76" w:type="dxa"/>
          </w:tcPr>
          <w:p w14:paraId="309DF5AC">
            <w:pPr>
              <w:pStyle w:val="17"/>
              <w:rPr>
                <w:rFonts w:hint="default"/>
              </w:rPr>
            </w:pPr>
            <w:r>
              <w:rPr>
                <w:rFonts w:ascii="仿宋_GB2312" w:hAnsi="仿宋_GB2312" w:eastAsia="仿宋_GB2312" w:cs="仿宋_GB2312"/>
              </w:rPr>
              <w:t>序号</w:t>
            </w:r>
          </w:p>
        </w:tc>
        <w:tc>
          <w:tcPr>
            <w:tcW w:w="1244" w:type="dxa"/>
          </w:tcPr>
          <w:p w14:paraId="36E69F00">
            <w:pPr>
              <w:pStyle w:val="17"/>
              <w:rPr>
                <w:rFonts w:hint="default"/>
              </w:rPr>
            </w:pPr>
            <w:r>
              <w:rPr>
                <w:rFonts w:ascii="仿宋_GB2312" w:hAnsi="仿宋_GB2312" w:eastAsia="仿宋_GB2312" w:cs="仿宋_GB2312"/>
              </w:rPr>
              <w:t>标的名称</w:t>
            </w:r>
          </w:p>
        </w:tc>
        <w:tc>
          <w:tcPr>
            <w:tcW w:w="820" w:type="dxa"/>
          </w:tcPr>
          <w:p w14:paraId="486EA2D5">
            <w:pPr>
              <w:pStyle w:val="17"/>
              <w:rPr>
                <w:rFonts w:hint="default"/>
              </w:rPr>
            </w:pPr>
            <w:r>
              <w:rPr>
                <w:rFonts w:ascii="仿宋_GB2312" w:hAnsi="仿宋_GB2312" w:eastAsia="仿宋_GB2312" w:cs="仿宋_GB2312"/>
              </w:rPr>
              <w:t>数量</w:t>
            </w:r>
          </w:p>
        </w:tc>
        <w:tc>
          <w:tcPr>
            <w:tcW w:w="1216" w:type="dxa"/>
          </w:tcPr>
          <w:p w14:paraId="5769AB6E">
            <w:pPr>
              <w:pStyle w:val="17"/>
              <w:rPr>
                <w:rFonts w:hint="default"/>
              </w:rPr>
            </w:pPr>
            <w:r>
              <w:rPr>
                <w:rFonts w:ascii="仿宋_GB2312" w:hAnsi="仿宋_GB2312" w:eastAsia="仿宋_GB2312" w:cs="仿宋_GB2312"/>
              </w:rPr>
              <w:t>标的金额 （元）</w:t>
            </w:r>
          </w:p>
        </w:tc>
        <w:tc>
          <w:tcPr>
            <w:tcW w:w="657" w:type="dxa"/>
          </w:tcPr>
          <w:p w14:paraId="0BE283F0">
            <w:pPr>
              <w:pStyle w:val="17"/>
              <w:rPr>
                <w:rFonts w:hint="default"/>
              </w:rPr>
            </w:pPr>
            <w:r>
              <w:rPr>
                <w:rFonts w:ascii="仿宋_GB2312" w:hAnsi="仿宋_GB2312" w:eastAsia="仿宋_GB2312" w:cs="仿宋_GB2312"/>
              </w:rPr>
              <w:t>计量单位</w:t>
            </w:r>
          </w:p>
        </w:tc>
        <w:tc>
          <w:tcPr>
            <w:tcW w:w="965" w:type="dxa"/>
          </w:tcPr>
          <w:p w14:paraId="0BEC5406">
            <w:pPr>
              <w:pStyle w:val="17"/>
              <w:rPr>
                <w:rFonts w:hint="default"/>
              </w:rPr>
            </w:pPr>
            <w:r>
              <w:rPr>
                <w:rFonts w:ascii="仿宋_GB2312" w:hAnsi="仿宋_GB2312" w:eastAsia="仿宋_GB2312" w:cs="仿宋_GB2312"/>
              </w:rPr>
              <w:t>所属行业</w:t>
            </w:r>
          </w:p>
        </w:tc>
        <w:tc>
          <w:tcPr>
            <w:tcW w:w="811" w:type="dxa"/>
          </w:tcPr>
          <w:p w14:paraId="046028C0">
            <w:pPr>
              <w:pStyle w:val="17"/>
              <w:rPr>
                <w:rFonts w:hint="default"/>
              </w:rPr>
            </w:pPr>
            <w:r>
              <w:rPr>
                <w:rFonts w:ascii="仿宋_GB2312" w:hAnsi="仿宋_GB2312" w:eastAsia="仿宋_GB2312" w:cs="仿宋_GB2312"/>
              </w:rPr>
              <w:t>是否核心产品</w:t>
            </w:r>
          </w:p>
        </w:tc>
        <w:tc>
          <w:tcPr>
            <w:tcW w:w="811" w:type="dxa"/>
          </w:tcPr>
          <w:p w14:paraId="7807F48F">
            <w:pPr>
              <w:pStyle w:val="17"/>
              <w:rPr>
                <w:rFonts w:hint="default"/>
              </w:rPr>
            </w:pPr>
            <w:r>
              <w:rPr>
                <w:rFonts w:ascii="仿宋_GB2312" w:hAnsi="仿宋_GB2312" w:eastAsia="仿宋_GB2312" w:cs="仿宋_GB2312"/>
              </w:rPr>
              <w:t>是否允许进口产品</w:t>
            </w:r>
          </w:p>
        </w:tc>
        <w:tc>
          <w:tcPr>
            <w:tcW w:w="811" w:type="dxa"/>
          </w:tcPr>
          <w:p w14:paraId="643E1599">
            <w:pPr>
              <w:pStyle w:val="17"/>
              <w:rPr>
                <w:rFonts w:hint="default"/>
              </w:rPr>
            </w:pPr>
            <w:r>
              <w:rPr>
                <w:rFonts w:ascii="仿宋_GB2312" w:hAnsi="仿宋_GB2312" w:eastAsia="仿宋_GB2312" w:cs="仿宋_GB2312"/>
              </w:rPr>
              <w:t>是否属于节能产品</w:t>
            </w:r>
          </w:p>
        </w:tc>
        <w:tc>
          <w:tcPr>
            <w:tcW w:w="811" w:type="dxa"/>
          </w:tcPr>
          <w:p w14:paraId="3CCF6DF7">
            <w:pPr>
              <w:pStyle w:val="17"/>
              <w:rPr>
                <w:rFonts w:hint="default"/>
              </w:rPr>
            </w:pPr>
            <w:r>
              <w:rPr>
                <w:rFonts w:ascii="仿宋_GB2312" w:hAnsi="仿宋_GB2312" w:eastAsia="仿宋_GB2312" w:cs="仿宋_GB2312"/>
              </w:rPr>
              <w:t>是否属于环境标志产品</w:t>
            </w:r>
          </w:p>
        </w:tc>
      </w:tr>
      <w:tr w14:paraId="6874E30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76" w:type="dxa"/>
          </w:tcPr>
          <w:p w14:paraId="19B3E195">
            <w:pPr>
              <w:pStyle w:val="17"/>
              <w:jc w:val="right"/>
              <w:rPr>
                <w:rFonts w:hint="default" w:ascii="仿宋_GB2312" w:hAnsi="仿宋_GB2312" w:eastAsia="仿宋_GB2312" w:cs="仿宋_GB2312"/>
                <w:lang w:eastAsia="zh-CN"/>
              </w:rPr>
            </w:pPr>
            <w:r>
              <w:rPr>
                <w:rFonts w:ascii="仿宋_GB2312" w:hAnsi="仿宋_GB2312" w:eastAsia="仿宋_GB2312" w:cs="仿宋_GB2312"/>
                <w:lang w:eastAsia="zh-CN"/>
              </w:rPr>
              <w:t>1</w:t>
            </w:r>
          </w:p>
        </w:tc>
        <w:tc>
          <w:tcPr>
            <w:tcW w:w="1244" w:type="dxa"/>
          </w:tcPr>
          <w:p w14:paraId="24E1D4CB">
            <w:pPr>
              <w:pStyle w:val="17"/>
              <w:jc w:val="center"/>
              <w:rPr>
                <w:rFonts w:hint="default" w:ascii="仿宋_GB2312" w:hAnsi="仿宋_GB2312" w:eastAsia="仿宋_GB2312" w:cs="仿宋_GB2312"/>
                <w:lang w:eastAsia="zh-CN"/>
              </w:rPr>
            </w:pPr>
            <w:r>
              <w:rPr>
                <w:rFonts w:hint="default" w:ascii="仿宋_GB2312" w:hAnsi="仿宋_GB2312" w:eastAsia="仿宋_GB2312" w:cs="仿宋_GB2312"/>
                <w:lang w:eastAsia="zh-CN"/>
              </w:rPr>
              <w:t>社科类图书</w:t>
            </w:r>
          </w:p>
        </w:tc>
        <w:tc>
          <w:tcPr>
            <w:tcW w:w="820" w:type="dxa"/>
          </w:tcPr>
          <w:p w14:paraId="06AD240D">
            <w:pPr>
              <w:pStyle w:val="17"/>
              <w:jc w:val="right"/>
              <w:rPr>
                <w:rFonts w:hint="default"/>
              </w:rPr>
            </w:pPr>
            <w:r>
              <w:rPr>
                <w:rFonts w:ascii="仿宋_GB2312" w:hAnsi="仿宋_GB2312" w:eastAsia="仿宋_GB2312" w:cs="仿宋_GB2312"/>
              </w:rPr>
              <w:t>1.00</w:t>
            </w:r>
          </w:p>
        </w:tc>
        <w:tc>
          <w:tcPr>
            <w:tcW w:w="1216" w:type="dxa"/>
          </w:tcPr>
          <w:p w14:paraId="3B4CB1F5">
            <w:pPr>
              <w:pStyle w:val="17"/>
              <w:jc w:val="right"/>
              <w:rPr>
                <w:rFonts w:hint="default"/>
              </w:rPr>
            </w:pPr>
            <w:r>
              <w:rPr>
                <w:rFonts w:ascii="仿宋_GB2312" w:hAnsi="仿宋_GB2312" w:eastAsia="仿宋_GB2312" w:cs="仿宋_GB2312"/>
                <w:lang w:eastAsia="zh-CN"/>
              </w:rPr>
              <w:t>150000</w:t>
            </w:r>
            <w:r>
              <w:rPr>
                <w:rFonts w:ascii="仿宋_GB2312" w:hAnsi="仿宋_GB2312" w:eastAsia="仿宋_GB2312" w:cs="仿宋_GB2312"/>
              </w:rPr>
              <w:t>.00</w:t>
            </w:r>
          </w:p>
        </w:tc>
        <w:tc>
          <w:tcPr>
            <w:tcW w:w="657" w:type="dxa"/>
          </w:tcPr>
          <w:p w14:paraId="0853D66E">
            <w:pPr>
              <w:pStyle w:val="17"/>
              <w:rPr>
                <w:rFonts w:hint="default"/>
                <w:lang w:eastAsia="zh-CN"/>
              </w:rPr>
            </w:pPr>
            <w:r>
              <w:rPr>
                <w:rFonts w:ascii="仿宋_GB2312" w:hAnsi="仿宋_GB2312" w:eastAsia="仿宋_GB2312" w:cs="仿宋_GB2312"/>
                <w:lang w:eastAsia="zh-CN"/>
              </w:rPr>
              <w:t>批</w:t>
            </w:r>
          </w:p>
        </w:tc>
        <w:tc>
          <w:tcPr>
            <w:tcW w:w="965" w:type="dxa"/>
          </w:tcPr>
          <w:p w14:paraId="1355E5F2">
            <w:pPr>
              <w:pStyle w:val="17"/>
              <w:rPr>
                <w:rFonts w:hint="default"/>
              </w:rPr>
            </w:pPr>
            <w:r>
              <w:rPr>
                <w:rFonts w:ascii="仿宋_GB2312" w:hAnsi="仿宋_GB2312" w:eastAsia="仿宋_GB2312" w:cs="仿宋_GB2312"/>
              </w:rPr>
              <w:t>其他未列明行业</w:t>
            </w:r>
          </w:p>
        </w:tc>
        <w:tc>
          <w:tcPr>
            <w:tcW w:w="811" w:type="dxa"/>
          </w:tcPr>
          <w:p w14:paraId="6163404A">
            <w:pPr>
              <w:pStyle w:val="17"/>
              <w:rPr>
                <w:rFonts w:hint="default"/>
              </w:rPr>
            </w:pPr>
            <w:r>
              <w:rPr>
                <w:rFonts w:ascii="仿宋_GB2312" w:hAnsi="仿宋_GB2312" w:eastAsia="仿宋_GB2312" w:cs="仿宋_GB2312"/>
              </w:rPr>
              <w:t>否</w:t>
            </w:r>
          </w:p>
        </w:tc>
        <w:tc>
          <w:tcPr>
            <w:tcW w:w="811" w:type="dxa"/>
          </w:tcPr>
          <w:p w14:paraId="37A64CBF">
            <w:pPr>
              <w:pStyle w:val="17"/>
              <w:rPr>
                <w:rFonts w:hint="default"/>
              </w:rPr>
            </w:pPr>
            <w:r>
              <w:rPr>
                <w:rFonts w:ascii="仿宋_GB2312" w:hAnsi="仿宋_GB2312" w:eastAsia="仿宋_GB2312" w:cs="仿宋_GB2312"/>
              </w:rPr>
              <w:t>否</w:t>
            </w:r>
          </w:p>
        </w:tc>
        <w:tc>
          <w:tcPr>
            <w:tcW w:w="811" w:type="dxa"/>
          </w:tcPr>
          <w:p w14:paraId="01DB0A84">
            <w:pPr>
              <w:pStyle w:val="17"/>
              <w:rPr>
                <w:rFonts w:hint="default"/>
              </w:rPr>
            </w:pPr>
            <w:r>
              <w:rPr>
                <w:rFonts w:ascii="仿宋_GB2312" w:hAnsi="仿宋_GB2312" w:eastAsia="仿宋_GB2312" w:cs="仿宋_GB2312"/>
              </w:rPr>
              <w:t>否</w:t>
            </w:r>
          </w:p>
        </w:tc>
        <w:tc>
          <w:tcPr>
            <w:tcW w:w="811" w:type="dxa"/>
          </w:tcPr>
          <w:p w14:paraId="4B2F163C">
            <w:pPr>
              <w:pStyle w:val="17"/>
              <w:rPr>
                <w:rFonts w:hint="default"/>
              </w:rPr>
            </w:pPr>
            <w:r>
              <w:rPr>
                <w:rFonts w:ascii="仿宋_GB2312" w:hAnsi="仿宋_GB2312" w:eastAsia="仿宋_GB2312" w:cs="仿宋_GB2312"/>
              </w:rPr>
              <w:t>否</w:t>
            </w:r>
          </w:p>
        </w:tc>
      </w:tr>
    </w:tbl>
    <w:p w14:paraId="67373FBD">
      <w:pPr>
        <w:pStyle w:val="17"/>
        <w:outlineLvl w:val="2"/>
        <w:rPr>
          <w:rFonts w:hint="default"/>
        </w:rPr>
      </w:pPr>
      <w:r>
        <w:rPr>
          <w:rFonts w:ascii="仿宋_GB2312" w:hAnsi="仿宋_GB2312" w:eastAsia="仿宋_GB2312" w:cs="仿宋_GB2312"/>
          <w:b/>
          <w:sz w:val="28"/>
        </w:rPr>
        <w:t>3.3技术要求</w:t>
      </w:r>
    </w:p>
    <w:p w14:paraId="4D952394">
      <w:pPr>
        <w:pStyle w:val="17"/>
        <w:rPr>
          <w:rFonts w:hint="default"/>
        </w:rPr>
      </w:pPr>
      <w:r>
        <w:rPr>
          <w:rFonts w:ascii="仿宋_GB2312" w:hAnsi="仿宋_GB2312" w:eastAsia="仿宋_GB2312" w:cs="仿宋_GB2312"/>
        </w:rPr>
        <w:t>采购包1：</w:t>
      </w:r>
    </w:p>
    <w:p w14:paraId="6D82D083">
      <w:pPr>
        <w:pStyle w:val="17"/>
        <w:rPr>
          <w:rFonts w:hint="default" w:ascii="仿宋_GB2312" w:hAnsi="仿宋_GB2312" w:eastAsia="仿宋_GB2312" w:cs="仿宋_GB2312"/>
        </w:rPr>
      </w:pPr>
      <w:r>
        <w:rPr>
          <w:rFonts w:ascii="仿宋_GB2312" w:hAnsi="仿宋_GB2312" w:eastAsia="仿宋_GB2312" w:cs="仿宋_GB2312"/>
        </w:rPr>
        <w:t>标的名称：</w:t>
      </w:r>
      <w:r>
        <w:rPr>
          <w:rFonts w:hint="default" w:ascii="仿宋_GB2312" w:hAnsi="仿宋_GB2312" w:eastAsia="仿宋_GB2312" w:cs="仿宋_GB2312"/>
          <w:lang w:eastAsia="zh-CN"/>
        </w:rPr>
        <w:t>工科类图书</w:t>
      </w:r>
    </w:p>
    <w:tbl>
      <w:tblPr>
        <w:tblStyle w:val="13"/>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661"/>
        <w:gridCol w:w="659"/>
        <w:gridCol w:w="7202"/>
      </w:tblGrid>
      <w:tr w14:paraId="6A11C35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69" w:type="dxa"/>
          </w:tcPr>
          <w:p w14:paraId="4E861312">
            <w:pPr>
              <w:pStyle w:val="17"/>
              <w:rPr>
                <w:rFonts w:hint="default"/>
              </w:rPr>
            </w:pPr>
            <w:r>
              <w:rPr>
                <w:rFonts w:ascii="仿宋_GB2312" w:hAnsi="仿宋_GB2312" w:eastAsia="仿宋_GB2312" w:cs="仿宋_GB2312"/>
              </w:rPr>
              <w:t>序号</w:t>
            </w:r>
          </w:p>
        </w:tc>
        <w:tc>
          <w:tcPr>
            <w:tcW w:w="666" w:type="dxa"/>
          </w:tcPr>
          <w:p w14:paraId="08967F85">
            <w:pPr>
              <w:pStyle w:val="17"/>
              <w:rPr>
                <w:rFonts w:hint="default"/>
              </w:rPr>
            </w:pPr>
            <w:r>
              <w:rPr>
                <w:rFonts w:ascii="仿宋_GB2312" w:hAnsi="仿宋_GB2312" w:eastAsia="仿宋_GB2312" w:cs="仿宋_GB2312"/>
              </w:rPr>
              <w:t>参数性质</w:t>
            </w:r>
          </w:p>
        </w:tc>
        <w:tc>
          <w:tcPr>
            <w:tcW w:w="7383" w:type="dxa"/>
          </w:tcPr>
          <w:p w14:paraId="10A6CCF6">
            <w:pPr>
              <w:pStyle w:val="17"/>
              <w:rPr>
                <w:rFonts w:hint="default"/>
              </w:rPr>
            </w:pPr>
            <w:r>
              <w:rPr>
                <w:rFonts w:ascii="仿宋_GB2312" w:hAnsi="仿宋_GB2312" w:eastAsia="仿宋_GB2312" w:cs="仿宋_GB2312"/>
              </w:rPr>
              <w:t xml:space="preserve"> 技术参数与性能指标</w:t>
            </w:r>
          </w:p>
        </w:tc>
      </w:tr>
      <w:tr w14:paraId="26D01B5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69" w:type="dxa"/>
          </w:tcPr>
          <w:p w14:paraId="467F0558">
            <w:pPr>
              <w:pStyle w:val="17"/>
              <w:rPr>
                <w:rFonts w:hint="default"/>
              </w:rPr>
            </w:pPr>
            <w:r>
              <w:rPr>
                <w:rFonts w:ascii="仿宋_GB2312" w:hAnsi="仿宋_GB2312" w:eastAsia="仿宋_GB2312" w:cs="仿宋_GB2312"/>
              </w:rPr>
              <w:t>1</w:t>
            </w:r>
          </w:p>
        </w:tc>
        <w:tc>
          <w:tcPr>
            <w:tcW w:w="666" w:type="dxa"/>
          </w:tcPr>
          <w:p w14:paraId="11FCD1AB"/>
        </w:tc>
        <w:tc>
          <w:tcPr>
            <w:tcW w:w="7383" w:type="dxa"/>
          </w:tcPr>
          <w:p w14:paraId="2B0458A7">
            <w:pPr>
              <w:spacing w:line="360" w:lineRule="auto"/>
              <w:rPr>
                <w:rFonts w:ascii="仿宋_GB2312" w:hAnsi="仿宋_GB2312" w:eastAsia="仿宋_GB2312" w:cs="仿宋_GB2312"/>
                <w:b/>
                <w:bCs/>
                <w:snapToGrid/>
                <w:color w:val="auto"/>
                <w:sz w:val="20"/>
                <w:szCs w:val="20"/>
                <w:lang w:eastAsia="zh-CN"/>
              </w:rPr>
            </w:pPr>
            <w:r>
              <w:rPr>
                <w:rFonts w:hint="eastAsia" w:ascii="仿宋_GB2312" w:hAnsi="仿宋_GB2312" w:eastAsia="仿宋_GB2312" w:cs="仿宋_GB2312"/>
                <w:b/>
                <w:bCs/>
                <w:snapToGrid/>
                <w:color w:val="auto"/>
                <w:sz w:val="20"/>
                <w:szCs w:val="20"/>
                <w:lang w:eastAsia="zh-CN"/>
              </w:rPr>
              <w:t>1.工科类图书</w:t>
            </w:r>
          </w:p>
          <w:p w14:paraId="60C9B5BD">
            <w:pPr>
              <w:spacing w:line="360" w:lineRule="auto"/>
              <w:rPr>
                <w:rFonts w:ascii="仿宋_GB2312" w:hAnsi="仿宋_GB2312" w:eastAsia="仿宋_GB2312" w:cs="仿宋_GB2312"/>
                <w:b/>
                <w:bCs/>
                <w:snapToGrid/>
                <w:color w:val="auto"/>
                <w:sz w:val="20"/>
                <w:szCs w:val="20"/>
                <w:lang w:eastAsia="zh-CN"/>
              </w:rPr>
            </w:pPr>
            <w:r>
              <w:rPr>
                <w:rFonts w:ascii="仿宋_GB2312" w:hAnsi="仿宋_GB2312" w:eastAsia="仿宋_GB2312" w:cs="仿宋_GB2312"/>
                <w:b/>
                <w:sz w:val="20"/>
                <w:lang w:eastAsia="zh-CN"/>
              </w:rPr>
              <w:t>2.技术参数</w:t>
            </w:r>
          </w:p>
          <w:p w14:paraId="354E00E8">
            <w:pPr>
              <w:spacing w:line="360" w:lineRule="auto"/>
              <w:ind w:firstLine="400" w:firstLineChars="200"/>
              <w:rPr>
                <w:rFonts w:ascii="仿宋_GB2312" w:hAnsi="仿宋_GB2312" w:eastAsia="仿宋_GB2312" w:cs="仿宋_GB2312"/>
                <w:snapToGrid/>
                <w:color w:val="auto"/>
                <w:sz w:val="20"/>
                <w:szCs w:val="20"/>
                <w:lang w:eastAsia="zh-Hans"/>
              </w:rPr>
            </w:pPr>
            <w:r>
              <w:rPr>
                <w:rFonts w:hint="eastAsia" w:ascii="仿宋_GB2312" w:hAnsi="仿宋_GB2312" w:eastAsia="仿宋_GB2312" w:cs="仿宋_GB2312"/>
                <w:snapToGrid/>
                <w:color w:val="auto"/>
                <w:sz w:val="20"/>
                <w:szCs w:val="20"/>
                <w:lang w:eastAsia="zh-Hans"/>
              </w:rPr>
              <w:t>1、基本要求</w:t>
            </w:r>
          </w:p>
          <w:p w14:paraId="0C8597AE">
            <w:pPr>
              <w:spacing w:line="360" w:lineRule="auto"/>
              <w:ind w:firstLine="400" w:firstLineChars="200"/>
              <w:rPr>
                <w:rFonts w:ascii="仿宋_GB2312" w:hAnsi="仿宋_GB2312" w:eastAsia="仿宋_GB2312" w:cs="仿宋_GB2312"/>
                <w:snapToGrid/>
                <w:color w:val="auto"/>
                <w:sz w:val="20"/>
                <w:szCs w:val="20"/>
                <w:lang w:eastAsia="zh-Hans"/>
              </w:rPr>
            </w:pPr>
            <w:r>
              <w:rPr>
                <w:rFonts w:hint="eastAsia" w:ascii="仿宋_GB2312" w:hAnsi="仿宋_GB2312" w:eastAsia="仿宋_GB2312" w:cs="仿宋_GB2312"/>
                <w:snapToGrid/>
                <w:color w:val="auto"/>
                <w:sz w:val="20"/>
                <w:szCs w:val="20"/>
                <w:lang w:eastAsia="zh-Hans"/>
              </w:rPr>
              <w:t>（1）第1包：工科类图书</w:t>
            </w:r>
          </w:p>
          <w:p w14:paraId="7C18A80D">
            <w:pPr>
              <w:spacing w:line="360" w:lineRule="auto"/>
              <w:ind w:firstLine="400" w:firstLineChars="200"/>
              <w:rPr>
                <w:rFonts w:ascii="仿宋_GB2312" w:hAnsi="仿宋_GB2312" w:eastAsia="仿宋_GB2312" w:cs="仿宋_GB2312"/>
                <w:snapToGrid/>
                <w:color w:val="auto"/>
                <w:sz w:val="20"/>
                <w:szCs w:val="20"/>
                <w:lang w:eastAsia="zh-Hans"/>
              </w:rPr>
            </w:pPr>
            <w:r>
              <w:rPr>
                <w:rFonts w:hint="eastAsia" w:ascii="仿宋_GB2312" w:hAnsi="仿宋_GB2312" w:eastAsia="仿宋_GB2312" w:cs="仿宋_GB2312"/>
                <w:snapToGrid/>
                <w:color w:val="auto"/>
                <w:sz w:val="20"/>
                <w:szCs w:val="20"/>
                <w:lang w:eastAsia="zh-Hans"/>
              </w:rPr>
              <w:t>① 投标单位与全国大多数出版机构有直接的业务往来，图书经营品种至少达到当年全国出版图书品种的60%以上。</w:t>
            </w:r>
          </w:p>
          <w:p w14:paraId="58F4039E">
            <w:pPr>
              <w:spacing w:line="360" w:lineRule="auto"/>
              <w:ind w:firstLine="400" w:firstLineChars="200"/>
              <w:rPr>
                <w:rFonts w:ascii="仿宋_GB2312" w:hAnsi="仿宋_GB2312" w:eastAsia="仿宋_GB2312" w:cs="仿宋_GB2312"/>
                <w:snapToGrid/>
                <w:color w:val="auto"/>
                <w:sz w:val="20"/>
                <w:szCs w:val="20"/>
                <w:lang w:eastAsia="zh-Hans"/>
              </w:rPr>
            </w:pPr>
            <w:r>
              <w:rPr>
                <w:rFonts w:hint="eastAsia" w:ascii="仿宋_GB2312" w:hAnsi="仿宋_GB2312" w:eastAsia="仿宋_GB2312" w:cs="仿宋_GB2312"/>
                <w:snapToGrid/>
                <w:color w:val="auto"/>
                <w:sz w:val="20"/>
                <w:szCs w:val="20"/>
                <w:lang w:eastAsia="zh-Hans"/>
              </w:rPr>
              <w:t>② 投标单位必须能保证涵盖我校95%以上理工科专业所需图书的采购供应，根据我校专业学科设置，提供机械、电子、电气、航空、建筑、室内设计、风景园林、航空测量、无人机、化工、材料、通信、电气、自动化、测绘、计算机、数控、汽车、物流等学科的中文图书；</w:t>
            </w:r>
          </w:p>
          <w:p w14:paraId="243B98D8">
            <w:pPr>
              <w:spacing w:line="360" w:lineRule="auto"/>
              <w:ind w:firstLine="400" w:firstLineChars="200"/>
              <w:rPr>
                <w:rFonts w:ascii="仿宋_GB2312" w:hAnsi="仿宋_GB2312" w:eastAsia="仿宋_GB2312" w:cs="仿宋_GB2312"/>
                <w:snapToGrid/>
                <w:color w:val="auto"/>
                <w:sz w:val="20"/>
                <w:szCs w:val="20"/>
                <w:lang w:eastAsia="zh-Hans"/>
              </w:rPr>
            </w:pPr>
            <w:r>
              <w:rPr>
                <w:rFonts w:hint="eastAsia" w:ascii="仿宋_GB2312" w:hAnsi="仿宋_GB2312" w:eastAsia="仿宋_GB2312" w:cs="仿宋_GB2312"/>
                <w:snapToGrid/>
                <w:color w:val="auto"/>
                <w:sz w:val="20"/>
                <w:szCs w:val="20"/>
                <w:lang w:eastAsia="zh-Hans"/>
              </w:rPr>
              <w:t>③ 投标单位必须能满足我校对高等教育出版社、科学出版社、机械工业出版社、化学工业出版社、电子工业出版社、人民邮电出版社、清华大学出版社、建筑工业出版社等用书。</w:t>
            </w:r>
          </w:p>
          <w:p w14:paraId="1D636525">
            <w:pPr>
              <w:spacing w:line="360" w:lineRule="auto"/>
              <w:ind w:firstLine="420" w:firstLineChars="200"/>
              <w:rPr>
                <w:rFonts w:ascii="仿宋_GB2312" w:hAnsi="仿宋_GB2312" w:eastAsia="仿宋_GB2312" w:cs="仿宋_GB2312"/>
                <w:snapToGrid/>
                <w:color w:val="auto"/>
                <w:sz w:val="20"/>
                <w:szCs w:val="20"/>
                <w:lang w:eastAsia="zh-Hans"/>
              </w:rPr>
            </w:pPr>
            <w:r>
              <w:rPr>
                <w:rFonts w:ascii="仿宋_GB2312" w:hAnsi="仿宋_GB2312" w:eastAsia="仿宋_GB2312" w:cs="仿宋_GB2312"/>
                <w:lang w:eastAsia="zh-CN"/>
              </w:rPr>
              <w:t>★</w:t>
            </w:r>
            <w:r>
              <w:rPr>
                <w:rFonts w:hint="eastAsia" w:ascii="仿宋_GB2312" w:hAnsi="仿宋_GB2312" w:eastAsia="仿宋_GB2312" w:cs="仿宋_GB2312"/>
                <w:snapToGrid/>
                <w:color w:val="auto"/>
                <w:sz w:val="20"/>
                <w:szCs w:val="20"/>
                <w:lang w:eastAsia="zh-Hans"/>
              </w:rPr>
              <w:t>④ 投标单位应保证本标段采购的图书不少于1.1万册。</w:t>
            </w:r>
          </w:p>
          <w:p w14:paraId="092C0BA5">
            <w:pPr>
              <w:spacing w:line="360" w:lineRule="auto"/>
              <w:ind w:firstLine="420" w:firstLineChars="200"/>
              <w:rPr>
                <w:rFonts w:ascii="仿宋_GB2312" w:hAnsi="仿宋_GB2312" w:eastAsia="仿宋_GB2312" w:cs="仿宋_GB2312"/>
                <w:snapToGrid/>
                <w:color w:val="auto"/>
                <w:sz w:val="20"/>
                <w:szCs w:val="20"/>
                <w:lang w:eastAsia="zh-Hans"/>
              </w:rPr>
            </w:pPr>
            <w:r>
              <w:rPr>
                <w:rFonts w:ascii="仿宋_GB2312" w:hAnsi="仿宋_GB2312" w:eastAsia="仿宋_GB2312" w:cs="仿宋_GB2312"/>
                <w:lang w:eastAsia="zh-CN"/>
              </w:rPr>
              <w:t>★</w:t>
            </w:r>
            <w:r>
              <w:rPr>
                <w:rFonts w:hint="eastAsia" w:ascii="仿宋_GB2312" w:hAnsi="仿宋_GB2312" w:eastAsia="仿宋_GB2312" w:cs="仿宋_GB2312"/>
                <w:snapToGrid/>
                <w:color w:val="auto"/>
                <w:sz w:val="20"/>
                <w:szCs w:val="20"/>
                <w:lang w:eastAsia="zh-Hans"/>
              </w:rPr>
              <w:t>2、图书质量要求</w:t>
            </w:r>
          </w:p>
          <w:p w14:paraId="79C76C30">
            <w:pPr>
              <w:spacing w:line="360" w:lineRule="auto"/>
              <w:ind w:firstLine="400" w:firstLineChars="200"/>
              <w:rPr>
                <w:rFonts w:ascii="仿宋_GB2312" w:hAnsi="仿宋_GB2312" w:eastAsia="仿宋_GB2312" w:cs="仿宋_GB2312"/>
                <w:snapToGrid/>
                <w:color w:val="auto"/>
                <w:sz w:val="20"/>
                <w:szCs w:val="20"/>
                <w:lang w:eastAsia="zh-Hans"/>
              </w:rPr>
            </w:pPr>
            <w:r>
              <w:rPr>
                <w:rFonts w:hint="eastAsia" w:ascii="仿宋_GB2312" w:hAnsi="仿宋_GB2312" w:eastAsia="仿宋_GB2312" w:cs="仿宋_GB2312"/>
                <w:snapToGrid/>
                <w:color w:val="auto"/>
                <w:sz w:val="20"/>
                <w:szCs w:val="20"/>
                <w:lang w:eastAsia="zh-Hans"/>
              </w:rPr>
              <w:t>（1）投标单位必须保证提供的图书为国家正规出版社的正版图书，不得加入盗版图书及其它类型非法出版物。若出现有盗版或其它类型非法出版物，一经查实，我校将拒付书款，终止合同，投标单位要承担所有经济损失和法律责任。</w:t>
            </w:r>
          </w:p>
          <w:p w14:paraId="728E76EE">
            <w:pPr>
              <w:spacing w:line="360" w:lineRule="auto"/>
              <w:ind w:firstLine="400" w:firstLineChars="200"/>
              <w:rPr>
                <w:rFonts w:ascii="仿宋_GB2312" w:hAnsi="仿宋_GB2312" w:eastAsia="仿宋_GB2312" w:cs="仿宋_GB2312"/>
                <w:snapToGrid/>
                <w:color w:val="auto"/>
                <w:sz w:val="20"/>
                <w:szCs w:val="20"/>
                <w:lang w:eastAsia="zh-Hans"/>
              </w:rPr>
            </w:pPr>
            <w:r>
              <w:rPr>
                <w:rFonts w:hint="eastAsia" w:ascii="仿宋_GB2312" w:hAnsi="仿宋_GB2312" w:eastAsia="仿宋_GB2312" w:cs="仿宋_GB2312"/>
                <w:snapToGrid/>
                <w:color w:val="auto"/>
                <w:sz w:val="20"/>
                <w:szCs w:val="20"/>
                <w:lang w:eastAsia="zh-Hans"/>
              </w:rPr>
              <w:t>（2）投标单位所供图书必须与我校图书馆提供的图书采购订单相符，不得更换或搭配未订购的图书，如果出现违例，超出订单以外的图书我校将不予以付款。</w:t>
            </w:r>
          </w:p>
          <w:p w14:paraId="5E756E49">
            <w:pPr>
              <w:spacing w:line="360" w:lineRule="auto"/>
              <w:ind w:firstLine="400" w:firstLineChars="200"/>
              <w:rPr>
                <w:rFonts w:ascii="仿宋_GB2312" w:hAnsi="仿宋_GB2312" w:eastAsia="仿宋_GB2312" w:cs="仿宋_GB2312"/>
                <w:snapToGrid/>
                <w:color w:val="auto"/>
                <w:sz w:val="20"/>
                <w:szCs w:val="20"/>
                <w:lang w:eastAsia="zh-Hans"/>
              </w:rPr>
            </w:pPr>
            <w:r>
              <w:rPr>
                <w:rFonts w:hint="eastAsia" w:ascii="仿宋_GB2312" w:hAnsi="仿宋_GB2312" w:eastAsia="仿宋_GB2312" w:cs="仿宋_GB2312"/>
                <w:snapToGrid/>
                <w:color w:val="auto"/>
                <w:sz w:val="20"/>
                <w:szCs w:val="20"/>
                <w:lang w:eastAsia="zh-Hans"/>
              </w:rPr>
              <w:t>（3）在验收图书的过程中，如发现因出版信息、预定信息不完整造成的不适合本馆收藏的，及其他原因造成重订、错订等图书，能保证无条件退货。因包装或运输过程造成的图书质量问题或损失，由投标单位负责。投标单位需派出人员驻校进行加工，并且费用自理。</w:t>
            </w:r>
          </w:p>
          <w:p w14:paraId="5A14E107">
            <w:pPr>
              <w:spacing w:line="360" w:lineRule="auto"/>
              <w:ind w:firstLine="400" w:firstLineChars="200"/>
              <w:rPr>
                <w:rFonts w:ascii="仿宋_GB2312" w:hAnsi="仿宋_GB2312" w:eastAsia="仿宋_GB2312" w:cs="仿宋_GB2312"/>
                <w:snapToGrid/>
                <w:color w:val="auto"/>
                <w:sz w:val="20"/>
                <w:szCs w:val="20"/>
                <w:lang w:eastAsia="zh-Hans"/>
              </w:rPr>
            </w:pPr>
            <w:r>
              <w:rPr>
                <w:rFonts w:hint="eastAsia" w:ascii="仿宋_GB2312" w:hAnsi="仿宋_GB2312" w:eastAsia="仿宋_GB2312" w:cs="仿宋_GB2312"/>
                <w:snapToGrid/>
                <w:color w:val="auto"/>
                <w:sz w:val="20"/>
                <w:szCs w:val="20"/>
                <w:lang w:eastAsia="zh-Hans"/>
              </w:rPr>
              <w:t>（4）对于出现开胶、散页、倒装、缺页、污损等有质量问题的图书，无论加工与否，投标单位必须无条件及时退换。</w:t>
            </w:r>
          </w:p>
          <w:p w14:paraId="6E09A2B5">
            <w:pPr>
              <w:spacing w:line="360" w:lineRule="auto"/>
              <w:ind w:firstLine="400" w:firstLineChars="200"/>
              <w:rPr>
                <w:rFonts w:ascii="仿宋_GB2312" w:hAnsi="仿宋_GB2312" w:eastAsia="仿宋_GB2312" w:cs="仿宋_GB2312"/>
                <w:snapToGrid/>
                <w:color w:val="auto"/>
                <w:sz w:val="20"/>
                <w:szCs w:val="20"/>
                <w:lang w:eastAsia="zh-Hans"/>
              </w:rPr>
            </w:pPr>
            <w:r>
              <w:rPr>
                <w:rFonts w:hint="eastAsia" w:ascii="仿宋_GB2312" w:hAnsi="仿宋_GB2312" w:eastAsia="仿宋_GB2312" w:cs="仿宋_GB2312"/>
                <w:snapToGrid/>
                <w:color w:val="auto"/>
                <w:sz w:val="20"/>
                <w:szCs w:val="20"/>
                <w:lang w:eastAsia="zh-Hans"/>
              </w:rPr>
              <w:t>3、服务要求</w:t>
            </w:r>
          </w:p>
          <w:p w14:paraId="02B3D971">
            <w:pPr>
              <w:spacing w:line="360" w:lineRule="auto"/>
              <w:ind w:firstLine="400" w:firstLineChars="200"/>
              <w:rPr>
                <w:rFonts w:ascii="仿宋_GB2312" w:hAnsi="仿宋_GB2312" w:eastAsia="仿宋_GB2312" w:cs="仿宋_GB2312"/>
                <w:snapToGrid/>
                <w:color w:val="auto"/>
                <w:sz w:val="20"/>
                <w:szCs w:val="20"/>
                <w:lang w:eastAsia="zh-Hans"/>
              </w:rPr>
            </w:pPr>
            <w:r>
              <w:rPr>
                <w:rFonts w:hint="eastAsia" w:ascii="仿宋_GB2312" w:hAnsi="仿宋_GB2312" w:eastAsia="仿宋_GB2312" w:cs="仿宋_GB2312"/>
                <w:snapToGrid/>
                <w:color w:val="auto"/>
                <w:sz w:val="20"/>
                <w:szCs w:val="20"/>
                <w:lang w:eastAsia="zh-Hans"/>
              </w:rPr>
              <w:t>（1）、投标单位应免费及时提供全国各大出版社出版的最新图书目录信息，书目数据要完整，应包含ISBN、书名、作者、价格、摘要、读者对象、丛编、版本、开本、页码等详细信息。能根据我校需求提供各种能体现我校办学特色、转型发展的专题采购书目。投标单位提供的图书目录信息所包含的图书必须是2026年出版的新书，所有标段的投标单位提供的书目信息不应包含能源、医疗、农业等与我校专业无关的图书。书目应该包含但不限于本标段指定的出版社所出版的图书。</w:t>
            </w:r>
          </w:p>
          <w:p w14:paraId="48A975E1">
            <w:pPr>
              <w:spacing w:line="360" w:lineRule="auto"/>
              <w:ind w:firstLine="400" w:firstLineChars="200"/>
              <w:rPr>
                <w:rFonts w:ascii="仿宋_GB2312" w:hAnsi="仿宋_GB2312" w:eastAsia="仿宋_GB2312" w:cs="仿宋_GB2312"/>
                <w:snapToGrid/>
                <w:color w:val="auto"/>
                <w:sz w:val="20"/>
                <w:szCs w:val="20"/>
                <w:lang w:eastAsia="zh-Hans"/>
              </w:rPr>
            </w:pPr>
            <w:r>
              <w:rPr>
                <w:rFonts w:hint="eastAsia" w:ascii="仿宋_GB2312" w:hAnsi="仿宋_GB2312" w:eastAsia="仿宋_GB2312" w:cs="仿宋_GB2312"/>
                <w:snapToGrid/>
                <w:color w:val="auto"/>
                <w:sz w:val="20"/>
                <w:szCs w:val="20"/>
                <w:lang w:eastAsia="zh-Hans"/>
              </w:rPr>
              <w:t>（2）、投标单位收到图书采购订单后应在一个工作日内以电话、电子邮件方式回告，核实订单的图书预订册数和金额，以最短时间、最优方案根据我校图书馆提供的书目订单组织图书。及时向我校图书馆通报图书组织情况，对于未采购到的图书说明原因。</w:t>
            </w:r>
          </w:p>
          <w:p w14:paraId="281C0A90">
            <w:pPr>
              <w:spacing w:line="360" w:lineRule="auto"/>
              <w:ind w:firstLine="400" w:firstLineChars="200"/>
              <w:rPr>
                <w:rFonts w:ascii="仿宋_GB2312" w:hAnsi="仿宋_GB2312" w:eastAsia="仿宋_GB2312" w:cs="仿宋_GB2312"/>
                <w:snapToGrid/>
                <w:color w:val="auto"/>
                <w:sz w:val="20"/>
                <w:szCs w:val="20"/>
                <w:lang w:eastAsia="zh-Hans"/>
              </w:rPr>
            </w:pPr>
            <w:r>
              <w:rPr>
                <w:rFonts w:hint="eastAsia" w:ascii="仿宋_GB2312" w:hAnsi="仿宋_GB2312" w:eastAsia="仿宋_GB2312" w:cs="仿宋_GB2312"/>
                <w:snapToGrid/>
                <w:color w:val="auto"/>
                <w:sz w:val="20"/>
                <w:szCs w:val="20"/>
                <w:lang w:eastAsia="zh-Hans"/>
              </w:rPr>
              <w:t>（3）、当部分图书出版实际价格比订单价格额高出30%、ISBN和书名等信息与采访数据不符时，投标单位应及时与我校图书馆联系确认后再组织图书。否则，我校图书馆有权拒收。</w:t>
            </w:r>
          </w:p>
          <w:p w14:paraId="56CE0E47">
            <w:pPr>
              <w:spacing w:line="360" w:lineRule="auto"/>
              <w:ind w:firstLine="400" w:firstLineChars="200"/>
              <w:rPr>
                <w:rFonts w:ascii="仿宋_GB2312" w:hAnsi="仿宋_GB2312" w:eastAsia="仿宋_GB2312" w:cs="仿宋_GB2312"/>
                <w:snapToGrid/>
                <w:color w:val="auto"/>
                <w:sz w:val="20"/>
                <w:szCs w:val="20"/>
                <w:lang w:eastAsia="zh-Hans"/>
              </w:rPr>
            </w:pPr>
            <w:r>
              <w:rPr>
                <w:rFonts w:hint="eastAsia" w:ascii="仿宋_GB2312" w:hAnsi="仿宋_GB2312" w:eastAsia="仿宋_GB2312" w:cs="仿宋_GB2312"/>
                <w:snapToGrid/>
                <w:color w:val="auto"/>
                <w:sz w:val="20"/>
                <w:szCs w:val="20"/>
                <w:lang w:eastAsia="zh-Hans"/>
              </w:rPr>
              <w:t>（4）、投标单位应满足我校图书馆提出的到全国大型书市、各级图书展览会或指定地点现场采购图书的要求，负责安排图书现采有关事宜，并承担相关费用。</w:t>
            </w:r>
          </w:p>
          <w:p w14:paraId="3A069D13">
            <w:pPr>
              <w:spacing w:line="360" w:lineRule="auto"/>
              <w:ind w:firstLine="400" w:firstLineChars="200"/>
              <w:rPr>
                <w:rFonts w:ascii="仿宋_GB2312" w:hAnsi="仿宋_GB2312" w:eastAsia="仿宋_GB2312" w:cs="仿宋_GB2312"/>
                <w:snapToGrid/>
                <w:color w:val="auto"/>
                <w:sz w:val="20"/>
                <w:szCs w:val="20"/>
                <w:lang w:eastAsia="zh-Hans"/>
              </w:rPr>
            </w:pPr>
            <w:r>
              <w:rPr>
                <w:rFonts w:hint="eastAsia" w:ascii="仿宋_GB2312" w:hAnsi="仿宋_GB2312" w:eastAsia="仿宋_GB2312" w:cs="仿宋_GB2312"/>
                <w:snapToGrid/>
                <w:color w:val="auto"/>
                <w:sz w:val="20"/>
                <w:szCs w:val="20"/>
                <w:lang w:eastAsia="zh-Hans"/>
              </w:rPr>
              <w:t xml:space="preserve">（5）、投标单位收到我校图书馆图书订购单之日起，预订中文图书应在20个自然日内送书到指定地点，到书率不低于90%；现采中文图书应在15个自然日内送书到指定地点，到书率不低于98%。采购图书未按时间要求送到我校图书馆的，我校将拒付书款，终止合同，投标单位要承担所有经济损失和法律责任。 </w:t>
            </w:r>
          </w:p>
          <w:p w14:paraId="2AC4AF3B">
            <w:pPr>
              <w:spacing w:line="360" w:lineRule="auto"/>
              <w:ind w:firstLine="420" w:firstLineChars="200"/>
              <w:rPr>
                <w:rFonts w:ascii="仿宋_GB2312" w:hAnsi="仿宋_GB2312" w:eastAsia="仿宋_GB2312" w:cs="仿宋_GB2312"/>
                <w:snapToGrid/>
                <w:color w:val="auto"/>
                <w:sz w:val="20"/>
                <w:szCs w:val="20"/>
                <w:lang w:eastAsia="zh-Hans"/>
              </w:rPr>
            </w:pPr>
            <w:r>
              <w:rPr>
                <w:rFonts w:ascii="仿宋_GB2312" w:hAnsi="仿宋_GB2312" w:eastAsia="仿宋_GB2312" w:cs="仿宋_GB2312"/>
                <w:lang w:eastAsia="zh-CN"/>
              </w:rPr>
              <w:t>★</w:t>
            </w:r>
            <w:r>
              <w:rPr>
                <w:rFonts w:hint="eastAsia" w:ascii="仿宋_GB2312" w:hAnsi="仿宋_GB2312" w:eastAsia="仿宋_GB2312" w:cs="仿宋_GB2312"/>
                <w:snapToGrid/>
                <w:color w:val="auto"/>
                <w:sz w:val="20"/>
                <w:szCs w:val="20"/>
                <w:lang w:eastAsia="zh-Hans"/>
              </w:rPr>
              <w:t>（6）、投标单位将图书免费送到我校图书馆指定地点，对涉及我校两校区共同收藏的图书品种，投标单位应按照我校图书馆要求在图书加工及编目前（或后）免费将对应图书送到指定位置，并承担期间发生的费用。随书提供图书总清单一份和每包书清单一式两份，总清单上要注明订单号、批次号、本批书种数、册数、码洋，分包清单注明该包书的码洋、书名、书号、定价、出版社、复本等详细信息，以便于图书的验收。送书同时将本批书的编目MARC数据发到我校图书馆。图书在到达指定地点前发生的不可预见的风险均由投标单位承担。</w:t>
            </w:r>
          </w:p>
          <w:p w14:paraId="56832F4B">
            <w:pPr>
              <w:spacing w:line="360" w:lineRule="auto"/>
              <w:ind w:firstLine="400" w:firstLineChars="200"/>
              <w:rPr>
                <w:rFonts w:ascii="仿宋_GB2312" w:hAnsi="仿宋_GB2312" w:eastAsia="仿宋_GB2312" w:cs="仿宋_GB2312"/>
                <w:snapToGrid/>
                <w:color w:val="auto"/>
                <w:sz w:val="20"/>
                <w:szCs w:val="20"/>
                <w:lang w:eastAsia="zh-Hans"/>
              </w:rPr>
            </w:pPr>
            <w:r>
              <w:rPr>
                <w:rFonts w:hint="eastAsia" w:ascii="仿宋_GB2312" w:hAnsi="仿宋_GB2312" w:eastAsia="仿宋_GB2312" w:cs="仿宋_GB2312"/>
                <w:snapToGrid/>
                <w:color w:val="auto"/>
                <w:sz w:val="20"/>
                <w:szCs w:val="20"/>
                <w:lang w:eastAsia="zh-Hans"/>
              </w:rPr>
              <w:t>（7）、投标单位有为我校采购图书查重的义务。采购图书到馆后重复的，投标单位应无条件退换。</w:t>
            </w:r>
          </w:p>
          <w:p w14:paraId="01BA2751">
            <w:pPr>
              <w:spacing w:line="360" w:lineRule="auto"/>
              <w:ind w:firstLine="400" w:firstLineChars="200"/>
              <w:rPr>
                <w:rFonts w:ascii="仿宋_GB2312" w:hAnsi="仿宋_GB2312" w:eastAsia="仿宋_GB2312" w:cs="仿宋_GB2312"/>
                <w:snapToGrid/>
                <w:color w:val="auto"/>
                <w:sz w:val="20"/>
                <w:szCs w:val="20"/>
                <w:lang w:eastAsia="zh-Hans"/>
              </w:rPr>
            </w:pPr>
            <w:r>
              <w:rPr>
                <w:rFonts w:hint="eastAsia" w:ascii="仿宋_GB2312" w:hAnsi="仿宋_GB2312" w:eastAsia="仿宋_GB2312" w:cs="仿宋_GB2312"/>
                <w:snapToGrid/>
                <w:color w:val="auto"/>
                <w:sz w:val="20"/>
                <w:szCs w:val="20"/>
                <w:lang w:eastAsia="zh-Hans"/>
              </w:rPr>
              <w:t>（8）、投标单位应具有满足招标单位现场采购图书要求的固定的营业场所，或可供现采的仓储式现货库房或样本库。外省投标单位需在我校所处地域或周边设有办事处。</w:t>
            </w:r>
          </w:p>
          <w:p w14:paraId="5D830473">
            <w:pPr>
              <w:spacing w:line="360" w:lineRule="auto"/>
              <w:ind w:firstLine="400" w:firstLineChars="200"/>
              <w:rPr>
                <w:rFonts w:ascii="仿宋_GB2312" w:hAnsi="仿宋_GB2312" w:eastAsia="仿宋_GB2312" w:cs="仿宋_GB2312"/>
                <w:snapToGrid/>
                <w:color w:val="auto"/>
                <w:sz w:val="20"/>
                <w:szCs w:val="20"/>
                <w:lang w:eastAsia="zh-Hans"/>
              </w:rPr>
            </w:pPr>
            <w:r>
              <w:rPr>
                <w:rFonts w:hint="eastAsia" w:ascii="仿宋_GB2312" w:hAnsi="仿宋_GB2312" w:eastAsia="仿宋_GB2312" w:cs="仿宋_GB2312"/>
                <w:snapToGrid/>
                <w:color w:val="auto"/>
                <w:sz w:val="20"/>
                <w:szCs w:val="20"/>
                <w:lang w:eastAsia="zh-Hans"/>
              </w:rPr>
              <w:t>（9）、投标单位应提供线上选购图书服务。</w:t>
            </w:r>
          </w:p>
          <w:p w14:paraId="064E8833">
            <w:pPr>
              <w:spacing w:line="360" w:lineRule="auto"/>
              <w:ind w:firstLine="420" w:firstLineChars="200"/>
              <w:rPr>
                <w:rFonts w:ascii="仿宋_GB2312" w:hAnsi="仿宋_GB2312" w:eastAsia="仿宋_GB2312" w:cs="仿宋_GB2312"/>
                <w:snapToGrid/>
                <w:color w:val="auto"/>
                <w:sz w:val="20"/>
                <w:szCs w:val="20"/>
                <w:lang w:eastAsia="zh-Hans"/>
              </w:rPr>
            </w:pPr>
            <w:r>
              <w:rPr>
                <w:rFonts w:ascii="仿宋_GB2312" w:hAnsi="仿宋_GB2312" w:eastAsia="仿宋_GB2312" w:cs="仿宋_GB2312"/>
                <w:lang w:eastAsia="zh-CN"/>
              </w:rPr>
              <w:t>★</w:t>
            </w:r>
            <w:r>
              <w:rPr>
                <w:rFonts w:hint="eastAsia" w:ascii="仿宋_GB2312" w:hAnsi="仿宋_GB2312" w:eastAsia="仿宋_GB2312" w:cs="仿宋_GB2312"/>
                <w:snapToGrid/>
                <w:color w:val="auto"/>
                <w:sz w:val="20"/>
                <w:szCs w:val="20"/>
                <w:lang w:eastAsia="zh-Hans"/>
              </w:rPr>
              <w:t>（10）、投标单位所提供的图书价格是包干价，包括现采所需费用、运费、税费、招标代理服务费、售后服务费等一切费用，还应包括免费全加工服务（图书加工中涉及到的RFID芯片【远望谷】、条形码、磁条、胶带等所有材料由投标人按学校要求的规格及质量免费提供）及新编图书按图书馆要求免费上架服务。</w:t>
            </w:r>
          </w:p>
          <w:p w14:paraId="0DCBBD89">
            <w:pPr>
              <w:spacing w:line="360" w:lineRule="auto"/>
              <w:ind w:firstLine="400" w:firstLineChars="200"/>
              <w:rPr>
                <w:rFonts w:ascii="仿宋_GB2312" w:hAnsi="仿宋_GB2312" w:eastAsia="仿宋_GB2312" w:cs="仿宋_GB2312"/>
                <w:snapToGrid/>
                <w:color w:val="auto"/>
                <w:sz w:val="20"/>
                <w:szCs w:val="20"/>
                <w:lang w:eastAsia="zh-Hans"/>
              </w:rPr>
            </w:pPr>
            <w:r>
              <w:rPr>
                <w:rFonts w:hint="eastAsia" w:ascii="仿宋_GB2312" w:hAnsi="仿宋_GB2312" w:eastAsia="仿宋_GB2312" w:cs="仿宋_GB2312"/>
                <w:snapToGrid/>
                <w:color w:val="auto"/>
                <w:sz w:val="20"/>
                <w:szCs w:val="20"/>
                <w:lang w:eastAsia="zh-Hans"/>
              </w:rPr>
              <w:t>（11）、订购图书经我校图书馆验收合格后予以付款，付款金额以实际验收图书为准。投标单位应履行其价格结算优惠承诺，提供合法正规的发票，并在发票上注明图书码洋、册数、销售折扣、实洋等项内容。</w:t>
            </w:r>
          </w:p>
          <w:p w14:paraId="5C32DC4D">
            <w:pPr>
              <w:spacing w:line="360" w:lineRule="auto"/>
              <w:ind w:firstLine="400" w:firstLineChars="200"/>
              <w:rPr>
                <w:rFonts w:ascii="仿宋_GB2312" w:hAnsi="仿宋_GB2312" w:eastAsia="仿宋_GB2312" w:cs="仿宋_GB2312"/>
                <w:snapToGrid/>
                <w:color w:val="auto"/>
                <w:sz w:val="20"/>
                <w:szCs w:val="20"/>
                <w:lang w:eastAsia="zh-Hans"/>
              </w:rPr>
            </w:pPr>
            <w:r>
              <w:rPr>
                <w:rFonts w:hint="eastAsia" w:ascii="仿宋_GB2312" w:hAnsi="仿宋_GB2312" w:eastAsia="仿宋_GB2312" w:cs="仿宋_GB2312"/>
                <w:snapToGrid/>
                <w:color w:val="auto"/>
                <w:sz w:val="20"/>
                <w:szCs w:val="20"/>
                <w:lang w:eastAsia="zh-Hans"/>
              </w:rPr>
              <w:t xml:space="preserve">（12）、投标单位应积极协助采购方解决在采购过程中遇见的其他问题。 </w:t>
            </w:r>
          </w:p>
          <w:p w14:paraId="263A6445">
            <w:pPr>
              <w:spacing w:line="360" w:lineRule="auto"/>
              <w:ind w:firstLine="400" w:firstLineChars="200"/>
              <w:rPr>
                <w:rFonts w:ascii="仿宋_GB2312" w:hAnsi="仿宋_GB2312" w:eastAsia="仿宋_GB2312" w:cs="仿宋_GB2312"/>
                <w:snapToGrid/>
                <w:color w:val="auto"/>
                <w:sz w:val="20"/>
                <w:szCs w:val="20"/>
                <w:lang w:eastAsia="zh-CN"/>
              </w:rPr>
            </w:pPr>
            <w:r>
              <w:rPr>
                <w:rFonts w:hint="eastAsia" w:ascii="仿宋_GB2312" w:hAnsi="仿宋_GB2312" w:eastAsia="仿宋_GB2312" w:cs="仿宋_GB2312"/>
                <w:snapToGrid/>
                <w:color w:val="auto"/>
                <w:sz w:val="20"/>
                <w:szCs w:val="20"/>
                <w:lang w:eastAsia="zh-CN"/>
              </w:rPr>
              <w:t>（13）、投标单位给采购人提供不少于1000套的图书加工中涉及到的RFID芯片【远望谷】、条形码、磁条、胶带等所有材料。</w:t>
            </w:r>
          </w:p>
          <w:p w14:paraId="29256CEE">
            <w:pPr>
              <w:spacing w:line="360" w:lineRule="auto"/>
              <w:ind w:firstLine="400" w:firstLineChars="200"/>
              <w:rPr>
                <w:rFonts w:ascii="仿宋_GB2312" w:hAnsi="仿宋_GB2312" w:eastAsia="仿宋_GB2312" w:cs="仿宋_GB2312"/>
                <w:snapToGrid/>
                <w:color w:val="auto"/>
                <w:sz w:val="20"/>
                <w:szCs w:val="20"/>
                <w:lang w:eastAsia="zh-Hans"/>
              </w:rPr>
            </w:pPr>
            <w:r>
              <w:rPr>
                <w:rFonts w:hint="eastAsia" w:ascii="仿宋_GB2312" w:hAnsi="仿宋_GB2312" w:eastAsia="仿宋_GB2312" w:cs="仿宋_GB2312"/>
                <w:snapToGrid/>
                <w:color w:val="auto"/>
                <w:sz w:val="20"/>
                <w:szCs w:val="20"/>
                <w:lang w:eastAsia="zh-Hans"/>
              </w:rPr>
              <w:t>4、加工技术要求</w:t>
            </w:r>
          </w:p>
          <w:p w14:paraId="1BD0B357">
            <w:pPr>
              <w:spacing w:line="360" w:lineRule="auto"/>
              <w:ind w:firstLine="400" w:firstLineChars="200"/>
              <w:rPr>
                <w:rFonts w:ascii="仿宋_GB2312" w:hAnsi="仿宋_GB2312" w:eastAsia="仿宋_GB2312" w:cs="仿宋_GB2312"/>
                <w:snapToGrid/>
                <w:color w:val="auto"/>
                <w:sz w:val="20"/>
                <w:szCs w:val="20"/>
                <w:lang w:eastAsia="zh-Hans"/>
              </w:rPr>
            </w:pPr>
            <w:r>
              <w:rPr>
                <w:rFonts w:hint="eastAsia" w:ascii="仿宋_GB2312" w:hAnsi="仿宋_GB2312" w:eastAsia="仿宋_GB2312" w:cs="仿宋_GB2312"/>
                <w:snapToGrid/>
                <w:color w:val="auto"/>
                <w:sz w:val="20"/>
                <w:szCs w:val="20"/>
                <w:lang w:eastAsia="zh-Hans"/>
              </w:rPr>
              <w:t>（1）、投标单位必须能够提供印刷和机读目录，包括采访数据和编目MARC数据，数据格式符合《CALIS联合目录中文图书著录细则》，标准图书分类以《中国图书馆分类法》为准，并能适用于我校图书馆使用的管理系统（投标单位可提供MARC数据样本以及其编目人员经CALIS或国家图书馆培训合格证明）。同时，确保所提供的数据能正常传递、下载、数据导入并及时更新。</w:t>
            </w:r>
          </w:p>
          <w:p w14:paraId="307CD205">
            <w:pPr>
              <w:spacing w:line="360" w:lineRule="auto"/>
              <w:ind w:firstLine="400" w:firstLineChars="200"/>
              <w:rPr>
                <w:rFonts w:ascii="仿宋_GB2312" w:hAnsi="仿宋_GB2312" w:eastAsia="仿宋_GB2312" w:cs="仿宋_GB2312"/>
                <w:snapToGrid/>
                <w:color w:val="auto"/>
                <w:sz w:val="20"/>
                <w:szCs w:val="20"/>
                <w:lang w:eastAsia="zh-Hans"/>
              </w:rPr>
            </w:pPr>
            <w:r>
              <w:rPr>
                <w:rFonts w:hint="eastAsia" w:ascii="仿宋_GB2312" w:hAnsi="仿宋_GB2312" w:eastAsia="仿宋_GB2312" w:cs="仿宋_GB2312"/>
                <w:snapToGrid/>
                <w:color w:val="auto"/>
                <w:sz w:val="20"/>
                <w:szCs w:val="20"/>
                <w:lang w:eastAsia="zh-Hans"/>
              </w:rPr>
              <w:t>（2）、投标单位须免费为我院图书馆提供符合我院要求的所有图书加工服务，主要包括：</w:t>
            </w:r>
          </w:p>
          <w:p w14:paraId="3F91D33F">
            <w:pPr>
              <w:spacing w:line="360" w:lineRule="auto"/>
              <w:ind w:firstLine="400" w:firstLineChars="200"/>
              <w:rPr>
                <w:rFonts w:ascii="仿宋_GB2312" w:hAnsi="仿宋_GB2312" w:eastAsia="仿宋_GB2312" w:cs="仿宋_GB2312"/>
                <w:snapToGrid/>
                <w:color w:val="auto"/>
                <w:sz w:val="20"/>
                <w:szCs w:val="20"/>
                <w:lang w:eastAsia="zh-Hans"/>
              </w:rPr>
            </w:pPr>
            <w:r>
              <w:rPr>
                <w:rFonts w:hint="eastAsia" w:ascii="仿宋_GB2312" w:hAnsi="仿宋_GB2312" w:eastAsia="仿宋_GB2312" w:cs="仿宋_GB2312"/>
                <w:snapToGrid/>
                <w:color w:val="auto"/>
                <w:sz w:val="20"/>
                <w:szCs w:val="20"/>
                <w:lang w:eastAsia="zh-Hans"/>
              </w:rPr>
              <w:t>免费提供粘贴防盗磁条（使用指定厂商的16厘米钴基复合充销磁条，在保证图书能正常进行充消磁的前提下，一般图书300页以内安放1根，页码每超过300页多加1条。要求埋设磁条贴近图书装订缝处，牢固隐蔽不易发现。）；免费提供并粘贴条形码、RFID芯片（具体规格型号由甲方指定并确认）。</w:t>
            </w:r>
          </w:p>
          <w:p w14:paraId="5861F206">
            <w:pPr>
              <w:spacing w:line="360" w:lineRule="auto"/>
              <w:ind w:firstLine="400" w:firstLineChars="200"/>
              <w:rPr>
                <w:rFonts w:ascii="仿宋_GB2312" w:hAnsi="仿宋_GB2312" w:eastAsia="仿宋_GB2312" w:cs="仿宋_GB2312"/>
                <w:snapToGrid/>
                <w:color w:val="auto"/>
                <w:sz w:val="20"/>
                <w:szCs w:val="20"/>
                <w:lang w:eastAsia="zh-Hans"/>
              </w:rPr>
            </w:pPr>
            <w:r>
              <w:rPr>
                <w:rFonts w:hint="eastAsia" w:ascii="仿宋_GB2312" w:hAnsi="仿宋_GB2312" w:eastAsia="仿宋_GB2312" w:cs="仿宋_GB2312"/>
                <w:snapToGrid/>
                <w:color w:val="auto"/>
                <w:sz w:val="20"/>
                <w:szCs w:val="20"/>
                <w:lang w:eastAsia="zh-Hans"/>
              </w:rPr>
              <w:t>以上服务涉及的相关材料及人工费用由投标单位承担。</w:t>
            </w:r>
          </w:p>
          <w:p w14:paraId="408EBDBA">
            <w:pPr>
              <w:spacing w:line="360" w:lineRule="auto"/>
              <w:ind w:firstLine="400" w:firstLineChars="200"/>
              <w:rPr>
                <w:rFonts w:ascii="仿宋_GB2312" w:hAnsi="仿宋_GB2312" w:eastAsia="仿宋_GB2312" w:cs="仿宋_GB2312"/>
                <w:snapToGrid/>
                <w:color w:val="auto"/>
                <w:sz w:val="20"/>
                <w:szCs w:val="20"/>
                <w:lang w:eastAsia="zh-Hans"/>
              </w:rPr>
            </w:pPr>
            <w:r>
              <w:rPr>
                <w:rFonts w:hint="eastAsia" w:ascii="仿宋_GB2312" w:hAnsi="仿宋_GB2312" w:eastAsia="仿宋_GB2312" w:cs="仿宋_GB2312"/>
                <w:snapToGrid/>
                <w:color w:val="auto"/>
                <w:sz w:val="20"/>
                <w:szCs w:val="20"/>
                <w:lang w:eastAsia="zh-Hans"/>
              </w:rPr>
              <w:t>（3）、投标单位需配备一定数量的专业图书著录技术人员，并按照图书馆要求在规定时间内免费完成图书编目上架工作。进驻图书馆进行编目人员必须具有使用图创图书管理系统进行编目的工作经验，编制新书书目数据按招标单位的标准执行。图书分编按照发书批次进行，每批图书分编差错率按品种计不超过0.2%；分编差错率超过三批取消下一次招标资格。</w:t>
            </w:r>
          </w:p>
          <w:p w14:paraId="3F11517A">
            <w:pPr>
              <w:spacing w:line="360" w:lineRule="auto"/>
              <w:ind w:firstLine="400" w:firstLineChars="200"/>
              <w:rPr>
                <w:rFonts w:ascii="仿宋_GB2312" w:hAnsi="仿宋_GB2312" w:eastAsia="仿宋_GB2312" w:cs="仿宋_GB2312"/>
                <w:snapToGrid/>
                <w:color w:val="auto"/>
                <w:sz w:val="20"/>
                <w:szCs w:val="20"/>
                <w:lang w:eastAsia="zh-Hans"/>
              </w:rPr>
            </w:pPr>
            <w:r>
              <w:rPr>
                <w:rFonts w:hint="eastAsia" w:ascii="仿宋_GB2312" w:hAnsi="仿宋_GB2312" w:eastAsia="仿宋_GB2312" w:cs="仿宋_GB2312"/>
                <w:snapToGrid/>
                <w:color w:val="auto"/>
                <w:sz w:val="20"/>
                <w:szCs w:val="20"/>
                <w:lang w:eastAsia="zh-Hans"/>
              </w:rPr>
              <w:t xml:space="preserve">（4）、投标单位应保证所有加工、编目图书能够通过图创图书管理系统正常管理及借阅。如有错误，投标单位必须在48小时内到馆解决。 </w:t>
            </w:r>
          </w:p>
          <w:p w14:paraId="166F850C">
            <w:pPr>
              <w:spacing w:line="360" w:lineRule="auto"/>
              <w:ind w:firstLine="420" w:firstLineChars="200"/>
              <w:rPr>
                <w:rFonts w:ascii="仿宋_GB2312" w:hAnsi="仿宋_GB2312" w:eastAsia="仿宋_GB2312" w:cs="仿宋_GB2312"/>
                <w:snapToGrid/>
                <w:color w:val="auto"/>
                <w:sz w:val="20"/>
                <w:szCs w:val="20"/>
                <w:lang w:eastAsia="zh-Hans"/>
              </w:rPr>
            </w:pPr>
            <w:r>
              <w:rPr>
                <w:rFonts w:ascii="仿宋_GB2312" w:hAnsi="仿宋_GB2312" w:eastAsia="仿宋_GB2312" w:cs="仿宋_GB2312"/>
                <w:lang w:eastAsia="zh-CN"/>
              </w:rPr>
              <w:t>★</w:t>
            </w:r>
            <w:r>
              <w:rPr>
                <w:rFonts w:hint="eastAsia" w:ascii="仿宋_GB2312" w:hAnsi="仿宋_GB2312" w:eastAsia="仿宋_GB2312" w:cs="仿宋_GB2312"/>
                <w:snapToGrid/>
                <w:color w:val="auto"/>
                <w:sz w:val="20"/>
                <w:szCs w:val="20"/>
                <w:lang w:eastAsia="zh-Hans"/>
              </w:rPr>
              <w:t>5、图书上架要求</w:t>
            </w:r>
          </w:p>
          <w:p w14:paraId="4F4FDB06">
            <w:pPr>
              <w:spacing w:line="360" w:lineRule="auto"/>
              <w:ind w:firstLine="400" w:firstLineChars="200"/>
              <w:rPr>
                <w:rFonts w:ascii="仿宋_GB2312" w:hAnsi="仿宋_GB2312" w:eastAsia="仿宋_GB2312" w:cs="仿宋_GB2312"/>
                <w:snapToGrid/>
                <w:color w:val="auto"/>
                <w:sz w:val="20"/>
                <w:szCs w:val="20"/>
                <w:lang w:eastAsia="zh-Hans"/>
              </w:rPr>
            </w:pPr>
            <w:r>
              <w:rPr>
                <w:rFonts w:hint="eastAsia" w:ascii="仿宋_GB2312" w:hAnsi="仿宋_GB2312" w:eastAsia="仿宋_GB2312" w:cs="仿宋_GB2312"/>
                <w:snapToGrid/>
                <w:color w:val="auto"/>
                <w:sz w:val="20"/>
                <w:szCs w:val="20"/>
                <w:lang w:eastAsia="zh-Hans"/>
              </w:rPr>
              <w:t>（1）、投标单位应根据中图分类法，按照图书馆要求按时免费完成新编图书上架工作，上架图书位置差错率不得高于0.05%。</w:t>
            </w:r>
          </w:p>
          <w:p w14:paraId="459261D3">
            <w:pPr>
              <w:spacing w:line="360" w:lineRule="auto"/>
              <w:ind w:firstLine="400" w:firstLineChars="200"/>
              <w:rPr>
                <w:rFonts w:ascii="仿宋_GB2312" w:hAnsi="仿宋_GB2312" w:eastAsia="仿宋_GB2312" w:cs="仿宋_GB2312"/>
                <w:snapToGrid/>
                <w:color w:val="auto"/>
                <w:sz w:val="20"/>
                <w:szCs w:val="20"/>
                <w:lang w:eastAsia="zh-Hans"/>
              </w:rPr>
            </w:pPr>
            <w:r>
              <w:rPr>
                <w:rFonts w:hint="eastAsia" w:ascii="仿宋_GB2312" w:hAnsi="仿宋_GB2312" w:eastAsia="仿宋_GB2312" w:cs="仿宋_GB2312"/>
                <w:snapToGrid/>
                <w:color w:val="auto"/>
                <w:sz w:val="20"/>
                <w:szCs w:val="20"/>
                <w:lang w:eastAsia="zh-Hans"/>
              </w:rPr>
              <w:t>（2）、投标单位在完成新编图书上架工作后应及时与书库管理人员完成交接工作。</w:t>
            </w:r>
          </w:p>
          <w:p w14:paraId="1BBFC408">
            <w:pPr>
              <w:spacing w:line="360" w:lineRule="auto"/>
              <w:ind w:firstLine="400" w:firstLineChars="200"/>
              <w:rPr>
                <w:lang w:eastAsia="zh-CN"/>
              </w:rPr>
            </w:pPr>
            <w:r>
              <w:rPr>
                <w:rFonts w:hint="eastAsia" w:ascii="仿宋_GB2312" w:hAnsi="仿宋_GB2312" w:eastAsia="仿宋_GB2312" w:cs="仿宋_GB2312"/>
                <w:snapToGrid/>
                <w:color w:val="auto"/>
                <w:sz w:val="20"/>
                <w:szCs w:val="20"/>
                <w:lang w:eastAsia="zh-Hans"/>
              </w:rPr>
              <w:t>（3）、对于在上架过程中发现的编目错误的图书，投标单位应立即对错误进行修改，修改所需的所有材料及人工费用由投标单位承担。</w:t>
            </w:r>
          </w:p>
        </w:tc>
      </w:tr>
    </w:tbl>
    <w:p w14:paraId="18B65198">
      <w:pPr>
        <w:pStyle w:val="17"/>
        <w:rPr>
          <w:rFonts w:hint="default"/>
        </w:rPr>
      </w:pPr>
      <w:r>
        <w:rPr>
          <w:rFonts w:ascii="仿宋_GB2312" w:hAnsi="仿宋_GB2312" w:eastAsia="仿宋_GB2312" w:cs="仿宋_GB2312"/>
        </w:rPr>
        <w:t>采购包</w:t>
      </w:r>
      <w:r>
        <w:rPr>
          <w:rFonts w:ascii="仿宋_GB2312" w:hAnsi="仿宋_GB2312" w:eastAsia="仿宋_GB2312" w:cs="仿宋_GB2312"/>
          <w:lang w:eastAsia="zh-CN"/>
        </w:rPr>
        <w:t>2</w:t>
      </w:r>
      <w:r>
        <w:rPr>
          <w:rFonts w:ascii="仿宋_GB2312" w:hAnsi="仿宋_GB2312" w:eastAsia="仿宋_GB2312" w:cs="仿宋_GB2312"/>
        </w:rPr>
        <w:t>：</w:t>
      </w:r>
    </w:p>
    <w:p w14:paraId="2564FE66">
      <w:pPr>
        <w:pStyle w:val="17"/>
        <w:rPr>
          <w:rFonts w:hint="default" w:ascii="仿宋_GB2312" w:hAnsi="仿宋_GB2312" w:eastAsia="仿宋_GB2312" w:cs="仿宋_GB2312"/>
        </w:rPr>
      </w:pPr>
      <w:r>
        <w:rPr>
          <w:rFonts w:ascii="仿宋_GB2312" w:hAnsi="仿宋_GB2312" w:eastAsia="仿宋_GB2312" w:cs="仿宋_GB2312"/>
        </w:rPr>
        <w:t>标的名称：</w:t>
      </w:r>
      <w:r>
        <w:rPr>
          <w:rFonts w:hint="default" w:ascii="仿宋_GB2312" w:hAnsi="仿宋_GB2312" w:eastAsia="仿宋_GB2312" w:cs="仿宋_GB2312"/>
          <w:lang w:eastAsia="zh-CN"/>
        </w:rPr>
        <w:t>社科类图书</w:t>
      </w:r>
    </w:p>
    <w:tbl>
      <w:tblPr>
        <w:tblStyle w:val="13"/>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661"/>
        <w:gridCol w:w="658"/>
        <w:gridCol w:w="7203"/>
      </w:tblGrid>
      <w:tr w14:paraId="188CFDD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69" w:type="dxa"/>
          </w:tcPr>
          <w:p w14:paraId="2E806227">
            <w:pPr>
              <w:pStyle w:val="17"/>
              <w:rPr>
                <w:rFonts w:hint="default"/>
              </w:rPr>
            </w:pPr>
            <w:r>
              <w:rPr>
                <w:rFonts w:ascii="仿宋_GB2312" w:hAnsi="仿宋_GB2312" w:eastAsia="仿宋_GB2312" w:cs="仿宋_GB2312"/>
              </w:rPr>
              <w:t>序号</w:t>
            </w:r>
          </w:p>
        </w:tc>
        <w:tc>
          <w:tcPr>
            <w:tcW w:w="666" w:type="dxa"/>
          </w:tcPr>
          <w:p w14:paraId="0E423682">
            <w:pPr>
              <w:pStyle w:val="17"/>
              <w:rPr>
                <w:rFonts w:hint="default"/>
              </w:rPr>
            </w:pPr>
            <w:r>
              <w:rPr>
                <w:rFonts w:ascii="仿宋_GB2312" w:hAnsi="仿宋_GB2312" w:eastAsia="仿宋_GB2312" w:cs="仿宋_GB2312"/>
              </w:rPr>
              <w:t>参数性质</w:t>
            </w:r>
          </w:p>
        </w:tc>
        <w:tc>
          <w:tcPr>
            <w:tcW w:w="7388" w:type="dxa"/>
          </w:tcPr>
          <w:p w14:paraId="1D31BF84">
            <w:pPr>
              <w:pStyle w:val="17"/>
              <w:rPr>
                <w:rFonts w:hint="default"/>
              </w:rPr>
            </w:pPr>
            <w:r>
              <w:rPr>
                <w:rFonts w:ascii="仿宋_GB2312" w:hAnsi="仿宋_GB2312" w:eastAsia="仿宋_GB2312" w:cs="仿宋_GB2312"/>
              </w:rPr>
              <w:t xml:space="preserve"> 技术参数与性能指标</w:t>
            </w:r>
          </w:p>
        </w:tc>
      </w:tr>
      <w:tr w14:paraId="7877CD8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69" w:type="dxa"/>
          </w:tcPr>
          <w:p w14:paraId="73F25D71">
            <w:pPr>
              <w:pStyle w:val="17"/>
              <w:rPr>
                <w:rFonts w:hint="default"/>
              </w:rPr>
            </w:pPr>
            <w:r>
              <w:rPr>
                <w:rFonts w:ascii="仿宋_GB2312" w:hAnsi="仿宋_GB2312" w:eastAsia="仿宋_GB2312" w:cs="仿宋_GB2312"/>
              </w:rPr>
              <w:t>1</w:t>
            </w:r>
          </w:p>
        </w:tc>
        <w:tc>
          <w:tcPr>
            <w:tcW w:w="666" w:type="dxa"/>
          </w:tcPr>
          <w:p w14:paraId="33F7B76E"/>
        </w:tc>
        <w:tc>
          <w:tcPr>
            <w:tcW w:w="7388" w:type="dxa"/>
          </w:tcPr>
          <w:p w14:paraId="4144C8B5">
            <w:pPr>
              <w:spacing w:line="360" w:lineRule="auto"/>
              <w:rPr>
                <w:rFonts w:ascii="仿宋_GB2312" w:hAnsi="仿宋_GB2312" w:eastAsia="仿宋_GB2312" w:cs="仿宋_GB2312"/>
                <w:b/>
                <w:bCs/>
                <w:snapToGrid/>
                <w:color w:val="auto"/>
                <w:sz w:val="20"/>
                <w:szCs w:val="20"/>
                <w:lang w:eastAsia="zh-CN"/>
              </w:rPr>
            </w:pPr>
            <w:r>
              <w:rPr>
                <w:rFonts w:hint="eastAsia" w:ascii="仿宋_GB2312" w:hAnsi="仿宋_GB2312" w:eastAsia="仿宋_GB2312" w:cs="仿宋_GB2312"/>
                <w:b/>
                <w:bCs/>
                <w:snapToGrid/>
                <w:color w:val="auto"/>
                <w:sz w:val="20"/>
                <w:szCs w:val="20"/>
                <w:lang w:eastAsia="zh-CN"/>
              </w:rPr>
              <w:t>1.社科类图书</w:t>
            </w:r>
          </w:p>
          <w:p w14:paraId="06D4A81E">
            <w:pPr>
              <w:spacing w:line="360" w:lineRule="auto"/>
              <w:rPr>
                <w:rFonts w:ascii="仿宋_GB2312" w:hAnsi="仿宋_GB2312" w:eastAsia="仿宋_GB2312" w:cs="仿宋_GB2312"/>
                <w:b/>
                <w:bCs/>
                <w:snapToGrid/>
                <w:color w:val="auto"/>
                <w:sz w:val="20"/>
                <w:szCs w:val="20"/>
                <w:lang w:eastAsia="zh-CN"/>
              </w:rPr>
            </w:pPr>
            <w:r>
              <w:rPr>
                <w:rFonts w:ascii="仿宋_GB2312" w:hAnsi="仿宋_GB2312" w:eastAsia="仿宋_GB2312" w:cs="仿宋_GB2312"/>
                <w:b/>
                <w:sz w:val="20"/>
                <w:lang w:eastAsia="zh-CN"/>
              </w:rPr>
              <w:t>2.技术参数</w:t>
            </w:r>
          </w:p>
          <w:p w14:paraId="27422AA4">
            <w:pPr>
              <w:spacing w:line="360" w:lineRule="auto"/>
              <w:ind w:firstLine="400" w:firstLineChars="200"/>
              <w:rPr>
                <w:rFonts w:ascii="仿宋_GB2312" w:hAnsi="仿宋_GB2312" w:eastAsia="仿宋_GB2312" w:cs="仿宋_GB2312"/>
                <w:snapToGrid/>
                <w:color w:val="auto"/>
                <w:sz w:val="20"/>
                <w:szCs w:val="20"/>
                <w:lang w:eastAsia="zh-Hans"/>
              </w:rPr>
            </w:pPr>
            <w:r>
              <w:rPr>
                <w:rFonts w:hint="eastAsia" w:ascii="仿宋_GB2312" w:hAnsi="仿宋_GB2312" w:eastAsia="仿宋_GB2312" w:cs="仿宋_GB2312"/>
                <w:snapToGrid/>
                <w:color w:val="auto"/>
                <w:sz w:val="20"/>
                <w:szCs w:val="20"/>
                <w:lang w:eastAsia="zh-Hans"/>
              </w:rPr>
              <w:t>1、基本要求</w:t>
            </w:r>
          </w:p>
          <w:p w14:paraId="306AA1B5">
            <w:pPr>
              <w:spacing w:line="360" w:lineRule="auto"/>
              <w:ind w:firstLine="400" w:firstLineChars="200"/>
              <w:rPr>
                <w:rFonts w:ascii="仿宋_GB2312" w:hAnsi="仿宋_GB2312" w:eastAsia="仿宋_GB2312" w:cs="仿宋_GB2312"/>
                <w:snapToGrid/>
                <w:color w:val="auto"/>
                <w:sz w:val="20"/>
                <w:szCs w:val="20"/>
                <w:lang w:eastAsia="zh-Hans"/>
              </w:rPr>
            </w:pPr>
            <w:r>
              <w:rPr>
                <w:rFonts w:hint="eastAsia" w:ascii="仿宋_GB2312" w:hAnsi="仿宋_GB2312" w:eastAsia="仿宋_GB2312" w:cs="仿宋_GB2312"/>
                <w:snapToGrid/>
                <w:color w:val="auto"/>
                <w:sz w:val="20"/>
                <w:szCs w:val="20"/>
                <w:lang w:eastAsia="zh-Hans"/>
              </w:rPr>
              <w:t>（1）第2包：社科类图书</w:t>
            </w:r>
          </w:p>
          <w:p w14:paraId="05CA6537">
            <w:pPr>
              <w:spacing w:line="360" w:lineRule="auto"/>
              <w:ind w:firstLine="400" w:firstLineChars="200"/>
              <w:rPr>
                <w:rFonts w:ascii="仿宋_GB2312" w:hAnsi="仿宋_GB2312" w:eastAsia="仿宋_GB2312" w:cs="仿宋_GB2312"/>
                <w:snapToGrid/>
                <w:color w:val="auto"/>
                <w:sz w:val="20"/>
                <w:szCs w:val="20"/>
                <w:lang w:eastAsia="zh-Hans"/>
              </w:rPr>
            </w:pPr>
            <w:r>
              <w:rPr>
                <w:rFonts w:hint="eastAsia" w:ascii="仿宋_GB2312" w:hAnsi="仿宋_GB2312" w:eastAsia="仿宋_GB2312" w:cs="仿宋_GB2312"/>
                <w:snapToGrid/>
                <w:color w:val="auto"/>
                <w:sz w:val="20"/>
                <w:szCs w:val="20"/>
                <w:lang w:eastAsia="zh-Hans"/>
              </w:rPr>
              <w:t>① 投标单位与全国大多数出版机构有直接的业务往来，图书经营品种至少达到当年全国出版图书品种的60%以上。</w:t>
            </w:r>
          </w:p>
          <w:p w14:paraId="409994E5">
            <w:pPr>
              <w:spacing w:line="360" w:lineRule="auto"/>
              <w:ind w:firstLine="400" w:firstLineChars="200"/>
              <w:rPr>
                <w:rFonts w:ascii="仿宋_GB2312" w:hAnsi="仿宋_GB2312" w:eastAsia="仿宋_GB2312" w:cs="仿宋_GB2312"/>
                <w:snapToGrid/>
                <w:color w:val="auto"/>
                <w:sz w:val="20"/>
                <w:szCs w:val="20"/>
                <w:lang w:eastAsia="zh-Hans"/>
              </w:rPr>
            </w:pPr>
            <w:r>
              <w:rPr>
                <w:rFonts w:hint="eastAsia" w:ascii="仿宋_GB2312" w:hAnsi="仿宋_GB2312" w:eastAsia="仿宋_GB2312" w:cs="仿宋_GB2312"/>
                <w:snapToGrid/>
                <w:color w:val="auto"/>
                <w:sz w:val="20"/>
                <w:szCs w:val="20"/>
                <w:lang w:eastAsia="zh-Hans"/>
              </w:rPr>
              <w:t>② 投标单位必须能保证涵盖我校95%以上文科专业所需图书的采购供应，根据我校专业学科设置，提供马列、党史党建、思政、哲学、工商管理学、物流、人文、艺术、体育等学科的中文图书。</w:t>
            </w:r>
          </w:p>
          <w:p w14:paraId="5EF1EB95">
            <w:pPr>
              <w:spacing w:line="360" w:lineRule="auto"/>
              <w:ind w:firstLine="400" w:firstLineChars="200"/>
              <w:rPr>
                <w:rFonts w:ascii="仿宋_GB2312" w:hAnsi="仿宋_GB2312" w:eastAsia="仿宋_GB2312" w:cs="仿宋_GB2312"/>
                <w:snapToGrid/>
                <w:color w:val="auto"/>
                <w:sz w:val="20"/>
                <w:szCs w:val="20"/>
                <w:lang w:eastAsia="zh-Hans"/>
              </w:rPr>
            </w:pPr>
            <w:r>
              <w:rPr>
                <w:rFonts w:hint="eastAsia" w:ascii="仿宋_GB2312" w:hAnsi="仿宋_GB2312" w:eastAsia="仿宋_GB2312" w:cs="仿宋_GB2312"/>
                <w:snapToGrid/>
                <w:color w:val="auto"/>
                <w:sz w:val="20"/>
                <w:szCs w:val="20"/>
                <w:lang w:eastAsia="zh-Hans"/>
              </w:rPr>
              <w:t>③ 投标单位必须能满足我校对高等教育出版社、科学出版社、机械工业出版社、化学工业出版社、电子工业出版社、人民邮电出版社、清华大学出版社、建筑工业出版社、商务印书馆、人民出版社、人民文学出版社、作家出版社、译林出版社、中华书局、国家图书馆出版社、三联书店等用书需求。</w:t>
            </w:r>
          </w:p>
          <w:p w14:paraId="01E79D88">
            <w:pPr>
              <w:spacing w:line="360" w:lineRule="auto"/>
              <w:ind w:firstLine="420" w:firstLineChars="200"/>
              <w:rPr>
                <w:rFonts w:ascii="仿宋_GB2312" w:hAnsi="仿宋_GB2312" w:eastAsia="仿宋_GB2312" w:cs="仿宋_GB2312"/>
                <w:snapToGrid/>
                <w:color w:val="auto"/>
                <w:sz w:val="20"/>
                <w:szCs w:val="20"/>
                <w:lang w:eastAsia="zh-Hans"/>
              </w:rPr>
            </w:pPr>
            <w:r>
              <w:rPr>
                <w:rFonts w:ascii="仿宋_GB2312" w:hAnsi="仿宋_GB2312" w:eastAsia="仿宋_GB2312" w:cs="仿宋_GB2312"/>
                <w:lang w:eastAsia="zh-CN"/>
              </w:rPr>
              <w:t>★</w:t>
            </w:r>
            <w:r>
              <w:rPr>
                <w:rFonts w:hint="eastAsia" w:ascii="仿宋_GB2312" w:hAnsi="仿宋_GB2312" w:eastAsia="仿宋_GB2312" w:cs="仿宋_GB2312"/>
                <w:snapToGrid/>
                <w:color w:val="auto"/>
                <w:sz w:val="20"/>
                <w:szCs w:val="20"/>
                <w:lang w:eastAsia="zh-Hans"/>
              </w:rPr>
              <w:t>④ 投标单位应保证本标段采购的图书不少于1.1万册。</w:t>
            </w:r>
          </w:p>
          <w:p w14:paraId="2D931B30">
            <w:pPr>
              <w:spacing w:line="360" w:lineRule="auto"/>
              <w:ind w:firstLine="420" w:firstLineChars="200"/>
              <w:rPr>
                <w:rFonts w:ascii="仿宋_GB2312" w:hAnsi="仿宋_GB2312" w:eastAsia="仿宋_GB2312" w:cs="仿宋_GB2312"/>
                <w:snapToGrid/>
                <w:color w:val="auto"/>
                <w:sz w:val="20"/>
                <w:szCs w:val="20"/>
                <w:lang w:eastAsia="zh-Hans"/>
              </w:rPr>
            </w:pPr>
            <w:r>
              <w:rPr>
                <w:rFonts w:ascii="仿宋_GB2312" w:hAnsi="仿宋_GB2312" w:eastAsia="仿宋_GB2312" w:cs="仿宋_GB2312"/>
                <w:lang w:eastAsia="zh-CN"/>
              </w:rPr>
              <w:t>★</w:t>
            </w:r>
            <w:r>
              <w:rPr>
                <w:rFonts w:hint="eastAsia" w:ascii="仿宋_GB2312" w:hAnsi="仿宋_GB2312" w:eastAsia="仿宋_GB2312" w:cs="仿宋_GB2312"/>
                <w:snapToGrid/>
                <w:color w:val="auto"/>
                <w:sz w:val="20"/>
                <w:szCs w:val="20"/>
                <w:lang w:eastAsia="zh-Hans"/>
              </w:rPr>
              <w:t>2、图书质量要求</w:t>
            </w:r>
          </w:p>
          <w:p w14:paraId="7F86BD6E">
            <w:pPr>
              <w:spacing w:line="360" w:lineRule="auto"/>
              <w:ind w:firstLine="400" w:firstLineChars="200"/>
              <w:rPr>
                <w:rFonts w:ascii="仿宋_GB2312" w:hAnsi="仿宋_GB2312" w:eastAsia="仿宋_GB2312" w:cs="仿宋_GB2312"/>
                <w:snapToGrid/>
                <w:color w:val="auto"/>
                <w:sz w:val="20"/>
                <w:szCs w:val="20"/>
                <w:lang w:eastAsia="zh-Hans"/>
              </w:rPr>
            </w:pPr>
            <w:r>
              <w:rPr>
                <w:rFonts w:hint="eastAsia" w:ascii="仿宋_GB2312" w:hAnsi="仿宋_GB2312" w:eastAsia="仿宋_GB2312" w:cs="仿宋_GB2312"/>
                <w:snapToGrid/>
                <w:color w:val="auto"/>
                <w:sz w:val="20"/>
                <w:szCs w:val="20"/>
                <w:lang w:eastAsia="zh-Hans"/>
              </w:rPr>
              <w:t>（1）投标单位必须保证提供的图书为国家正规出版社的正版图书，不得加入盗版图书及其它类型非法出版物。若出现有盗版或其它类型非法出版物，一经查实，我校将拒付书款，终止合同，投标单位要承担所有经济损失和法律责任。</w:t>
            </w:r>
          </w:p>
          <w:p w14:paraId="6F1E1041">
            <w:pPr>
              <w:spacing w:line="360" w:lineRule="auto"/>
              <w:ind w:firstLine="400" w:firstLineChars="200"/>
              <w:rPr>
                <w:rFonts w:ascii="仿宋_GB2312" w:hAnsi="仿宋_GB2312" w:eastAsia="仿宋_GB2312" w:cs="仿宋_GB2312"/>
                <w:snapToGrid/>
                <w:color w:val="auto"/>
                <w:sz w:val="20"/>
                <w:szCs w:val="20"/>
                <w:lang w:eastAsia="zh-Hans"/>
              </w:rPr>
            </w:pPr>
            <w:r>
              <w:rPr>
                <w:rFonts w:hint="eastAsia" w:ascii="仿宋_GB2312" w:hAnsi="仿宋_GB2312" w:eastAsia="仿宋_GB2312" w:cs="仿宋_GB2312"/>
                <w:snapToGrid/>
                <w:color w:val="auto"/>
                <w:sz w:val="20"/>
                <w:szCs w:val="20"/>
                <w:lang w:eastAsia="zh-Hans"/>
              </w:rPr>
              <w:t>（2）投标单位所供图书必须与我校图书馆提供的图书采购订单相符，不得更换或搭配未订购的图书，如果出现违例，超出订单以外的图书我校将不予以付款。</w:t>
            </w:r>
          </w:p>
          <w:p w14:paraId="6F629202">
            <w:pPr>
              <w:spacing w:line="360" w:lineRule="auto"/>
              <w:ind w:firstLine="400" w:firstLineChars="200"/>
              <w:rPr>
                <w:rFonts w:ascii="仿宋_GB2312" w:hAnsi="仿宋_GB2312" w:eastAsia="仿宋_GB2312" w:cs="仿宋_GB2312"/>
                <w:snapToGrid/>
                <w:color w:val="auto"/>
                <w:sz w:val="20"/>
                <w:szCs w:val="20"/>
                <w:lang w:eastAsia="zh-Hans"/>
              </w:rPr>
            </w:pPr>
            <w:r>
              <w:rPr>
                <w:rFonts w:hint="eastAsia" w:ascii="仿宋_GB2312" w:hAnsi="仿宋_GB2312" w:eastAsia="仿宋_GB2312" w:cs="仿宋_GB2312"/>
                <w:snapToGrid/>
                <w:color w:val="auto"/>
                <w:sz w:val="20"/>
                <w:szCs w:val="20"/>
                <w:lang w:eastAsia="zh-Hans"/>
              </w:rPr>
              <w:t>（3）在验收图书的过程中，如发现因出版信息、预定信息不完整造成的不适合本馆收藏的，及其他原因造成重订、错订等图书，能保证无条件退货。因包装或运输过程造成的图书质量问题或损失，由投标单位负责。投标单位需派出人员驻校进行加工，并且费用自理。</w:t>
            </w:r>
          </w:p>
          <w:p w14:paraId="3388556E">
            <w:pPr>
              <w:spacing w:line="360" w:lineRule="auto"/>
              <w:ind w:firstLine="400" w:firstLineChars="200"/>
              <w:rPr>
                <w:rFonts w:ascii="仿宋_GB2312" w:hAnsi="仿宋_GB2312" w:eastAsia="仿宋_GB2312" w:cs="仿宋_GB2312"/>
                <w:snapToGrid/>
                <w:color w:val="auto"/>
                <w:sz w:val="20"/>
                <w:szCs w:val="20"/>
                <w:lang w:eastAsia="zh-Hans"/>
              </w:rPr>
            </w:pPr>
            <w:r>
              <w:rPr>
                <w:rFonts w:hint="eastAsia" w:ascii="仿宋_GB2312" w:hAnsi="仿宋_GB2312" w:eastAsia="仿宋_GB2312" w:cs="仿宋_GB2312"/>
                <w:snapToGrid/>
                <w:color w:val="auto"/>
                <w:sz w:val="20"/>
                <w:szCs w:val="20"/>
                <w:lang w:eastAsia="zh-Hans"/>
              </w:rPr>
              <w:t>（4）对于出现开胶、散页、倒装、缺页、污损等有质量问题的图书，无论加工与否，投标单位必须无条件及时退换。</w:t>
            </w:r>
          </w:p>
          <w:p w14:paraId="10423CCC">
            <w:pPr>
              <w:spacing w:line="360" w:lineRule="auto"/>
              <w:ind w:firstLine="400" w:firstLineChars="200"/>
              <w:rPr>
                <w:rFonts w:ascii="仿宋_GB2312" w:hAnsi="仿宋_GB2312" w:eastAsia="仿宋_GB2312" w:cs="仿宋_GB2312"/>
                <w:snapToGrid/>
                <w:color w:val="auto"/>
                <w:sz w:val="20"/>
                <w:szCs w:val="20"/>
                <w:lang w:eastAsia="zh-Hans"/>
              </w:rPr>
            </w:pPr>
            <w:r>
              <w:rPr>
                <w:rFonts w:hint="eastAsia" w:ascii="仿宋_GB2312" w:hAnsi="仿宋_GB2312" w:eastAsia="仿宋_GB2312" w:cs="仿宋_GB2312"/>
                <w:snapToGrid/>
                <w:color w:val="auto"/>
                <w:sz w:val="20"/>
                <w:szCs w:val="20"/>
                <w:lang w:eastAsia="zh-Hans"/>
              </w:rPr>
              <w:t>3、服务要求</w:t>
            </w:r>
          </w:p>
          <w:p w14:paraId="58231DCC">
            <w:pPr>
              <w:spacing w:line="360" w:lineRule="auto"/>
              <w:ind w:firstLine="400" w:firstLineChars="200"/>
              <w:rPr>
                <w:rFonts w:ascii="仿宋_GB2312" w:hAnsi="仿宋_GB2312" w:eastAsia="仿宋_GB2312" w:cs="仿宋_GB2312"/>
                <w:snapToGrid/>
                <w:color w:val="auto"/>
                <w:sz w:val="20"/>
                <w:szCs w:val="20"/>
                <w:lang w:eastAsia="zh-Hans"/>
              </w:rPr>
            </w:pPr>
            <w:r>
              <w:rPr>
                <w:rFonts w:hint="eastAsia" w:ascii="仿宋_GB2312" w:hAnsi="仿宋_GB2312" w:eastAsia="仿宋_GB2312" w:cs="仿宋_GB2312"/>
                <w:snapToGrid/>
                <w:color w:val="auto"/>
                <w:sz w:val="20"/>
                <w:szCs w:val="20"/>
                <w:lang w:eastAsia="zh-Hans"/>
              </w:rPr>
              <w:t>（1）、投标单位应免费及时提供全国各大出版社出版的最新图书目录信息，书目数据要完整，应包含ISBN、书名、作者、价格、摘要、读者对象、丛编、版本、开本、页码等详细信息。能根据我校需求提供各种能体现我校办学特色、转型发展的专题采购书目。投标单位提供的图书目录信息所包含的图书必须是2026年出版的新书，所有标段的投标单位提供的书目信息不应包含能源、医疗、农业等与我校专业无关的图书。书目应该包含但不限于本标段指定的出版社所出版的图书。</w:t>
            </w:r>
          </w:p>
          <w:p w14:paraId="563B0415">
            <w:pPr>
              <w:spacing w:line="360" w:lineRule="auto"/>
              <w:ind w:firstLine="400" w:firstLineChars="200"/>
              <w:rPr>
                <w:rFonts w:ascii="仿宋_GB2312" w:hAnsi="仿宋_GB2312" w:eastAsia="仿宋_GB2312" w:cs="仿宋_GB2312"/>
                <w:snapToGrid/>
                <w:color w:val="auto"/>
                <w:sz w:val="20"/>
                <w:szCs w:val="20"/>
                <w:lang w:eastAsia="zh-Hans"/>
              </w:rPr>
            </w:pPr>
            <w:r>
              <w:rPr>
                <w:rFonts w:hint="eastAsia" w:ascii="仿宋_GB2312" w:hAnsi="仿宋_GB2312" w:eastAsia="仿宋_GB2312" w:cs="仿宋_GB2312"/>
                <w:snapToGrid/>
                <w:color w:val="auto"/>
                <w:sz w:val="20"/>
                <w:szCs w:val="20"/>
                <w:lang w:eastAsia="zh-Hans"/>
              </w:rPr>
              <w:t>（2）、投标单位收到图书采购订单后应在一个工作日内以电话、电子邮件方式回告，核实订单的图书预订册数和金额，以最短时间、最优方案根据我校图书馆提供的书目订单组织图书。及时向我校图书馆通报图书组织情况，对于未采购到的图书说明原因。</w:t>
            </w:r>
          </w:p>
          <w:p w14:paraId="311885D4">
            <w:pPr>
              <w:spacing w:line="360" w:lineRule="auto"/>
              <w:ind w:firstLine="400" w:firstLineChars="200"/>
              <w:rPr>
                <w:rFonts w:ascii="仿宋_GB2312" w:hAnsi="仿宋_GB2312" w:eastAsia="仿宋_GB2312" w:cs="仿宋_GB2312"/>
                <w:snapToGrid/>
                <w:color w:val="auto"/>
                <w:sz w:val="20"/>
                <w:szCs w:val="20"/>
                <w:lang w:eastAsia="zh-Hans"/>
              </w:rPr>
            </w:pPr>
            <w:r>
              <w:rPr>
                <w:rFonts w:hint="eastAsia" w:ascii="仿宋_GB2312" w:hAnsi="仿宋_GB2312" w:eastAsia="仿宋_GB2312" w:cs="仿宋_GB2312"/>
                <w:snapToGrid/>
                <w:color w:val="auto"/>
                <w:sz w:val="20"/>
                <w:szCs w:val="20"/>
                <w:lang w:eastAsia="zh-Hans"/>
              </w:rPr>
              <w:t>（3）、当部分图书出版实际价格比订单价格额高出30%、ISBN和书名等信息与采访数据不符时，投标单位应及时与我校图书馆联系确认后再组织图书。否则，我校图书馆有权拒收。</w:t>
            </w:r>
          </w:p>
          <w:p w14:paraId="14D2D495">
            <w:pPr>
              <w:spacing w:line="360" w:lineRule="auto"/>
              <w:ind w:firstLine="400" w:firstLineChars="200"/>
              <w:rPr>
                <w:rFonts w:ascii="仿宋_GB2312" w:hAnsi="仿宋_GB2312" w:eastAsia="仿宋_GB2312" w:cs="仿宋_GB2312"/>
                <w:snapToGrid/>
                <w:color w:val="auto"/>
                <w:sz w:val="20"/>
                <w:szCs w:val="20"/>
                <w:lang w:eastAsia="zh-Hans"/>
              </w:rPr>
            </w:pPr>
            <w:r>
              <w:rPr>
                <w:rFonts w:hint="eastAsia" w:ascii="仿宋_GB2312" w:hAnsi="仿宋_GB2312" w:eastAsia="仿宋_GB2312" w:cs="仿宋_GB2312"/>
                <w:snapToGrid/>
                <w:color w:val="auto"/>
                <w:sz w:val="20"/>
                <w:szCs w:val="20"/>
                <w:lang w:eastAsia="zh-Hans"/>
              </w:rPr>
              <w:t>（4）、投标单位应满足我校图书馆提出的到全国大型书市、各级图书展览会或指定地点现场采购图书的要求，负责安排图书现采有关事宜，并承担相关费用。</w:t>
            </w:r>
          </w:p>
          <w:p w14:paraId="7732254D">
            <w:pPr>
              <w:spacing w:line="360" w:lineRule="auto"/>
              <w:ind w:firstLine="400" w:firstLineChars="200"/>
              <w:rPr>
                <w:rFonts w:ascii="仿宋_GB2312" w:hAnsi="仿宋_GB2312" w:eastAsia="仿宋_GB2312" w:cs="仿宋_GB2312"/>
                <w:snapToGrid/>
                <w:color w:val="auto"/>
                <w:sz w:val="20"/>
                <w:szCs w:val="20"/>
                <w:lang w:eastAsia="zh-Hans"/>
              </w:rPr>
            </w:pPr>
            <w:r>
              <w:rPr>
                <w:rFonts w:hint="eastAsia" w:ascii="仿宋_GB2312" w:hAnsi="仿宋_GB2312" w:eastAsia="仿宋_GB2312" w:cs="仿宋_GB2312"/>
                <w:snapToGrid/>
                <w:color w:val="auto"/>
                <w:sz w:val="20"/>
                <w:szCs w:val="20"/>
                <w:lang w:eastAsia="zh-Hans"/>
              </w:rPr>
              <w:t xml:space="preserve">（5）、投标单位收到我校图书馆图书订购单之日起，预订中文图书应在20个自然日内送书到指定地点，到书率不低于90%；现采中文图书应在15个自然日内送书到指定地点，到书率不低于98%。采购图书未按时间要求送到我校图书馆的，我校将拒付书款，终止合同，投标单位要承担所有经济损失和法律责任。 </w:t>
            </w:r>
          </w:p>
          <w:p w14:paraId="59CDFE9F">
            <w:pPr>
              <w:spacing w:line="360" w:lineRule="auto"/>
              <w:ind w:firstLine="420" w:firstLineChars="200"/>
              <w:rPr>
                <w:rFonts w:ascii="仿宋_GB2312" w:hAnsi="仿宋_GB2312" w:eastAsia="仿宋_GB2312" w:cs="仿宋_GB2312"/>
                <w:snapToGrid/>
                <w:color w:val="auto"/>
                <w:sz w:val="20"/>
                <w:szCs w:val="20"/>
                <w:lang w:eastAsia="zh-Hans"/>
              </w:rPr>
            </w:pPr>
            <w:r>
              <w:rPr>
                <w:rFonts w:ascii="仿宋_GB2312" w:hAnsi="仿宋_GB2312" w:eastAsia="仿宋_GB2312" w:cs="仿宋_GB2312"/>
                <w:lang w:eastAsia="zh-CN"/>
              </w:rPr>
              <w:t>★</w:t>
            </w:r>
            <w:r>
              <w:rPr>
                <w:rFonts w:hint="eastAsia" w:ascii="仿宋_GB2312" w:hAnsi="仿宋_GB2312" w:eastAsia="仿宋_GB2312" w:cs="仿宋_GB2312"/>
                <w:snapToGrid/>
                <w:color w:val="auto"/>
                <w:sz w:val="20"/>
                <w:szCs w:val="20"/>
                <w:lang w:eastAsia="zh-Hans"/>
              </w:rPr>
              <w:t>（6）、投标单位将图书免费送到我校图书馆指定地点，对涉及我校两校区共同收藏的图书品种，投标单位应按照我校图书馆要求在图书加工及编目前（或后）免费将对应图书送到指定位置，并承担期间发生的费用。随书提供图书总清单一份和每包书清单一式两份，总清单上要注明订单号、批次号、本批书种数、册数、码洋，分包清单注明该包书的码洋、书名、书号、定价、出版社、复本等详细信息，以便于图书的验收。送书同时将本批书的编目MARC数据发到我校图书馆。图书在到达指定地点前发生的不可预见的风险均由投标单位承担。</w:t>
            </w:r>
          </w:p>
          <w:p w14:paraId="4EADF925">
            <w:pPr>
              <w:spacing w:line="360" w:lineRule="auto"/>
              <w:ind w:firstLine="400" w:firstLineChars="200"/>
              <w:rPr>
                <w:rFonts w:ascii="仿宋_GB2312" w:hAnsi="仿宋_GB2312" w:eastAsia="仿宋_GB2312" w:cs="仿宋_GB2312"/>
                <w:snapToGrid/>
                <w:color w:val="auto"/>
                <w:sz w:val="20"/>
                <w:szCs w:val="20"/>
                <w:lang w:eastAsia="zh-Hans"/>
              </w:rPr>
            </w:pPr>
            <w:r>
              <w:rPr>
                <w:rFonts w:hint="eastAsia" w:ascii="仿宋_GB2312" w:hAnsi="仿宋_GB2312" w:eastAsia="仿宋_GB2312" w:cs="仿宋_GB2312"/>
                <w:snapToGrid/>
                <w:color w:val="auto"/>
                <w:sz w:val="20"/>
                <w:szCs w:val="20"/>
                <w:lang w:eastAsia="zh-Hans"/>
              </w:rPr>
              <w:t>（7）、投标单位有为我校采购图书查重的义务。采购图书到馆后重复的，投标单位应无条件退换。</w:t>
            </w:r>
          </w:p>
          <w:p w14:paraId="033BE30D">
            <w:pPr>
              <w:spacing w:line="360" w:lineRule="auto"/>
              <w:ind w:firstLine="400" w:firstLineChars="200"/>
              <w:rPr>
                <w:rFonts w:ascii="仿宋_GB2312" w:hAnsi="仿宋_GB2312" w:eastAsia="仿宋_GB2312" w:cs="仿宋_GB2312"/>
                <w:snapToGrid/>
                <w:color w:val="auto"/>
                <w:sz w:val="20"/>
                <w:szCs w:val="20"/>
                <w:lang w:eastAsia="zh-Hans"/>
              </w:rPr>
            </w:pPr>
            <w:r>
              <w:rPr>
                <w:rFonts w:hint="eastAsia" w:ascii="仿宋_GB2312" w:hAnsi="仿宋_GB2312" w:eastAsia="仿宋_GB2312" w:cs="仿宋_GB2312"/>
                <w:snapToGrid/>
                <w:color w:val="auto"/>
                <w:sz w:val="20"/>
                <w:szCs w:val="20"/>
                <w:lang w:eastAsia="zh-Hans"/>
              </w:rPr>
              <w:t>（8）、投标单位应具有满足招标单位现场采购图书要求的固定的营业场所，或可供现采的仓储式现货库房或样本库。外省投标单位需在我校所处地域或周边设有办事处。</w:t>
            </w:r>
          </w:p>
          <w:p w14:paraId="2B821EB3">
            <w:pPr>
              <w:spacing w:line="360" w:lineRule="auto"/>
              <w:ind w:firstLine="400" w:firstLineChars="200"/>
              <w:rPr>
                <w:rFonts w:ascii="仿宋_GB2312" w:hAnsi="仿宋_GB2312" w:eastAsia="仿宋_GB2312" w:cs="仿宋_GB2312"/>
                <w:snapToGrid/>
                <w:color w:val="auto"/>
                <w:sz w:val="20"/>
                <w:szCs w:val="20"/>
                <w:lang w:eastAsia="zh-Hans"/>
              </w:rPr>
            </w:pPr>
            <w:r>
              <w:rPr>
                <w:rFonts w:hint="eastAsia" w:ascii="仿宋_GB2312" w:hAnsi="仿宋_GB2312" w:eastAsia="仿宋_GB2312" w:cs="仿宋_GB2312"/>
                <w:snapToGrid/>
                <w:color w:val="auto"/>
                <w:sz w:val="20"/>
                <w:szCs w:val="20"/>
                <w:lang w:eastAsia="zh-Hans"/>
              </w:rPr>
              <w:t>（9）、投标单位应提供线上选购图书服务。</w:t>
            </w:r>
          </w:p>
          <w:p w14:paraId="39E07C9E">
            <w:pPr>
              <w:spacing w:line="360" w:lineRule="auto"/>
              <w:ind w:firstLine="420" w:firstLineChars="200"/>
              <w:rPr>
                <w:rFonts w:ascii="仿宋_GB2312" w:hAnsi="仿宋_GB2312" w:eastAsia="仿宋_GB2312" w:cs="仿宋_GB2312"/>
                <w:snapToGrid/>
                <w:color w:val="auto"/>
                <w:sz w:val="20"/>
                <w:szCs w:val="20"/>
                <w:lang w:eastAsia="zh-Hans"/>
              </w:rPr>
            </w:pPr>
            <w:r>
              <w:rPr>
                <w:rFonts w:ascii="仿宋_GB2312" w:hAnsi="仿宋_GB2312" w:eastAsia="仿宋_GB2312" w:cs="仿宋_GB2312"/>
                <w:lang w:eastAsia="zh-CN"/>
              </w:rPr>
              <w:t>★</w:t>
            </w:r>
            <w:r>
              <w:rPr>
                <w:rFonts w:hint="eastAsia" w:ascii="仿宋_GB2312" w:hAnsi="仿宋_GB2312" w:eastAsia="仿宋_GB2312" w:cs="仿宋_GB2312"/>
                <w:snapToGrid/>
                <w:color w:val="auto"/>
                <w:sz w:val="20"/>
                <w:szCs w:val="20"/>
                <w:lang w:eastAsia="zh-Hans"/>
              </w:rPr>
              <w:t>（10）、投标单位所提供的图书价格是包干价，包括现采所需费用、运费、税费、招标代理服务费、售后服务费等一切费用，还应包括免费全加工服务（图书加工中涉及到的RFID芯片【远望谷】、条形码、磁条、胶带等所有材料由投标人按学校要求的规格及质量免费提供）及新编图书按图书馆要求免费上架服务。</w:t>
            </w:r>
          </w:p>
          <w:p w14:paraId="74197DBB">
            <w:pPr>
              <w:spacing w:line="360" w:lineRule="auto"/>
              <w:ind w:firstLine="400" w:firstLineChars="200"/>
              <w:rPr>
                <w:rFonts w:ascii="仿宋_GB2312" w:hAnsi="仿宋_GB2312" w:eastAsia="仿宋_GB2312" w:cs="仿宋_GB2312"/>
                <w:snapToGrid/>
                <w:color w:val="auto"/>
                <w:sz w:val="20"/>
                <w:szCs w:val="20"/>
                <w:lang w:eastAsia="zh-Hans"/>
              </w:rPr>
            </w:pPr>
            <w:r>
              <w:rPr>
                <w:rFonts w:hint="eastAsia" w:ascii="仿宋_GB2312" w:hAnsi="仿宋_GB2312" w:eastAsia="仿宋_GB2312" w:cs="仿宋_GB2312"/>
                <w:snapToGrid/>
                <w:color w:val="auto"/>
                <w:sz w:val="20"/>
                <w:szCs w:val="20"/>
                <w:lang w:eastAsia="zh-Hans"/>
              </w:rPr>
              <w:t>（11）、订购图书经我校图书馆验收合格后予以付款，付款金额以实际验收图书为准。投标单位应履行其价格结算优惠承诺，提供合法正规的发票，并在发票上注明图书码洋、册数、销售折扣、实洋等项内容。</w:t>
            </w:r>
          </w:p>
          <w:p w14:paraId="10F961F4">
            <w:pPr>
              <w:spacing w:line="360" w:lineRule="auto"/>
              <w:ind w:firstLine="400" w:firstLineChars="200"/>
              <w:rPr>
                <w:rFonts w:ascii="仿宋_GB2312" w:hAnsi="仿宋_GB2312" w:eastAsia="仿宋_GB2312" w:cs="仿宋_GB2312"/>
                <w:snapToGrid/>
                <w:color w:val="auto"/>
                <w:sz w:val="20"/>
                <w:szCs w:val="20"/>
                <w:lang w:eastAsia="zh-Hans"/>
              </w:rPr>
            </w:pPr>
            <w:r>
              <w:rPr>
                <w:rFonts w:hint="eastAsia" w:ascii="仿宋_GB2312" w:hAnsi="仿宋_GB2312" w:eastAsia="仿宋_GB2312" w:cs="仿宋_GB2312"/>
                <w:snapToGrid/>
                <w:color w:val="auto"/>
                <w:sz w:val="20"/>
                <w:szCs w:val="20"/>
                <w:lang w:eastAsia="zh-Hans"/>
              </w:rPr>
              <w:t>（12）、投标单位应积极协助采购方解决在采购过程中遇见的其他问题。</w:t>
            </w:r>
          </w:p>
          <w:p w14:paraId="4A2F7A39">
            <w:pPr>
              <w:spacing w:line="360" w:lineRule="auto"/>
              <w:ind w:firstLine="400" w:firstLineChars="200"/>
              <w:rPr>
                <w:rFonts w:ascii="仿宋_GB2312" w:hAnsi="仿宋_GB2312" w:eastAsia="仿宋_GB2312" w:cs="仿宋_GB2312"/>
                <w:snapToGrid/>
                <w:color w:val="auto"/>
                <w:sz w:val="20"/>
                <w:szCs w:val="20"/>
                <w:lang w:eastAsia="zh-Hans"/>
              </w:rPr>
            </w:pPr>
            <w:r>
              <w:rPr>
                <w:rFonts w:hint="eastAsia" w:ascii="仿宋_GB2312" w:hAnsi="仿宋_GB2312" w:eastAsia="仿宋_GB2312" w:cs="仿宋_GB2312"/>
                <w:snapToGrid/>
                <w:color w:val="auto"/>
                <w:sz w:val="20"/>
                <w:szCs w:val="20"/>
                <w:lang w:eastAsia="zh-CN"/>
              </w:rPr>
              <w:t>（13）、投标单位给采购人提供不少于1000套的图书加工中涉及到的RFID芯片【远望谷】、条形码、磁条、胶带等所有材料。</w:t>
            </w:r>
            <w:r>
              <w:rPr>
                <w:rFonts w:hint="eastAsia" w:ascii="仿宋_GB2312" w:hAnsi="仿宋_GB2312" w:eastAsia="仿宋_GB2312" w:cs="仿宋_GB2312"/>
                <w:snapToGrid/>
                <w:color w:val="auto"/>
                <w:sz w:val="20"/>
                <w:szCs w:val="20"/>
                <w:lang w:eastAsia="zh-Hans"/>
              </w:rPr>
              <w:t xml:space="preserve"> </w:t>
            </w:r>
          </w:p>
          <w:p w14:paraId="1A70B979">
            <w:pPr>
              <w:spacing w:line="360" w:lineRule="auto"/>
              <w:ind w:firstLine="400" w:firstLineChars="200"/>
              <w:rPr>
                <w:rFonts w:ascii="仿宋_GB2312" w:hAnsi="仿宋_GB2312" w:eastAsia="仿宋_GB2312" w:cs="仿宋_GB2312"/>
                <w:snapToGrid/>
                <w:color w:val="auto"/>
                <w:sz w:val="20"/>
                <w:szCs w:val="20"/>
                <w:lang w:eastAsia="zh-Hans"/>
              </w:rPr>
            </w:pPr>
            <w:r>
              <w:rPr>
                <w:rFonts w:hint="eastAsia" w:ascii="仿宋_GB2312" w:hAnsi="仿宋_GB2312" w:eastAsia="仿宋_GB2312" w:cs="仿宋_GB2312"/>
                <w:snapToGrid/>
                <w:color w:val="auto"/>
                <w:sz w:val="20"/>
                <w:szCs w:val="20"/>
                <w:lang w:eastAsia="zh-Hans"/>
              </w:rPr>
              <w:t>4、加工技术要求</w:t>
            </w:r>
          </w:p>
          <w:p w14:paraId="7188057C">
            <w:pPr>
              <w:spacing w:line="360" w:lineRule="auto"/>
              <w:ind w:firstLine="400" w:firstLineChars="200"/>
              <w:rPr>
                <w:rFonts w:ascii="仿宋_GB2312" w:hAnsi="仿宋_GB2312" w:eastAsia="仿宋_GB2312" w:cs="仿宋_GB2312"/>
                <w:snapToGrid/>
                <w:color w:val="auto"/>
                <w:sz w:val="20"/>
                <w:szCs w:val="20"/>
                <w:lang w:eastAsia="zh-Hans"/>
              </w:rPr>
            </w:pPr>
            <w:r>
              <w:rPr>
                <w:rFonts w:hint="eastAsia" w:ascii="仿宋_GB2312" w:hAnsi="仿宋_GB2312" w:eastAsia="仿宋_GB2312" w:cs="仿宋_GB2312"/>
                <w:snapToGrid/>
                <w:color w:val="auto"/>
                <w:sz w:val="20"/>
                <w:szCs w:val="20"/>
                <w:lang w:eastAsia="zh-Hans"/>
              </w:rPr>
              <w:t>（1）、投标单位必须能够提供印刷和机读目录，包括采访数据和编目MARC数据，数据格式符合《CALIS联合目录中文图书著录细则》，标准图书分类以《中国图书馆分类法》为准，并能适用于我校图书馆使用的管理系统（投标单位可提供MARC数据样本以及其编目人员经CALIS或国家图书馆培训合格证明）。同时，确保所提供的数据能正常传递、下载、数据导入并及时更新。</w:t>
            </w:r>
          </w:p>
          <w:p w14:paraId="0A475E89">
            <w:pPr>
              <w:spacing w:line="360" w:lineRule="auto"/>
              <w:ind w:firstLine="400" w:firstLineChars="200"/>
              <w:rPr>
                <w:rFonts w:ascii="仿宋_GB2312" w:hAnsi="仿宋_GB2312" w:eastAsia="仿宋_GB2312" w:cs="仿宋_GB2312"/>
                <w:snapToGrid/>
                <w:color w:val="auto"/>
                <w:sz w:val="20"/>
                <w:szCs w:val="20"/>
                <w:lang w:eastAsia="zh-Hans"/>
              </w:rPr>
            </w:pPr>
            <w:r>
              <w:rPr>
                <w:rFonts w:hint="eastAsia" w:ascii="仿宋_GB2312" w:hAnsi="仿宋_GB2312" w:eastAsia="仿宋_GB2312" w:cs="仿宋_GB2312"/>
                <w:snapToGrid/>
                <w:color w:val="auto"/>
                <w:sz w:val="20"/>
                <w:szCs w:val="20"/>
                <w:lang w:eastAsia="zh-Hans"/>
              </w:rPr>
              <w:t>（2）、投标单位须免费为我院图书馆提供符合我院要求的所有图书加工服务，主要包括：</w:t>
            </w:r>
          </w:p>
          <w:p w14:paraId="6F02643D">
            <w:pPr>
              <w:spacing w:line="360" w:lineRule="auto"/>
              <w:ind w:firstLine="400" w:firstLineChars="200"/>
              <w:rPr>
                <w:rFonts w:ascii="仿宋_GB2312" w:hAnsi="仿宋_GB2312" w:eastAsia="仿宋_GB2312" w:cs="仿宋_GB2312"/>
                <w:snapToGrid/>
                <w:color w:val="auto"/>
                <w:sz w:val="20"/>
                <w:szCs w:val="20"/>
                <w:lang w:eastAsia="zh-Hans"/>
              </w:rPr>
            </w:pPr>
            <w:r>
              <w:rPr>
                <w:rFonts w:hint="eastAsia" w:ascii="仿宋_GB2312" w:hAnsi="仿宋_GB2312" w:eastAsia="仿宋_GB2312" w:cs="仿宋_GB2312"/>
                <w:snapToGrid/>
                <w:color w:val="auto"/>
                <w:sz w:val="20"/>
                <w:szCs w:val="20"/>
                <w:lang w:eastAsia="zh-Hans"/>
              </w:rPr>
              <w:t>免费提供粘贴防盗磁条（使用指定厂商的16厘米钴基复合充销磁条，在保证图书能正常进行充消磁的前提下，一般图书300页以内安放1根，页码每超过300页多加1条。要求埋设磁条贴近图书装订缝处，牢固隐蔽不易发现。）；免费提供并粘贴条形码、RFID芯片（具体规格型号由甲方指定并确认）。</w:t>
            </w:r>
          </w:p>
          <w:p w14:paraId="49CC7A63">
            <w:pPr>
              <w:spacing w:line="360" w:lineRule="auto"/>
              <w:ind w:firstLine="400" w:firstLineChars="200"/>
              <w:rPr>
                <w:rFonts w:ascii="仿宋_GB2312" w:hAnsi="仿宋_GB2312" w:eastAsia="仿宋_GB2312" w:cs="仿宋_GB2312"/>
                <w:snapToGrid/>
                <w:color w:val="auto"/>
                <w:sz w:val="20"/>
                <w:szCs w:val="20"/>
                <w:lang w:eastAsia="zh-Hans"/>
              </w:rPr>
            </w:pPr>
            <w:r>
              <w:rPr>
                <w:rFonts w:hint="eastAsia" w:ascii="仿宋_GB2312" w:hAnsi="仿宋_GB2312" w:eastAsia="仿宋_GB2312" w:cs="仿宋_GB2312"/>
                <w:snapToGrid/>
                <w:color w:val="auto"/>
                <w:sz w:val="20"/>
                <w:szCs w:val="20"/>
                <w:lang w:eastAsia="zh-Hans"/>
              </w:rPr>
              <w:t>以上服务涉及的相关材料及人工费用由投标单位承担。</w:t>
            </w:r>
          </w:p>
          <w:p w14:paraId="447FF61D">
            <w:pPr>
              <w:spacing w:line="360" w:lineRule="auto"/>
              <w:ind w:firstLine="400" w:firstLineChars="200"/>
              <w:rPr>
                <w:rFonts w:ascii="仿宋_GB2312" w:hAnsi="仿宋_GB2312" w:eastAsia="仿宋_GB2312" w:cs="仿宋_GB2312"/>
                <w:snapToGrid/>
                <w:color w:val="auto"/>
                <w:sz w:val="20"/>
                <w:szCs w:val="20"/>
                <w:lang w:eastAsia="zh-Hans"/>
              </w:rPr>
            </w:pPr>
            <w:r>
              <w:rPr>
                <w:rFonts w:hint="eastAsia" w:ascii="仿宋_GB2312" w:hAnsi="仿宋_GB2312" w:eastAsia="仿宋_GB2312" w:cs="仿宋_GB2312"/>
                <w:snapToGrid/>
                <w:color w:val="auto"/>
                <w:sz w:val="20"/>
                <w:szCs w:val="20"/>
                <w:lang w:eastAsia="zh-Hans"/>
              </w:rPr>
              <w:t>（3）、投标单位需配备一定数量的专业图书著录技术人员，并按照图书馆要求在规定时间内免费完成图书编目上架工作。进驻图书馆进行编目人员必须具有使用图创图书管理系统进行编目的工作经验，编制新书书目数据按招标单位的标准执行。图书分编按照发书批次进行，每批图书分编差错率按品种计不超过0.2%；分编差错率超过三批取消下一次招标资格。</w:t>
            </w:r>
          </w:p>
          <w:p w14:paraId="7C11A1AE">
            <w:pPr>
              <w:spacing w:line="360" w:lineRule="auto"/>
              <w:ind w:firstLine="400" w:firstLineChars="200"/>
              <w:rPr>
                <w:rFonts w:ascii="仿宋_GB2312" w:hAnsi="仿宋_GB2312" w:eastAsia="仿宋_GB2312" w:cs="仿宋_GB2312"/>
                <w:snapToGrid/>
                <w:color w:val="auto"/>
                <w:sz w:val="20"/>
                <w:szCs w:val="20"/>
                <w:lang w:eastAsia="zh-Hans"/>
              </w:rPr>
            </w:pPr>
            <w:r>
              <w:rPr>
                <w:rFonts w:hint="eastAsia" w:ascii="仿宋_GB2312" w:hAnsi="仿宋_GB2312" w:eastAsia="仿宋_GB2312" w:cs="仿宋_GB2312"/>
                <w:snapToGrid/>
                <w:color w:val="auto"/>
                <w:sz w:val="20"/>
                <w:szCs w:val="20"/>
                <w:lang w:eastAsia="zh-Hans"/>
              </w:rPr>
              <w:t xml:space="preserve">（4）、投标单位应保证所有加工、编目图书能够通过图创图书管理系统正常管理及借阅。如有错误，投标单位必须在48小时内到馆解决。 </w:t>
            </w:r>
          </w:p>
          <w:p w14:paraId="4B7486AC">
            <w:pPr>
              <w:spacing w:line="360" w:lineRule="auto"/>
              <w:ind w:firstLine="420" w:firstLineChars="200"/>
              <w:rPr>
                <w:rFonts w:ascii="仿宋_GB2312" w:hAnsi="仿宋_GB2312" w:eastAsia="仿宋_GB2312" w:cs="仿宋_GB2312"/>
                <w:snapToGrid/>
                <w:color w:val="auto"/>
                <w:sz w:val="20"/>
                <w:szCs w:val="20"/>
                <w:lang w:eastAsia="zh-Hans"/>
              </w:rPr>
            </w:pPr>
            <w:r>
              <w:rPr>
                <w:rFonts w:ascii="仿宋_GB2312" w:hAnsi="仿宋_GB2312" w:eastAsia="仿宋_GB2312" w:cs="仿宋_GB2312"/>
                <w:lang w:eastAsia="zh-CN"/>
              </w:rPr>
              <w:t>★</w:t>
            </w:r>
            <w:r>
              <w:rPr>
                <w:rFonts w:hint="eastAsia" w:ascii="仿宋_GB2312" w:hAnsi="仿宋_GB2312" w:eastAsia="仿宋_GB2312" w:cs="仿宋_GB2312"/>
                <w:snapToGrid/>
                <w:color w:val="auto"/>
                <w:sz w:val="20"/>
                <w:szCs w:val="20"/>
                <w:lang w:eastAsia="zh-Hans"/>
              </w:rPr>
              <w:t>5、图书上架要求</w:t>
            </w:r>
          </w:p>
          <w:p w14:paraId="505F5511">
            <w:pPr>
              <w:spacing w:line="360" w:lineRule="auto"/>
              <w:ind w:firstLine="400" w:firstLineChars="200"/>
              <w:rPr>
                <w:rFonts w:ascii="仿宋_GB2312" w:hAnsi="仿宋_GB2312" w:eastAsia="仿宋_GB2312" w:cs="仿宋_GB2312"/>
                <w:snapToGrid/>
                <w:color w:val="auto"/>
                <w:sz w:val="20"/>
                <w:szCs w:val="20"/>
                <w:lang w:eastAsia="zh-Hans"/>
              </w:rPr>
            </w:pPr>
            <w:r>
              <w:rPr>
                <w:rFonts w:hint="eastAsia" w:ascii="仿宋_GB2312" w:hAnsi="仿宋_GB2312" w:eastAsia="仿宋_GB2312" w:cs="仿宋_GB2312"/>
                <w:snapToGrid/>
                <w:color w:val="auto"/>
                <w:sz w:val="20"/>
                <w:szCs w:val="20"/>
                <w:lang w:eastAsia="zh-Hans"/>
              </w:rPr>
              <w:t>（1）、投标单位应根据中图分类法，按照图书馆要求按时免费完成新编图书上架工作，上架图书位置差错率不得高于0.05%。</w:t>
            </w:r>
          </w:p>
          <w:p w14:paraId="744F4C2F">
            <w:pPr>
              <w:spacing w:line="360" w:lineRule="auto"/>
              <w:ind w:firstLine="400" w:firstLineChars="200"/>
              <w:rPr>
                <w:rFonts w:ascii="仿宋_GB2312" w:hAnsi="仿宋_GB2312" w:eastAsia="仿宋_GB2312" w:cs="仿宋_GB2312"/>
                <w:snapToGrid/>
                <w:color w:val="auto"/>
                <w:sz w:val="20"/>
                <w:szCs w:val="20"/>
                <w:lang w:eastAsia="zh-Hans"/>
              </w:rPr>
            </w:pPr>
            <w:r>
              <w:rPr>
                <w:rFonts w:hint="eastAsia" w:ascii="仿宋_GB2312" w:hAnsi="仿宋_GB2312" w:eastAsia="仿宋_GB2312" w:cs="仿宋_GB2312"/>
                <w:snapToGrid/>
                <w:color w:val="auto"/>
                <w:sz w:val="20"/>
                <w:szCs w:val="20"/>
                <w:lang w:eastAsia="zh-Hans"/>
              </w:rPr>
              <w:t>（2）、投标单位在完成新编图书上架工作后应及时与书库管理人员完成交接工作。</w:t>
            </w:r>
          </w:p>
          <w:p w14:paraId="212A8D34">
            <w:pPr>
              <w:spacing w:line="360" w:lineRule="auto"/>
              <w:ind w:firstLine="400" w:firstLineChars="200"/>
              <w:rPr>
                <w:lang w:eastAsia="zh-CN"/>
              </w:rPr>
            </w:pPr>
            <w:r>
              <w:rPr>
                <w:rFonts w:hint="eastAsia" w:ascii="仿宋_GB2312" w:hAnsi="仿宋_GB2312" w:eastAsia="仿宋_GB2312" w:cs="仿宋_GB2312"/>
                <w:snapToGrid/>
                <w:color w:val="auto"/>
                <w:sz w:val="20"/>
                <w:szCs w:val="20"/>
                <w:lang w:eastAsia="zh-Hans"/>
              </w:rPr>
              <w:t>（3）、对于在上架过程中发现的编目错误的图书，投标单位应立即对错误进行修改，修改所需的所有材料及人工费用由投标单位承担。</w:t>
            </w:r>
          </w:p>
        </w:tc>
      </w:tr>
    </w:tbl>
    <w:p w14:paraId="147987B6">
      <w:pPr>
        <w:pStyle w:val="17"/>
      </w:pPr>
      <w:bookmarkStart w:id="0" w:name="_GoBack"/>
      <w:bookmarkEnd w:id="0"/>
    </w:p>
    <w:sectPr>
      <w:headerReference r:id="rId5" w:type="default"/>
      <w:footerReference r:id="rId6" w:type="default"/>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1"/>
    <w:family w:val="auto"/>
    <w:pitch w:val="default"/>
    <w:sig w:usb0="E0002EFF" w:usb1="C000785B" w:usb2="00000009" w:usb3="00000000" w:csb0="400001FF" w:csb1="FFFF0000"/>
  </w:font>
  <w:font w:name="宋体">
    <w:panose1 w:val="02010600030101010101"/>
    <w:charset w:val="88"/>
    <w:family w:val="moder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宋体-简">
    <w:altName w:val="宋体"/>
    <w:panose1 w:val="02010800040101010101"/>
    <w:charset w:val="86"/>
    <w:family w:val="auto"/>
    <w:pitch w:val="default"/>
    <w:sig w:usb0="00000000" w:usb1="00000000" w:usb2="00000000" w:usb3="00000000" w:csb0="00040000"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KSOFE4500885">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 w:name="仿宋_GB2312">
    <w:altName w:val="仿宋"/>
    <w:panose1 w:val="02010609030101010101"/>
    <w:charset w:val="86"/>
    <w:family w:val="modern"/>
    <w:pitch w:val="default"/>
    <w:sig w:usb0="00000000" w:usb1="0000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29B717">
    <w:pPr>
      <w:pStyle w:val="10"/>
      <w:ind w:right="360" w:firstLine="90" w:firstLineChars="50"/>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29728273">
                          <w:pPr>
                            <w:pStyle w:val="10"/>
                          </w:pPr>
                          <w:r>
                            <w:t xml:space="preserve">第 </w:t>
                          </w:r>
                          <w:r>
                            <w:fldChar w:fldCharType="begin"/>
                          </w:r>
                          <w:r>
                            <w:instrText xml:space="preserve"> PAGE  \* MERGEFORMAT </w:instrText>
                          </w:r>
                          <w:r>
                            <w:fldChar w:fldCharType="separate"/>
                          </w:r>
                          <w:r>
                            <w:t>1</w:t>
                          </w:r>
                          <w:r>
                            <w:fldChar w:fldCharType="end"/>
                          </w:r>
                          <w:r>
                            <w:t xml:space="preserve"> 页</w:t>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OSi/s/IAQAAmQMAAA4AAAAAAAAAAQAgAAAAHgEAAGRycy9lMm9Eb2Mu&#10;eG1sUEsFBgAAAAAGAAYAWQEAAFgFAAAAAA==&#10;">
              <v:fill on="f" focussize="0,0"/>
              <v:stroke on="f"/>
              <v:imagedata o:title=""/>
              <o:lock v:ext="edit" aspectratio="f"/>
              <v:textbox inset="0mm,0mm,0mm,0mm" style="mso-fit-shape-to-text:t;">
                <w:txbxContent>
                  <w:p w14:paraId="29728273">
                    <w:pPr>
                      <w:pStyle w:val="10"/>
                    </w:pPr>
                    <w:r>
                      <w:t xml:space="preserve">第 </w:t>
                    </w:r>
                    <w:r>
                      <w:fldChar w:fldCharType="begin"/>
                    </w:r>
                    <w:r>
                      <w:instrText xml:space="preserve"> PAGE  \* MERGEFORMAT </w:instrText>
                    </w:r>
                    <w:r>
                      <w:fldChar w:fldCharType="separate"/>
                    </w:r>
                    <w:r>
                      <w:t>1</w:t>
                    </w:r>
                    <w:r>
                      <w:fldChar w:fldCharType="end"/>
                    </w:r>
                    <w:r>
                      <w:t xml:space="preserve"> 页</w:t>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24" w:lineRule="auto"/>
      </w:pPr>
      <w:r>
        <w:separator/>
      </w:r>
    </w:p>
  </w:footnote>
  <w:footnote w:type="continuationSeparator" w:id="1">
    <w:p>
      <w:pPr>
        <w:spacing w:line="324"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4C29CA">
    <w:pPr>
      <w:pStyle w:val="11"/>
      <w:pBdr>
        <w:bottom w:val="single" w:color="auto" w:sz="6" w:space="2"/>
      </w:pBdr>
      <w:jc w:val="left"/>
    </w:pPr>
    <w:r>
      <w:rPr>
        <w:rFonts w:hint="eastAsia"/>
        <w:lang w:val="en-US" w:eastAsia="zh-CN"/>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FmZTUzNTgxYzEzYTRhMWM4ODc2MTE5ZjVmNzIzNDEifQ=="/>
  </w:docVars>
  <w:rsids>
    <w:rsidRoot w:val="00000000"/>
    <w:rsid w:val="0067008A"/>
    <w:rsid w:val="00B24485"/>
    <w:rsid w:val="017F4F67"/>
    <w:rsid w:val="025D1695"/>
    <w:rsid w:val="03124449"/>
    <w:rsid w:val="035C6062"/>
    <w:rsid w:val="03E1456A"/>
    <w:rsid w:val="06EF5394"/>
    <w:rsid w:val="095A1470"/>
    <w:rsid w:val="0A9E23BD"/>
    <w:rsid w:val="0DBC5E01"/>
    <w:rsid w:val="108E0B4A"/>
    <w:rsid w:val="12120B1B"/>
    <w:rsid w:val="12814146"/>
    <w:rsid w:val="160C74E6"/>
    <w:rsid w:val="179C1CBE"/>
    <w:rsid w:val="1C7F6FB0"/>
    <w:rsid w:val="1E786385"/>
    <w:rsid w:val="1ECA384D"/>
    <w:rsid w:val="21685574"/>
    <w:rsid w:val="220A1E96"/>
    <w:rsid w:val="22C87245"/>
    <w:rsid w:val="22E00E2D"/>
    <w:rsid w:val="25F86AF1"/>
    <w:rsid w:val="37FF2D77"/>
    <w:rsid w:val="3B1038C1"/>
    <w:rsid w:val="3EFA5C6C"/>
    <w:rsid w:val="40F82EF9"/>
    <w:rsid w:val="469F763F"/>
    <w:rsid w:val="49105DC9"/>
    <w:rsid w:val="49B76F52"/>
    <w:rsid w:val="4C977055"/>
    <w:rsid w:val="4F406CC7"/>
    <w:rsid w:val="51150C7F"/>
    <w:rsid w:val="550A1873"/>
    <w:rsid w:val="56A4373E"/>
    <w:rsid w:val="56AB5230"/>
    <w:rsid w:val="5A612985"/>
    <w:rsid w:val="5D2E4085"/>
    <w:rsid w:val="672226E7"/>
    <w:rsid w:val="68993E8A"/>
    <w:rsid w:val="68FB4800"/>
    <w:rsid w:val="6CCC3552"/>
    <w:rsid w:val="6D415667"/>
    <w:rsid w:val="706439B2"/>
    <w:rsid w:val="723956D2"/>
    <w:rsid w:val="728B13DD"/>
    <w:rsid w:val="765F6058"/>
    <w:rsid w:val="76D17E0A"/>
    <w:rsid w:val="79DB4340"/>
    <w:rsid w:val="7B1403A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99"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24" w:lineRule="auto"/>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24"/>
    <w:qFormat/>
    <w:uiPriority w:val="0"/>
    <w:pPr>
      <w:keepNext/>
      <w:keepLines/>
      <w:spacing w:before="340" w:after="330" w:line="576" w:lineRule="auto"/>
      <w:outlineLvl w:val="0"/>
    </w:pPr>
    <w:rPr>
      <w:b/>
      <w:kern w:val="44"/>
      <w:sz w:val="44"/>
    </w:rPr>
  </w:style>
  <w:style w:type="paragraph" w:styleId="3">
    <w:name w:val="heading 2"/>
    <w:basedOn w:val="1"/>
    <w:next w:val="1"/>
    <w:qFormat/>
    <w:uiPriority w:val="0"/>
    <w:pPr>
      <w:keepNext/>
      <w:keepLines/>
      <w:spacing w:line="600" w:lineRule="exact"/>
      <w:outlineLvl w:val="1"/>
    </w:pPr>
    <w:rPr>
      <w:rFonts w:ascii="Arial" w:hAnsi="Arial" w:eastAsia="黑体" w:cs="Times New Roman"/>
      <w:bCs/>
      <w:sz w:val="24"/>
      <w:szCs w:val="32"/>
    </w:rPr>
  </w:style>
  <w:style w:type="character" w:default="1" w:styleId="15">
    <w:name w:val="Default Paragraph Font"/>
    <w:semiHidden/>
    <w:qFormat/>
    <w:uiPriority w:val="0"/>
  </w:style>
  <w:style w:type="table" w:default="1" w:styleId="13">
    <w:name w:val="Normal Table"/>
    <w:semiHidden/>
    <w:qFormat/>
    <w:uiPriority w:val="0"/>
    <w:tblPr>
      <w:tblCellMar>
        <w:top w:w="0" w:type="dxa"/>
        <w:left w:w="108" w:type="dxa"/>
        <w:bottom w:w="0" w:type="dxa"/>
        <w:right w:w="108" w:type="dxa"/>
      </w:tblCellMar>
    </w:tblPr>
  </w:style>
  <w:style w:type="paragraph" w:styleId="4">
    <w:name w:val="Normal Indent"/>
    <w:basedOn w:val="1"/>
    <w:qFormat/>
    <w:uiPriority w:val="0"/>
    <w:pPr>
      <w:ind w:firstLine="420"/>
    </w:pPr>
    <w:rPr>
      <w:szCs w:val="20"/>
    </w:rPr>
  </w:style>
  <w:style w:type="paragraph" w:styleId="5">
    <w:name w:val="annotation text"/>
    <w:basedOn w:val="1"/>
    <w:qFormat/>
    <w:uiPriority w:val="0"/>
    <w:pPr>
      <w:jc w:val="left"/>
    </w:pPr>
  </w:style>
  <w:style w:type="paragraph" w:styleId="6">
    <w:name w:val="Body Text"/>
    <w:basedOn w:val="1"/>
    <w:next w:val="1"/>
    <w:qFormat/>
    <w:uiPriority w:val="0"/>
    <w:pPr>
      <w:spacing w:after="120"/>
    </w:pPr>
  </w:style>
  <w:style w:type="paragraph" w:styleId="7">
    <w:name w:val="Body Text Indent"/>
    <w:basedOn w:val="1"/>
    <w:next w:val="8"/>
    <w:qFormat/>
    <w:uiPriority w:val="0"/>
    <w:pPr>
      <w:tabs>
        <w:tab w:val="left" w:pos="480"/>
      </w:tabs>
      <w:spacing w:line="540" w:lineRule="exact"/>
      <w:ind w:firstLine="480" w:firstLineChars="200"/>
    </w:pPr>
    <w:rPr>
      <w:sz w:val="24"/>
    </w:rPr>
  </w:style>
  <w:style w:type="paragraph" w:styleId="8">
    <w:name w:val="Body Text First Indent 2"/>
    <w:basedOn w:val="7"/>
    <w:qFormat/>
    <w:uiPriority w:val="0"/>
    <w:pPr>
      <w:spacing w:after="120" w:line="240" w:lineRule="auto"/>
      <w:ind w:left="420" w:leftChars="200" w:firstLine="420"/>
    </w:pPr>
    <w:rPr>
      <w:sz w:val="21"/>
    </w:rPr>
  </w:style>
  <w:style w:type="paragraph" w:styleId="9">
    <w:name w:val="Plain Text"/>
    <w:basedOn w:val="1"/>
    <w:qFormat/>
    <w:uiPriority w:val="99"/>
    <w:rPr>
      <w:rFonts w:ascii="宋体" w:hAnsi="Courier New" w:cs="Courier New"/>
      <w:szCs w:val="21"/>
    </w:rPr>
  </w:style>
  <w:style w:type="paragraph" w:styleId="10">
    <w:name w:val="footer"/>
    <w:basedOn w:val="1"/>
    <w:qFormat/>
    <w:uiPriority w:val="0"/>
    <w:pPr>
      <w:tabs>
        <w:tab w:val="center" w:pos="4153"/>
        <w:tab w:val="right" w:pos="8306"/>
      </w:tabs>
      <w:snapToGrid w:val="0"/>
      <w:jc w:val="left"/>
    </w:pPr>
    <w:rPr>
      <w:sz w:val="18"/>
      <w:szCs w:val="18"/>
    </w:rPr>
  </w:style>
  <w:style w:type="paragraph" w:styleId="11">
    <w:name w:val="header"/>
    <w:basedOn w:val="1"/>
    <w:qFormat/>
    <w:uiPriority w:val="99"/>
    <w:pPr>
      <w:pBdr>
        <w:bottom w:val="single" w:color="auto" w:sz="6" w:space="1"/>
      </w:pBdr>
      <w:tabs>
        <w:tab w:val="center" w:pos="4153"/>
        <w:tab w:val="right" w:pos="8306"/>
      </w:tabs>
      <w:snapToGrid w:val="0"/>
      <w:spacing w:line="240" w:lineRule="auto"/>
      <w:jc w:val="center"/>
    </w:pPr>
    <w:rPr>
      <w:sz w:val="18"/>
      <w:szCs w:val="18"/>
    </w:rPr>
  </w:style>
  <w:style w:type="paragraph" w:styleId="12">
    <w:name w:val="Normal (Web)"/>
    <w:basedOn w:val="1"/>
    <w:qFormat/>
    <w:uiPriority w:val="0"/>
    <w:pPr>
      <w:widowControl/>
      <w:spacing w:beforeAutospacing="1" w:after="0" w:afterAutospacing="1"/>
      <w:jc w:val="left"/>
    </w:pPr>
    <w:rPr>
      <w:rFonts w:ascii="宋体" w:hAnsi="宋体"/>
      <w:kern w:val="0"/>
      <w:sz w:val="24"/>
      <w:szCs w:val="24"/>
    </w:rPr>
  </w:style>
  <w:style w:type="table" w:styleId="14">
    <w:name w:val="Table Grid"/>
    <w:basedOn w:val="13"/>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6">
    <w:name w:val="列出段落1"/>
    <w:basedOn w:val="1"/>
    <w:qFormat/>
    <w:uiPriority w:val="99"/>
    <w:pPr>
      <w:ind w:firstLine="420" w:firstLineChars="200"/>
    </w:pPr>
    <w:rPr>
      <w:rFonts w:ascii="Calibri" w:hAnsi="Calibri" w:cs="Calibri"/>
    </w:rPr>
  </w:style>
  <w:style w:type="paragraph" w:customStyle="1" w:styleId="17">
    <w:name w:val="null3"/>
    <w:autoRedefine/>
    <w:hidden/>
    <w:qFormat/>
    <w:uiPriority w:val="0"/>
    <w:rPr>
      <w:rFonts w:hint="eastAsia" w:asciiTheme="minorHAnsi" w:hAnsiTheme="minorHAnsi" w:eastAsiaTheme="minorEastAsia" w:cstheme="minorBidi"/>
      <w:lang w:val="en-US" w:eastAsia="zh-Hans"/>
    </w:rPr>
  </w:style>
  <w:style w:type="paragraph" w:styleId="18">
    <w:name w:val="List Paragraph"/>
    <w:basedOn w:val="1"/>
    <w:autoRedefine/>
    <w:qFormat/>
    <w:uiPriority w:val="34"/>
    <w:pPr>
      <w:ind w:firstLine="420"/>
    </w:pPr>
  </w:style>
  <w:style w:type="character" w:customStyle="1" w:styleId="19">
    <w:name w:val="font71"/>
    <w:basedOn w:val="15"/>
    <w:autoRedefine/>
    <w:qFormat/>
    <w:uiPriority w:val="0"/>
    <w:rPr>
      <w:rFonts w:hint="eastAsia" w:ascii="宋体" w:hAnsi="宋体" w:eastAsia="宋体" w:cs="宋体"/>
      <w:color w:val="000000"/>
      <w:sz w:val="22"/>
      <w:szCs w:val="22"/>
      <w:u w:val="none"/>
    </w:rPr>
  </w:style>
  <w:style w:type="character" w:customStyle="1" w:styleId="20">
    <w:name w:val="font91"/>
    <w:basedOn w:val="15"/>
    <w:qFormat/>
    <w:uiPriority w:val="0"/>
    <w:rPr>
      <w:rFonts w:ascii="宋体-简" w:hAnsi="宋体-简" w:eastAsia="宋体-简" w:cs="宋体-简"/>
      <w:color w:val="000000"/>
      <w:sz w:val="22"/>
      <w:szCs w:val="22"/>
      <w:u w:val="none"/>
    </w:rPr>
  </w:style>
  <w:style w:type="character" w:customStyle="1" w:styleId="21">
    <w:name w:val="font21"/>
    <w:basedOn w:val="15"/>
    <w:qFormat/>
    <w:uiPriority w:val="0"/>
    <w:rPr>
      <w:rFonts w:hint="eastAsia" w:ascii="宋体" w:hAnsi="宋体" w:eastAsia="宋体" w:cs="宋体"/>
      <w:color w:val="000000"/>
      <w:sz w:val="21"/>
      <w:szCs w:val="21"/>
      <w:u w:val="none"/>
    </w:rPr>
  </w:style>
  <w:style w:type="paragraph" w:customStyle="1" w:styleId="22">
    <w:name w:val="No Spacing"/>
    <w:qFormat/>
    <w:uiPriority w:val="0"/>
    <w:pPr>
      <w:widowControl w:val="0"/>
      <w:jc w:val="both"/>
    </w:pPr>
    <w:rPr>
      <w:rFonts w:ascii="Calibri" w:hAnsi="Calibri" w:eastAsia="宋体" w:cs="Times New Roman"/>
      <w:kern w:val="2"/>
      <w:sz w:val="21"/>
      <w:szCs w:val="22"/>
      <w:lang w:val="en-US" w:eastAsia="zh-CN" w:bidi="ar-SA"/>
    </w:rPr>
  </w:style>
  <w:style w:type="character" w:customStyle="1" w:styleId="23">
    <w:name w:val="font11"/>
    <w:basedOn w:val="15"/>
    <w:qFormat/>
    <w:uiPriority w:val="0"/>
    <w:rPr>
      <w:rFonts w:hint="eastAsia" w:ascii="宋体" w:hAnsi="宋体" w:eastAsia="宋体" w:cs="宋体"/>
      <w:color w:val="000000"/>
      <w:sz w:val="21"/>
      <w:szCs w:val="21"/>
      <w:u w:val="none"/>
    </w:rPr>
  </w:style>
  <w:style w:type="character" w:customStyle="1" w:styleId="24">
    <w:name w:val="标题 1 Char"/>
    <w:link w:val="2"/>
    <w:qFormat/>
    <w:uiPriority w:val="0"/>
    <w:rPr>
      <w:b/>
      <w:kern w:val="44"/>
      <w:sz w:val="44"/>
    </w:rPr>
  </w:style>
  <w:style w:type="paragraph" w:customStyle="1" w:styleId="25">
    <w:name w:val="Table Text"/>
    <w:basedOn w:val="1"/>
    <w:semiHidden/>
    <w:qFormat/>
    <w:uiPriority w:val="0"/>
    <w:rPr>
      <w:rFonts w:ascii="宋体" w:hAnsi="宋体" w:eastAsia="宋体" w:cs="宋体"/>
      <w:sz w:val="21"/>
      <w:szCs w:val="21"/>
      <w:lang w:val="en-US" w:eastAsia="en-US" w:bidi="ar-SA"/>
    </w:rPr>
  </w:style>
  <w:style w:type="table" w:customStyle="1" w:styleId="26">
    <w:name w:val="Table Normal"/>
    <w:semiHidden/>
    <w:unhideWhenUsed/>
    <w:qFormat/>
    <w:uiPriority w:val="0"/>
    <w:tblPr>
      <w:tblCellMar>
        <w:top w:w="0" w:type="dxa"/>
        <w:left w:w="0" w:type="dxa"/>
        <w:bottom w:w="0" w:type="dxa"/>
        <w:right w:w="0" w:type="dxa"/>
      </w:tblCellMar>
    </w:tblPr>
  </w:style>
  <w:style w:type="paragraph" w:customStyle="1" w:styleId="27">
    <w:name w:val="列表段落1"/>
    <w:basedOn w:val="1"/>
    <w:qFormat/>
    <w:uiPriority w:val="0"/>
    <w:pPr>
      <w:spacing w:after="0"/>
      <w:ind w:firstLine="420" w:firstLineChars="200"/>
    </w:pPr>
    <w:rPr>
      <w:szCs w:val="21"/>
    </w:rPr>
  </w:style>
  <w:style w:type="paragraph" w:customStyle="1" w:styleId="28">
    <w:name w:val="正文_段"/>
    <w:qFormat/>
    <w:uiPriority w:val="0"/>
    <w:pPr>
      <w:adjustRightInd w:val="0"/>
      <w:snapToGrid w:val="0"/>
      <w:spacing w:line="360" w:lineRule="auto"/>
      <w:ind w:firstLine="200" w:firstLineChars="200"/>
    </w:pPr>
    <w:rPr>
      <w:rFonts w:ascii="Times New Roman" w:hAnsi="Times New Roman" w:eastAsia="宋体" w:cs="Times New Roman"/>
      <w:sz w:val="28"/>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8</Pages>
  <Words>1319</Words>
  <Characters>1655</Characters>
  <Lines>0</Lines>
  <Paragraphs>0</Paragraphs>
  <TotalTime>0</TotalTime>
  <ScaleCrop>false</ScaleCrop>
  <LinksUpToDate>false</LinksUpToDate>
  <CharactersWithSpaces>1723</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2024-11-07T06:12:00Z</dcterms:created>
  <dc:creator>Administrator</dc:creator>
  <cp:lastModifiedBy>国创招标</cp:lastModifiedBy>
  <dcterms:modified xsi:type="dcterms:W3CDTF">2026-07-15T08:26:24Z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93527D60A6C247DCA3BA1443F2DA3974_12</vt:lpwstr>
  </property>
  <property fmtid="{D5CDD505-2E9C-101B-9397-08002B2CF9AE}" pid="4" name="KSOTemplateDocerSaveRecord">
    <vt:lpwstr>eyJoZGlkIjoiNzFmZTUzNTgxYzEzYTRhMWM4ODc2MTE5ZjVmNzIzNDEiLCJ1c2VySWQiOiIxMTQ2NDU0OTA0In0=</vt:lpwstr>
  </property>
</Properties>
</file>