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61019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highlight w:val="none"/>
          <w:lang w:eastAsia="zh-Hans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highlight w:val="none"/>
          <w:lang w:eastAsia="zh-Hans"/>
        </w:rPr>
        <w:t>宝鸡市人民医院保洁服务项目服务合同</w:t>
      </w:r>
    </w:p>
    <w:p w14:paraId="7D4590FD">
      <w:pPr>
        <w:spacing w:line="360" w:lineRule="auto"/>
        <w:jc w:val="center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（模板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>合同——以实际签订为准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）</w:t>
      </w:r>
    </w:p>
    <w:p w14:paraId="5E991979">
      <w:pPr>
        <w:spacing w:line="360" w:lineRule="auto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</w:p>
    <w:p w14:paraId="6CC351DC">
      <w:pPr>
        <w:spacing w:line="360" w:lineRule="auto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甲方（采购人）：宝鸡市人民医院</w:t>
      </w:r>
    </w:p>
    <w:p w14:paraId="63A5032C">
      <w:pPr>
        <w:spacing w:line="360" w:lineRule="auto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统一社会信用代码：</w:t>
      </w:r>
    </w:p>
    <w:p w14:paraId="06473803">
      <w:pPr>
        <w:spacing w:line="360" w:lineRule="auto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地址：</w:t>
      </w:r>
    </w:p>
    <w:p w14:paraId="24B20435">
      <w:pPr>
        <w:spacing w:line="360" w:lineRule="auto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联系人：联系电话：</w:t>
      </w:r>
    </w:p>
    <w:p w14:paraId="04550C25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</w:p>
    <w:p w14:paraId="6AC8DBA9">
      <w:pPr>
        <w:spacing w:line="360" w:lineRule="auto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乙方（成交供应商）：</w:t>
      </w:r>
    </w:p>
    <w:p w14:paraId="7ECC5DCB">
      <w:pPr>
        <w:spacing w:line="360" w:lineRule="auto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统一社会信用代码：</w:t>
      </w:r>
    </w:p>
    <w:p w14:paraId="2AD4E5BA">
      <w:pPr>
        <w:spacing w:line="360" w:lineRule="auto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地址：</w:t>
      </w:r>
    </w:p>
    <w:p w14:paraId="08587C0F">
      <w:pPr>
        <w:spacing w:line="360" w:lineRule="auto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联系人：联系电话：</w:t>
      </w:r>
    </w:p>
    <w:p w14:paraId="6B5E89F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</w:pPr>
    </w:p>
    <w:p w14:paraId="1612CA51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依据《中华人民共和国民法典》《中华人民共和国政府采购法》《医疗机构感染预防与控制基本规范》等法律法规，就甲方宝鸡市人民医院保洁服务项目采购事宜，甲方通过政府采购综合评分法确定乙方为本项目成交服务商，甲乙双方本着平等自愿、诚实信用、权责对等原则，签订本合同，共同遵照执行。</w:t>
      </w:r>
    </w:p>
    <w:p w14:paraId="366F3243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第一条服务项目概况</w:t>
      </w:r>
    </w:p>
    <w:p w14:paraId="6AAA656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1.项目名称：宝鸡市人民医院保洁服务项目</w:t>
      </w:r>
    </w:p>
    <w:p w14:paraId="6048B158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2.服务地点：宝鸡市人民医院院内1-10号楼、东2楼、保障楼、东岭分院、家属区、学生公寓、门前三包责任区及配套附属区域</w:t>
      </w:r>
    </w:p>
    <w:p w14:paraId="0AEA2AC9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3.服务期限：自合同签订之日起壹年；合同实行一年一签，服务期满前甲方依据本合同及院内考核办法开展综合月度、年度考核，考核合格可续签，最多续签贰次，整体累计服务期限最长不超过叁年。</w:t>
      </w:r>
    </w:p>
    <w:p w14:paraId="315959AB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合同价款</w:t>
      </w:r>
    </w:p>
    <w:p w14:paraId="03237BD2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（一）合同总价：合同总价款为人民币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u w:val="single"/>
          <w:lang w:eastAsia="zh-Hans"/>
        </w:rPr>
        <w:t xml:space="preserve">  （大写）  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u w:val="none"/>
          <w:lang w:eastAsia="zh-Hans"/>
        </w:rPr>
        <w:t xml:space="preserve"> 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u w:val="single"/>
          <w:lang w:eastAsia="zh-Hans"/>
        </w:rPr>
        <w:t>（￥  小写   ）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。</w:t>
      </w:r>
    </w:p>
    <w:p w14:paraId="05D7CD71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二）本合同总价为全包固定价，包含人工薪酬、社保、加班费、设备、耗材、消杀药剂、工装、保险、管理费、税金、垃圾台账、9S管理、院感防控、日常保洁等全部成本，合同期内基础服务总价固定，无隐形增项费用。</w:t>
      </w:r>
    </w:p>
    <w:p w14:paraId="25EABE3E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5.服务面积基数（计价依据）</w:t>
      </w:r>
    </w:p>
    <w:p w14:paraId="446BA10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（1）院区楼宇室内保洁面积54722.13㎡；</w:t>
      </w:r>
    </w:p>
    <w:p w14:paraId="5A64B575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（2）室外（含家属区）保洁面积14319.2㎡；</w:t>
      </w:r>
    </w:p>
    <w:p w14:paraId="1BD50F6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（3）玻璃幕墙面积1021.4㎡；</w:t>
      </w:r>
    </w:p>
    <w:p w14:paraId="0E152959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（4）重点科室打蜡区域4914.69㎡。</w:t>
      </w:r>
    </w:p>
    <w:p w14:paraId="736B9CE9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第二条服务内容与标准</w:t>
      </w:r>
    </w:p>
    <w:p w14:paraId="2A8E367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（一）基础必选服务（合同固定服务范围）</w:t>
      </w:r>
    </w:p>
    <w:p w14:paraId="45A51F8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乙方须全面完成全院及三包区域全部保洁配套工作，包含但不限于：</w:t>
      </w:r>
    </w:p>
    <w:p w14:paraId="36EA4430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1.全院室内外日常清扫、拖拭、除尘、除胶、小广告清理、雨水箅子疏通、屋面雨棚清理；</w:t>
      </w:r>
    </w:p>
    <w:p w14:paraId="46ECFDB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2.所有电梯（含手术专用梯）日常清洁、消杀、不锈钢保养，手术电梯专人值守；</w:t>
      </w:r>
    </w:p>
    <w:p w14:paraId="2B5832C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3.病房、门诊、公共卫生间标准化保洁、定时消杀、异味治理，垃圾日产日清；</w:t>
      </w:r>
    </w:p>
    <w:p w14:paraId="1ED98DFB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4.病区患者出院终末消毒、污染物（呕吐物、药液、积水）即时规范处置；</w:t>
      </w:r>
    </w:p>
    <w:p w14:paraId="51F7F90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5.生活垃圾分层收集、转运、对接环卫单位；专职人员负责医疗废物上门收取、双人交接登记、暂存库房管理、出入库台账、每日与合规处置单位核对出库；</w:t>
      </w:r>
    </w:p>
    <w:p w14:paraId="4BB7232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6.手术室、ICU、产房、静配中心等重点科室深度清洁、地面打蜡养护；</w:t>
      </w:r>
    </w:p>
    <w:p w14:paraId="172DC4A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7.全院公共扶手、门窗、消防设施、墙面、天花板、灯具除尘擦拭；</w:t>
      </w:r>
    </w:p>
    <w:p w14:paraId="0CC4AE3A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8.院区广场、道路、绿地、家属区、学生公寓巡回保洁；</w:t>
      </w:r>
    </w:p>
    <w:p w14:paraId="2BAB7F4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9.作业发现建筑、水电、管线、设施破损第一时间上报甲方后勤管理部门；</w:t>
      </w:r>
    </w:p>
    <w:p w14:paraId="29B5AAC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10.病媒生物协同防治、院区常态化9S标准化管理；</w:t>
      </w:r>
    </w:p>
    <w:p w14:paraId="1E6910C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11.雨雪、大风、水管爆裂、火警、突发传染病等突发事件应急保洁处置；</w:t>
      </w:r>
    </w:p>
    <w:p w14:paraId="5534105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12.上级检查、院内重大活动、甲方临时安排的保洁保障任务。</w:t>
      </w:r>
    </w:p>
    <w:p w14:paraId="22749D24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（二）增值可选服务（据实结算，不纳入固定总价）</w:t>
      </w:r>
    </w:p>
    <w:p w14:paraId="1BEECE10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甲方根据实际需求按需下单，乙方完成并经甲方验收合格后单独结算，各分项单价不得超过招标文件约定拦标价：</w:t>
      </w:r>
    </w:p>
    <w:p w14:paraId="76BC864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</w:pPr>
    </w:p>
    <w:p w14:paraId="1D27B8AB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1.玻璃幕墙、纱窗年度深度清洗，单价最高10.5元/㎡；</w:t>
      </w:r>
    </w:p>
    <w:p w14:paraId="59665EFE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2.各科室地面按需打蜡养护，单价最高5.1元/㎡；</w:t>
      </w:r>
    </w:p>
    <w:p w14:paraId="5B6E5720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3.新建、改扩建区域开荒保洁，基准面积15000㎡，单价最高3.1元/㎡；</w:t>
      </w:r>
    </w:p>
    <w:p w14:paraId="5ED91A4E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4.加班保洁（单人单次最低3小时，不足3小时按3小时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计算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），单次最高36元；年度基准4700次；</w:t>
      </w:r>
    </w:p>
    <w:p w14:paraId="26A1F0D1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5.院区绿化修剪、浇灌、除杂养护，单次最高5000元，年度基准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>≤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4次。</w:t>
      </w:r>
    </w:p>
    <w:p w14:paraId="262420B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（三）统一服务执行标准</w:t>
      </w:r>
    </w:p>
    <w:p w14:paraId="5CF749F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1.全程落实9S管理（整理、整顿、清扫、清洁、素养、安全、节约、服务、满意），工具定点分类存放、标识清晰；</w:t>
      </w:r>
    </w:p>
    <w:p w14:paraId="5591EE8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2.严格执行医疗机构院感防控制度、消毒规范、垃圾分类、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《医疗废物管理条例》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；</w:t>
      </w:r>
    </w:p>
    <w:p w14:paraId="2C514EB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3.院落、公共区域、病区、卫生间、特殊科室、电梯、垃圾暂存点卫生标准严格按照招标文件《保洁标准要求》执行；</w:t>
      </w:r>
    </w:p>
    <w:p w14:paraId="6389F77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4.保洁工具分区专用，定期清洗消毒，杜绝交叉感染；消毒留存完整书面记录。</w:t>
      </w:r>
    </w:p>
    <w:p w14:paraId="302C56D3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第三条人员配置及管理要求</w:t>
      </w:r>
    </w:p>
    <w:p w14:paraId="63AD6ED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1.人员最低配置标准：项目在岗总人数不少于11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人，明细：项目经理1人、现场主管1人+区域主管6人（合计7名主管）、专项岗位10人（电梯/消杀6人、医废收集3人、生活垃圾收集1人）、楼宇科室保洁员97人、顶班备用人员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人。</w:t>
      </w:r>
    </w:p>
    <w:p w14:paraId="4FE36AE5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2.人员硬性要求</w:t>
      </w:r>
    </w:p>
    <w:p w14:paraId="1C2EB76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（1）不得聘用未成年人、超法定退休年龄人员，全员身体健康，上岗前乙方统一安排体检并留存有效健康证；</w:t>
      </w:r>
    </w:p>
    <w:p w14:paraId="6656974B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（2）乙方为全部人员缴纳社会保险、购买人身意外伤害、工伤相关保险，承担全部用工法律责任，杜绝劳动纠纷；</w:t>
      </w:r>
    </w:p>
    <w:p w14:paraId="5D9515E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（3）全员统一工装、佩戴工牌，文明用语、规范服务；关键岗位人员变动须提前向甲方报备，不得擅自更换；</w:t>
      </w:r>
    </w:p>
    <w:p w14:paraId="7A37E68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（4）设置午班11:30-14:00、晚班17:00-22:00（可按需延时），配备夜间值班人员，值班表、联系电话公示至各科室，24小时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通信畅通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；</w:t>
      </w:r>
    </w:p>
    <w:p w14:paraId="046E2800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（5）甲方有权对态度恶劣、工作不达标、违规操作、超龄、无证上岗人员要求乙方限期更换，乙方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须在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3日内完成人员补位，不得影响临床工作。</w:t>
      </w:r>
    </w:p>
    <w:p w14:paraId="72D77F2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3.新增人员计价：若甲方要求增加岗位人员，按乙方投标报价《新增工作人员单价表》按月据实结算。</w:t>
      </w:r>
    </w:p>
    <w:p w14:paraId="2206BA85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第四条设备、耗材与物资保障</w:t>
      </w:r>
    </w:p>
    <w:p w14:paraId="3F2EBBE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1.乙方全额自行提供本项目全部保洁设备、工具、分区标识、消杀药剂、垃圾袋、清洁耗材、员工工装、防护用品（口罩、手套、防护服等），所有费用包含在年度固定报价内，甲方无需另行支付；</w:t>
      </w:r>
    </w:p>
    <w:p w14:paraId="11390A9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2.标配设备必须足额配齐：高压冲洗车1台、洗地机4台、吸尘器6台、吹风机6台、地面打蜡机1台，并储备备用设备，故障24小时内完成更换维修；可自主增配扫地机器人等设备提升服务；</w:t>
      </w:r>
    </w:p>
    <w:p w14:paraId="6671A55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3.所有药剂、消毒用品符合国家医疗机构使用标准，具备质检合格证明，不得使用刺激性强、腐蚀医疗设备、存在院感隐患的劣质药剂；</w:t>
      </w:r>
    </w:p>
    <w:p w14:paraId="76B45925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4.工具破损、耗材不足乙方及时更换补充，保持各区域作业物资充足。</w:t>
      </w:r>
    </w:p>
    <w:p w14:paraId="15AAAB61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第五条考核管理与费用结算</w:t>
      </w:r>
    </w:p>
    <w:p w14:paraId="66FF335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（一）考核规则</w:t>
      </w:r>
    </w:p>
    <w:p w14:paraId="3146CF0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1.甲方实行月度考核+年度续签考核，考核标准以招标文件《保洁服务项目考核评分表》100分制执行；</w:t>
      </w:r>
    </w:p>
    <w:p w14:paraId="7DA32BE4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2.考核等级与服务费扣罚标准：</w:t>
      </w:r>
    </w:p>
    <w:p w14:paraId="495309EA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（1）90分（含）以上：优秀，全额支付当月服务费，优先续签；</w:t>
      </w:r>
    </w:p>
    <w:p w14:paraId="127E90F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（2）80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—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89分：良好，全额支付，乙方限期整改存在问题；</w:t>
      </w:r>
    </w:p>
    <w:p w14:paraId="59566D58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（3）70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—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79分：合格，扣除当月5%服务费，限期整改；</w:t>
      </w:r>
    </w:p>
    <w:p w14:paraId="3743499A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（4）60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—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69分：不合格，扣除当月10%服务费，黄牌警告；</w:t>
      </w:r>
    </w:p>
    <w:p w14:paraId="4C6BC36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（5）60分以下：严重不合格，甲方有权单方解除合同，不予续签；</w:t>
      </w:r>
    </w:p>
    <w:p w14:paraId="74B0C819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3.发生重大安全事故、院感暴发、医废违规处置、重大投诉、人员群体性劳动纠纷，实行一票否决，当月直接判定严重不合格，甲方有权终止合同并追究乙方赔偿责任。</w:t>
      </w:r>
    </w:p>
    <w:p w14:paraId="4285200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（二）付款方式</w:t>
      </w:r>
    </w:p>
    <w:p w14:paraId="35E3A549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1.按月据实结算，每月15日前甲方支付上一自然月保洁服务费；</w:t>
      </w:r>
    </w:p>
    <w:p w14:paraId="6C98C2A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2.每月服务费=月度基础服务费－月度考核扣减金额；增值服务费用单独凭验收单、发票同期一并支付；</w:t>
      </w:r>
    </w:p>
    <w:p w14:paraId="10570E84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3.乙方须向甲方开具合法足额增值税发票，未提供合规发票甲方有权顺延付款，不承担逾期付款责任；</w:t>
      </w:r>
    </w:p>
    <w:p w14:paraId="7D29AC12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4.付款账户信息以乙方提供的对公账户为准，不得委托第三方代收。</w:t>
      </w:r>
    </w:p>
    <w:p w14:paraId="013A0C86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第六条双方权利与义务</w:t>
      </w:r>
    </w:p>
    <w:p w14:paraId="689423A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（一）甲方权利义务</w:t>
      </w:r>
    </w:p>
    <w:p w14:paraId="42C3A17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1.向乙方提供服务区域图纸、科室分布、院感管理规范、院内管理制度，明确作业禁区、医疗废物转运流程；</w:t>
      </w:r>
    </w:p>
    <w:p w14:paraId="2D4E215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2.每日、每周、每月开展现场督查，出具整改通知书，要求乙方限时整改；</w:t>
      </w:r>
    </w:p>
    <w:p w14:paraId="50668CD1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3.协调各临床科室配合乙方正常保洁作业，提供水电基础使用条件；</w:t>
      </w:r>
    </w:p>
    <w:p w14:paraId="1EFA7C78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4.按照合同约定按期支付服务费用；</w:t>
      </w:r>
    </w:p>
    <w:p w14:paraId="5CFDD9D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5.年度考核合格后，与乙方协商续签次年合同；考核不合格有权不再续签。</w:t>
      </w:r>
    </w:p>
    <w:p w14:paraId="7F813684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（二）乙方权利义务</w:t>
      </w:r>
    </w:p>
    <w:p w14:paraId="6994258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1.严格按照招标文件、投标文件、本合同全部要求提供服务，足额配齐人员、设备、耗材，落实岗前培训、定期技能、院感、安全培训，未经培训人员不得上岗；</w:t>
      </w:r>
    </w:p>
    <w:p w14:paraId="4D10CB6E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2.全权承担项目全部用工责任，员工工资、社保、工伤、劳动仲裁、人身损害赔偿全部由乙方负责；</w:t>
      </w:r>
    </w:p>
    <w:p w14:paraId="66F76468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3.作业过程规范操作，因乙方保洁操作不当、人员管理疏漏造成甲方设备损坏、患者/医护人身伤害、院感事件、第三方财产损失，全部赔偿责任由乙方承担；</w:t>
      </w:r>
    </w:p>
    <w:p w14:paraId="393917E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4.建立完整医废台账、消毒记录、培训记录、值班记录，随时接受甲方、卫健、环保、市场监管等部门检查；</w:t>
      </w:r>
    </w:p>
    <w:p w14:paraId="197772F1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5.遇暴雨、暴雪、传染病、突发事件第一时间组织人员应急处置，服从甲方统一调度；</w:t>
      </w:r>
    </w:p>
    <w:p w14:paraId="4918AFA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6.不得擅自将本项目转包、分包给第三方，不得在院内私自承揽其他有偿业务；</w:t>
      </w:r>
    </w:p>
    <w:p w14:paraId="76260612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7.定期开展科室满意度调研，针对投诉、考核问题制定整改方案并闭环落实；</w:t>
      </w:r>
    </w:p>
    <w:p w14:paraId="56763F8C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8.服务期满或合同解除，乙方3日内完成人员、设备、物资清场，完整移交全部作业台账，不得滞留人员、拖欠物资。</w:t>
      </w:r>
    </w:p>
    <w:p w14:paraId="0C590E3A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第七条合同续签、终止与解除</w:t>
      </w:r>
    </w:p>
    <w:p w14:paraId="31EE8D08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1.首年服务期满前30个工作日，甲方组织年度综合考核，考核合格双方协商续签一年，最多续签两次，累计服务最长3年；续签合同需另行签订补充协议；</w:t>
      </w:r>
    </w:p>
    <w:p w14:paraId="52A10834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2.合同期满未达成续签合意，本合同自动终止，乙方按期退场；</w:t>
      </w:r>
    </w:p>
    <w:p w14:paraId="090F45AE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3.出现下列情形之一，甲方有权单方立即解除合同，不予支付剩余服务费，乙方承担全部违约责任：</w:t>
      </w:r>
    </w:p>
    <w:p w14:paraId="3F389B34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（1）月度考核连续2次60分以下或年度考核不合格；</w:t>
      </w:r>
    </w:p>
    <w:p w14:paraId="2986784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（2）人员配置长期缺岗，经催告7日内未补齐；</w:t>
      </w:r>
    </w:p>
    <w:p w14:paraId="0159B55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（3）违规处置医疗废物、造成院感风险或院感事故；</w:t>
      </w:r>
    </w:p>
    <w:p w14:paraId="158B6EE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（4）发生重大安全责任事故、人员群体性上访；</w:t>
      </w:r>
    </w:p>
    <w:p w14:paraId="6D1AC909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（5）转包、分包本项目；</w:t>
      </w:r>
    </w:p>
    <w:p w14:paraId="2D431B6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（6）拒不执行甲方整改要求、多次整改仍不达标；</w:t>
      </w:r>
    </w:p>
    <w:p w14:paraId="798F5DA5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（7）提供虚假人员、设备、业绩材料，存在欺诈行为。</w:t>
      </w:r>
    </w:p>
    <w:p w14:paraId="4C81726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4.合同解除后，乙方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  <w:t>须在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3日内完成人员撤离、物资清运，逾期未撤离产生的场地占用费、管理损失由乙方承担。</w:t>
      </w:r>
    </w:p>
    <w:p w14:paraId="7E6AC84E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第八条违约责任</w:t>
      </w:r>
    </w:p>
    <w:p w14:paraId="374DED19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1.乙方未按合同、招标文件标准提供保洁服务，甲方有权扣除对应服务费，限期整改；逾期未整改，甲方可委托第三方代为保洁，产生所有费用从乙方服务费中双倍扣除；</w:t>
      </w:r>
    </w:p>
    <w:p w14:paraId="1F810C11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2.乙方人员不足、无证上岗、超龄、未购买保险，每发现1人次按当月服务费1%扣罚；</w:t>
      </w:r>
    </w:p>
    <w:p w14:paraId="5DA4A27D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3.因乙方责任造成甲方财物损毁、医疗设备损坏，乙方按购置原价全额赔偿；造成人身伤害、医疗纠纷的，所有赔偿、诉讼费、律师费全部由乙方承担；</w:t>
      </w:r>
    </w:p>
    <w:p w14:paraId="639D47B4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4.乙方逾期退场、拒不移交台账、扰乱医院正常秩序，甲方有权追究乙方违约金（年度总报价5%）；</w:t>
      </w:r>
    </w:p>
    <w:p w14:paraId="22F534E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5.甲方逾期支付服务费，按当期应付未付金额同期LPR计算利息（因乙方未提供发票、考核扣款情形除外）；</w:t>
      </w:r>
    </w:p>
    <w:p w14:paraId="60C62892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6.任何一方擅自单方无故解除合同，向对方支付合同总价5%违约金。</w:t>
      </w:r>
    </w:p>
    <w:p w14:paraId="5358217F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第九条应急预案与突发事项</w:t>
      </w:r>
    </w:p>
    <w:p w14:paraId="28D90919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1.乙方须配备完善应急预案：恶劣天气、停水停电、火灾、水管爆裂、突发公共卫生事件、上级突击检查、医疗急救保障等；</w:t>
      </w:r>
    </w:p>
    <w:p w14:paraId="0722C211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2.突发传染病、院内聚集性污染时，乙方全员服从甲方院感科统一管理，落实健康监测、分级防护、强化消杀；</w:t>
      </w:r>
    </w:p>
    <w:p w14:paraId="1A20DDC2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3.雨雪天气乙方第一时间组织人员清扫积水、积雪、防滑处置，疏通下水管道；</w:t>
      </w:r>
    </w:p>
    <w:p w14:paraId="4F7062C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4.发生呕吐物、体液、污染物立即启动标准化处置流程，避免交叉感染。</w:t>
      </w:r>
    </w:p>
    <w:p w14:paraId="04F4A4A0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第十条培训与服务承诺</w:t>
      </w:r>
    </w:p>
    <w:p w14:paraId="05283C8B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1.乙方建立完整培训体系：岗前全员培训、月度常态化培训，培训内容含岗位职责、清洁技能、院感防控、医废管理、安全生产、文明服务，留存培训签到、考核试卷；</w:t>
      </w:r>
    </w:p>
    <w:p w14:paraId="24C8024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2.乙方投标文件中全部服务承诺、人员配置承诺、设备配置承诺、满意度保障承诺为本合同有效组成部分，与本合同具有同等法律效力；承诺未兑现按考核标准扣分并承担违约责任。</w:t>
      </w:r>
    </w:p>
    <w:p w14:paraId="5FF1DE2B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第十一条争议解决</w:t>
      </w:r>
    </w:p>
    <w:p w14:paraId="23C936C5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本合同履行过程中发生争议，双方优先友好协商；协商不成，任何一方可向甲方所在地人民法院提起诉讼。</w:t>
      </w:r>
    </w:p>
    <w:p w14:paraId="0E0DCA34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Hans"/>
        </w:rPr>
        <w:t>第十二条其他约定</w:t>
      </w:r>
    </w:p>
    <w:p w14:paraId="00FC3B44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1.招标文件（2026.7.27修改版）、乙方投标文件、分项报价表、服务承诺函、考核评分表为本合同附件，与本合同正文具有同等法律效力；</w:t>
      </w:r>
    </w:p>
    <w:p w14:paraId="2FB6CE33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2.本项目不接受联合体，乙方不得转包、分包；</w:t>
      </w:r>
    </w:p>
    <w:p w14:paraId="2EEDE62D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3.本合同未尽事宜，双方签订书面补充协议，补充协议与本合同一致；</w:t>
      </w:r>
    </w:p>
    <w:p w14:paraId="3297E73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4.本合同一式肆份，甲方执贰份，乙方执贰份，自甲乙双方签字加盖公章之日起生效。</w:t>
      </w:r>
    </w:p>
    <w:p w14:paraId="1D85F2A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</w:p>
    <w:p w14:paraId="1A2E6CD8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</w:p>
    <w:p w14:paraId="00FE0976">
      <w:pPr>
        <w:pStyle w:val="2"/>
        <w:rPr>
          <w:rFonts w:hint="eastAsia"/>
          <w:lang w:eastAsia="zh-Hans"/>
        </w:rPr>
      </w:pPr>
    </w:p>
    <w:p w14:paraId="31D51D99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甲方（盖章）：宝鸡市人民医院</w:t>
      </w:r>
    </w:p>
    <w:p w14:paraId="7015D26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法定代表人/授权代表签字：</w:t>
      </w:r>
    </w:p>
    <w:p w14:paraId="4880A22B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日期：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年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月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日</w:t>
      </w:r>
    </w:p>
    <w:p w14:paraId="209E0275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</w:pPr>
    </w:p>
    <w:p w14:paraId="29239596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乙方（盖章）：</w:t>
      </w:r>
    </w:p>
    <w:p w14:paraId="480B455F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法定代表人/授权代表签字：</w:t>
      </w:r>
    </w:p>
    <w:p w14:paraId="0607B849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日期：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年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月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Hans"/>
        </w:rPr>
        <w:t>日</w:t>
      </w:r>
    </w:p>
    <w:p w14:paraId="1E087C67">
      <w:pPr>
        <w:spacing w:line="360" w:lineRule="auto"/>
        <w:ind w:firstLine="480" w:firstLineChars="200"/>
        <w:rPr>
          <w:rFonts w:hint="eastAsia" w:ascii="Times New Roman" w:hAnsi="Times New Roman" w:eastAsia="仿宋_GB2312" w:cs="仿宋"/>
          <w:color w:val="auto"/>
          <w:sz w:val="24"/>
          <w:szCs w:val="24"/>
          <w:highlight w:val="none"/>
          <w:lang w:eastAsia="zh-CN"/>
        </w:rPr>
      </w:pPr>
    </w:p>
    <w:p w14:paraId="5A16DF48">
      <w:pPr>
        <w:pStyle w:val="2"/>
        <w:rPr>
          <w:lang w:eastAsia="zh-CN"/>
        </w:rPr>
      </w:pPr>
    </w:p>
    <w:p w14:paraId="44415490"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4A93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2026-08-04T03:31:38Z</dcterms:created>
  <dc:creator>dell</dc:creator>
  <cp:lastModifiedBy>采姑娘的小蘑菇</cp:lastModifiedBy>
  <dcterms:modified xsi:type="dcterms:W3CDTF">2026-08-04T03:31:46Z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EEDE67545BA74F1D8B7EEC0E813B6D4E_12</vt:lpwstr>
  </property>
</Properties>
</file>