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1、填写招标文件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第3章3.4商务要求中“交货时间、交货地点、质量保修范围和保修期、支付方式和约定”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并予以说明。</w:t>
      </w:r>
    </w:p>
    <w:p w14:paraId="38106C44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3、投标文件实际存在偏离，但投标人未在偏离表中注明的，视为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无</w:t>
      </w:r>
      <w:r>
        <w:rPr>
          <w:rFonts w:hint="eastAsia" w:ascii="仿宋" w:hAnsi="仿宋" w:eastAsia="仿宋" w:cs="仿宋"/>
          <w:sz w:val="28"/>
          <w:szCs w:val="28"/>
        </w:rPr>
        <w:t>偏离，应当按照招标文件的规定执行。中标人在签订合同时，不得以任何理由进行抗辩。</w:t>
      </w:r>
    </w:p>
    <w:p w14:paraId="5D756EF6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4、未填写此表的，视为完全响应。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C5B5F45"/>
    <w:rsid w:val="224152BD"/>
    <w:rsid w:val="27A835D4"/>
    <w:rsid w:val="345A40E4"/>
    <w:rsid w:val="3E3C5333"/>
    <w:rsid w:val="4A9E7328"/>
    <w:rsid w:val="5A806B41"/>
    <w:rsid w:val="6CD70F29"/>
    <w:rsid w:val="6FA913DB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268</Characters>
  <Lines>0</Lines>
  <Paragraphs>0</Paragraphs>
  <TotalTime>0</TotalTime>
  <ScaleCrop>false</ScaleCrop>
  <LinksUpToDate>false</LinksUpToDate>
  <CharactersWithSpaces>312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2026-04-08T01:39:21Z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