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版本号：ZYTT-2026040120260526003</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儿童纸尿裤采购项目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ZYTT-20260401</w:t>
      </w:r>
      <w:r>
        <w:br/>
      </w:r>
      <w:r>
        <w:br/>
      </w:r>
      <w:r>
        <w:br/>
      </w:r>
    </w:p>
    <w:p>
      <w:pPr>
        <w:pStyle w:val="null3"/>
        <w:jc w:val="center"/>
        <w:outlineLvl w:val="2"/>
      </w:pPr>
      <w:r>
        <w:rPr>
          <w:rFonts w:ascii="仿宋_GB2312" w:hAnsi="仿宋_GB2312" w:cs="仿宋_GB2312" w:eastAsia="仿宋_GB2312"/>
          <w:sz w:val="28"/>
          <w:b/>
        </w:rPr>
        <w:t>西安市儿童福利院</w:t>
      </w:r>
    </w:p>
    <w:p>
      <w:pPr>
        <w:pStyle w:val="null3"/>
        <w:jc w:val="center"/>
        <w:outlineLvl w:val="2"/>
      </w:pPr>
      <w:r>
        <w:rPr>
          <w:rFonts w:ascii="仿宋_GB2312" w:hAnsi="仿宋_GB2312" w:cs="仿宋_GB2312" w:eastAsia="仿宋_GB2312"/>
          <w:sz w:val="28"/>
          <w:b/>
        </w:rPr>
        <w:t>陕西中裕天腾项目管理有限公司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陕西中裕天腾项目管理有限公司</w:t>
      </w:r>
      <w:r>
        <w:rPr>
          <w:rFonts w:ascii="仿宋_GB2312" w:hAnsi="仿宋_GB2312" w:cs="仿宋_GB2312" w:eastAsia="仿宋_GB2312"/>
        </w:rPr>
        <w:t>（以下简称“代理机构”）受</w:t>
      </w:r>
      <w:r>
        <w:rPr>
          <w:rFonts w:ascii="仿宋_GB2312" w:hAnsi="仿宋_GB2312" w:cs="仿宋_GB2312" w:eastAsia="仿宋_GB2312"/>
        </w:rPr>
        <w:t>西安市儿童福利院</w:t>
      </w:r>
      <w:r>
        <w:rPr>
          <w:rFonts w:ascii="仿宋_GB2312" w:hAnsi="仿宋_GB2312" w:cs="仿宋_GB2312" w:eastAsia="仿宋_GB2312"/>
        </w:rPr>
        <w:t>委托，拟对</w:t>
      </w:r>
      <w:r>
        <w:rPr>
          <w:rFonts w:ascii="仿宋_GB2312" w:hAnsi="仿宋_GB2312" w:cs="仿宋_GB2312" w:eastAsia="仿宋_GB2312"/>
        </w:rPr>
        <w:t>儿童纸尿裤采购项目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ZYTT-20260401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儿童纸尿裤采购项目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拟为西安市儿童福利院孩子采购一批儿童用纸尿裤，包含多种规格，以满足不同情况下儿童的需求。质量要求：避免让儿童使用中出现过敏、红臀等质量问题。</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1、信用记录：未被列入“信用中国”网站及“中国政府采购网”网站失信被执行人、重大税收违法案件当事人名单、政府采购严重违法失信行为记录名单。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西安市儿童福利院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西安市未央区新广路98号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邱仲南</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17788027655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陕西中裕天腾项目管理有限公司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陕西省西安市莲湖区高新路西部国际广场B座28楼2821室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吕前惠、赵晓</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18066518168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采购包1：756,500.00元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 xml:space="preserve">无 </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中标单位应向采购代理机构交纳招标代理服务费，参考国家计委关于印发《招标代理服务收费管理暂行办法的通知》(计价格〔2002〕1980号)、《国家发展和改革委员会办公厅关于招标代理服务收费有关问题的通知》(发改办价格〔2003〕857号)文件规定执行。 2、招标代理服务费收款账户： 单位名称：陕西中裕天腾项目管理有限公司 开户银行：建行西安太白小区支行 账 号：61050177350000000883</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西安市儿童福利院</w:t>
      </w:r>
      <w:r>
        <w:rPr>
          <w:rFonts w:ascii="仿宋_GB2312" w:hAnsi="仿宋_GB2312" w:cs="仿宋_GB2312" w:eastAsia="仿宋_GB2312"/>
        </w:rPr>
        <w:t>和</w:t>
      </w:r>
      <w:r>
        <w:rPr>
          <w:rFonts w:ascii="仿宋_GB2312" w:hAnsi="仿宋_GB2312" w:cs="仿宋_GB2312" w:eastAsia="仿宋_GB2312"/>
        </w:rPr>
        <w:t>陕西中裕天腾项目管理有限公司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西安市儿童福利院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陕西中裕天腾项目管理有限公司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一、“采购人”是指依法进行政府采购的各级国家机关、事业单位、团体组织。本次磋商的采购人是{采购人名称}。</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陕西中裕天腾项目管理有限公司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 xml:space="preserve"> 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以采购文件、响应文件及签订合同要求为准。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陕西中裕天腾项目管理有限公司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陕西中裕天腾项目管理有限公司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陕西中裕天腾项目管理有限公司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联系人：赵晓</w:t>
      </w:r>
    </w:p>
    <w:p>
      <w:pPr>
        <w:pStyle w:val="null3"/>
      </w:pPr>
      <w:r>
        <w:rPr>
          <w:rFonts w:ascii="仿宋_GB2312" w:hAnsi="仿宋_GB2312" w:cs="仿宋_GB2312" w:eastAsia="仿宋_GB2312"/>
        </w:rPr>
        <w:t>联系电话：18066518168</w:t>
      </w:r>
    </w:p>
    <w:p>
      <w:pPr>
        <w:pStyle w:val="null3"/>
      </w:pPr>
      <w:r>
        <w:rPr>
          <w:rFonts w:ascii="仿宋_GB2312" w:hAnsi="仿宋_GB2312" w:cs="仿宋_GB2312" w:eastAsia="仿宋_GB2312"/>
        </w:rPr>
        <w:t>地址：西安市莲湖区高新路2号西部国际广场B座28层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拟为西安市儿童福利院孩子采购一批儿童用纸尿裤，包含多种规格，以满足不同情况下儿童的需求。质量要求：避免让儿童使用中出现过敏、红臀等质量问题。</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756,500.00</w:t>
      </w:r>
    </w:p>
    <w:p>
      <w:pPr>
        <w:pStyle w:val="null3"/>
      </w:pPr>
      <w:r>
        <w:rPr>
          <w:rFonts w:ascii="仿宋_GB2312" w:hAnsi="仿宋_GB2312" w:cs="仿宋_GB2312" w:eastAsia="仿宋_GB2312"/>
        </w:rPr>
        <w:t>采购包最高限价（元）: 756,500.00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儿童纸尿裤</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756,500.00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标的名称：儿童纸尿裤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20"/>
              <w:gridCol w:w="191"/>
              <w:gridCol w:w="304"/>
              <w:gridCol w:w="227"/>
              <w:gridCol w:w="285"/>
              <w:gridCol w:w="866"/>
              <w:gridCol w:w="551"/>
            </w:tblGrid>
            <w:tr>
              <w:tc>
                <w:tcPr>
                  <w:tcW w:type="dxa" w:w="12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序号</w:t>
                  </w:r>
                </w:p>
              </w:tc>
              <w:tc>
                <w:tcPr>
                  <w:tcW w:type="dxa" w:w="19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货物名称</w:t>
                  </w:r>
                </w:p>
              </w:tc>
              <w:tc>
                <w:tcPr>
                  <w:tcW w:type="dxa" w:w="30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尺码</w:t>
                  </w:r>
                </w:p>
              </w:tc>
              <w:tc>
                <w:tcPr>
                  <w:tcW w:type="dxa" w:w="22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最高限价（元）</w:t>
                  </w:r>
                </w:p>
              </w:tc>
              <w:tc>
                <w:tcPr>
                  <w:tcW w:type="dxa" w:w="28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单位</w:t>
                  </w:r>
                </w:p>
              </w:tc>
              <w:tc>
                <w:tcPr>
                  <w:tcW w:type="dxa" w:w="86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技术参数</w:t>
                  </w:r>
                </w:p>
              </w:tc>
              <w:tc>
                <w:tcPr>
                  <w:tcW w:type="dxa" w:w="55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产品材质和功能</w:t>
                  </w:r>
                </w:p>
              </w:tc>
            </w:tr>
            <w:tr>
              <w:tc>
                <w:tcPr>
                  <w:tcW w:type="dxa" w:w="120"/>
                  <w:vMerge/>
                  <w:tcBorders>
                    <w:top w:val="single" w:color="000000" w:sz="4"/>
                    <w:left w:val="single" w:color="000000" w:sz="4"/>
                    <w:bottom w:val="single" w:color="000000" w:sz="4"/>
                    <w:right w:val="single" w:color="000000" w:sz="4"/>
                  </w:tcBorders>
                </w:tcPr>
                <w:p/>
              </w:tc>
              <w:tc>
                <w:tcPr>
                  <w:tcW w:type="dxa" w:w="191"/>
                  <w:vMerge/>
                  <w:tcBorders>
                    <w:top w:val="single" w:color="000000" w:sz="4"/>
                    <w:left w:val="none" w:color="000000" w:sz="4"/>
                    <w:bottom w:val="single" w:color="000000" w:sz="4"/>
                    <w:right w:val="single" w:color="000000" w:sz="4"/>
                  </w:tcBorders>
                </w:tcPr>
                <w:p/>
              </w:tc>
              <w:tc>
                <w:tcPr>
                  <w:tcW w:type="dxa" w:w="304"/>
                  <w:vMerge/>
                  <w:tcBorders>
                    <w:top w:val="single" w:color="000000" w:sz="4"/>
                    <w:left w:val="none" w:color="000000" w:sz="4"/>
                    <w:bottom w:val="single" w:color="000000" w:sz="4"/>
                    <w:right w:val="single" w:color="000000" w:sz="4"/>
                  </w:tcBorders>
                </w:tcPr>
                <w:p/>
              </w:tc>
              <w:tc>
                <w:tcPr>
                  <w:tcW w:type="dxa" w:w="227"/>
                  <w:vMerge/>
                  <w:tcBorders>
                    <w:top w:val="single" w:color="000000" w:sz="4"/>
                    <w:left w:val="none" w:color="000000" w:sz="4"/>
                    <w:bottom w:val="single" w:color="000000" w:sz="4"/>
                    <w:right w:val="single" w:color="000000" w:sz="4"/>
                  </w:tcBorders>
                </w:tcPr>
                <w:p/>
              </w:tc>
              <w:tc>
                <w:tcPr>
                  <w:tcW w:type="dxa" w:w="285"/>
                  <w:vMerge/>
                  <w:tcBorders>
                    <w:top w:val="single" w:color="000000" w:sz="4"/>
                    <w:left w:val="none" w:color="000000" w:sz="4"/>
                    <w:bottom w:val="single" w:color="000000" w:sz="4"/>
                    <w:right w:val="single" w:color="000000" w:sz="4"/>
                  </w:tcBorders>
                </w:tcPr>
                <w:p/>
              </w:tc>
              <w:tc>
                <w:tcPr>
                  <w:tcW w:type="dxa" w:w="866"/>
                  <w:vMerge/>
                  <w:tcBorders>
                    <w:top w:val="single" w:color="000000" w:sz="4"/>
                    <w:left w:val="none" w:color="000000" w:sz="4"/>
                    <w:bottom w:val="single" w:color="000000" w:sz="4"/>
                    <w:right w:val="single" w:color="000000" w:sz="4"/>
                  </w:tcBorders>
                </w:tcPr>
                <w:p/>
              </w:tc>
              <w:tc>
                <w:tcPr>
                  <w:tcW w:type="dxa" w:w="551"/>
                  <w:vMerge/>
                  <w:tcBorders>
                    <w:top w:val="single" w:color="000000" w:sz="4"/>
                    <w:left w:val="none" w:color="000000" w:sz="4"/>
                    <w:bottom w:val="single" w:color="000000" w:sz="4"/>
                    <w:right w:val="single" w:color="000000" w:sz="4"/>
                  </w:tcBorders>
                </w:tcPr>
                <w:p/>
              </w:tc>
            </w:tr>
            <w:tr>
              <w:tc>
                <w:tcPr>
                  <w:tcW w:type="dxa" w:w="1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1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婴儿纸尿裤（核心产品）</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M</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片</w:t>
                  </w:r>
                </w:p>
              </w:tc>
              <w:tc>
                <w:tcPr>
                  <w:tcW w:type="dxa" w:w="8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1、PH值：4.0-7.5；</w:t>
                  </w:r>
                  <w:r>
                    <w:br/>
                  </w:r>
                  <w:r>
                    <w:rPr>
                      <w:rFonts w:ascii="仿宋_GB2312" w:hAnsi="仿宋_GB2312" w:cs="仿宋_GB2312" w:eastAsia="仿宋_GB2312"/>
                      <w:sz w:val="19"/>
                      <w:color w:val="000000"/>
                    </w:rPr>
                    <w:t>2、交货水分：≤10.0%；</w:t>
                  </w:r>
                  <w:r>
                    <w:br/>
                  </w:r>
                  <w:r>
                    <w:rPr>
                      <w:rFonts w:ascii="仿宋_GB2312" w:hAnsi="仿宋_GB2312" w:cs="仿宋_GB2312" w:eastAsia="仿宋_GB2312"/>
                      <w:sz w:val="19"/>
                      <w:color w:val="000000"/>
                    </w:rPr>
                    <w:t>3、细菌菌落总数≤200CFU/g；</w:t>
                  </w:r>
                  <w:r>
                    <w:br/>
                  </w:r>
                  <w:r>
                    <w:rPr>
                      <w:rFonts w:ascii="仿宋_GB2312" w:hAnsi="仿宋_GB2312" w:cs="仿宋_GB2312" w:eastAsia="仿宋_GB2312"/>
                      <w:sz w:val="19"/>
                      <w:color w:val="000000"/>
                    </w:rPr>
                    <w:t>▲4、渗透性能：回渗量≤10.0g，渗漏量≤1.0g；</w:t>
                  </w:r>
                  <w:r>
                    <w:br/>
                  </w:r>
                  <w:r>
                    <w:rPr>
                      <w:rFonts w:ascii="仿宋_GB2312" w:hAnsi="仿宋_GB2312" w:cs="仿宋_GB2312" w:eastAsia="仿宋_GB2312"/>
                      <w:sz w:val="19"/>
                      <w:color w:val="000000"/>
                    </w:rPr>
                    <w:t>▲5、真菌菌落总数≤100CFU/g，且不得检出大肠杆菌、绿脓杆菌、金黄色葡萄球菌、溶血性链球菌。</w:t>
                  </w:r>
                </w:p>
              </w:tc>
              <w:tc>
                <w:tcPr>
                  <w:tcW w:type="dxa" w:w="55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1、纸尿裤整体洁净，不掉色，面层手感柔软；</w:t>
                  </w:r>
                  <w:r>
                    <w:br/>
                  </w:r>
                  <w:r>
                    <w:rPr>
                      <w:rFonts w:ascii="仿宋_GB2312" w:hAnsi="仿宋_GB2312" w:cs="仿宋_GB2312" w:eastAsia="仿宋_GB2312"/>
                      <w:sz w:val="19"/>
                      <w:color w:val="000000"/>
                    </w:rPr>
                    <w:t>2、三层锁水，可多次吸收，使用时间长达12小时，不反渗，吸水量≥自身重量的30倍，面层干爽”；</w:t>
                  </w:r>
                  <w:r>
                    <w:br/>
                  </w:r>
                  <w:r>
                    <w:rPr>
                      <w:rFonts w:ascii="仿宋_GB2312" w:hAnsi="仿宋_GB2312" w:cs="仿宋_GB2312" w:eastAsia="仿宋_GB2312"/>
                      <w:sz w:val="19"/>
                      <w:color w:val="000000"/>
                    </w:rPr>
                    <w:t>3、柔软无纺布面层，环保透气底膜；</w:t>
                  </w:r>
                  <w:r>
                    <w:br/>
                  </w:r>
                  <w:r>
                    <w:rPr>
                      <w:rFonts w:ascii="仿宋_GB2312" w:hAnsi="仿宋_GB2312" w:cs="仿宋_GB2312" w:eastAsia="仿宋_GB2312"/>
                      <w:sz w:val="19"/>
                      <w:color w:val="000000"/>
                    </w:rPr>
                    <w:t>4、整片吸收芯体结构；</w:t>
                  </w:r>
                  <w:r>
                    <w:br/>
                  </w:r>
                  <w:r>
                    <w:rPr>
                      <w:rFonts w:ascii="仿宋_GB2312" w:hAnsi="仿宋_GB2312" w:cs="仿宋_GB2312" w:eastAsia="仿宋_GB2312"/>
                      <w:sz w:val="19"/>
                      <w:color w:val="000000"/>
                    </w:rPr>
                    <w:t>5、新环抱式腰围及腰贴，外加左右魔术扣，自由调节定位；</w:t>
                  </w:r>
                  <w:r>
                    <w:br/>
                  </w:r>
                  <w:r>
                    <w:rPr>
                      <w:rFonts w:ascii="仿宋_GB2312" w:hAnsi="仿宋_GB2312" w:cs="仿宋_GB2312" w:eastAsia="仿宋_GB2312"/>
                      <w:sz w:val="19"/>
                      <w:color w:val="000000"/>
                    </w:rPr>
                    <w:t>6、有尿显功能。</w:t>
                  </w:r>
                </w:p>
              </w:tc>
            </w:tr>
            <w:tr>
              <w:tc>
                <w:tcPr>
                  <w:tcW w:type="dxa" w:w="120"/>
                  <w:vMerge/>
                  <w:tcBorders>
                    <w:top w:val="none" w:color="000000" w:sz="4"/>
                    <w:left w:val="singl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片</w:t>
                  </w:r>
                </w:p>
              </w:tc>
              <w:tc>
                <w:tcPr>
                  <w:tcW w:type="dxa" w:w="866"/>
                  <w:vMerge/>
                  <w:tcBorders>
                    <w:top w:val="none" w:color="000000" w:sz="4"/>
                    <w:left w:val="none" w:color="000000" w:sz="4"/>
                    <w:bottom w:val="single" w:color="000000" w:sz="4"/>
                    <w:right w:val="single" w:color="000000" w:sz="4"/>
                  </w:tcBorders>
                </w:tcPr>
                <w:p/>
              </w:tc>
              <w:tc>
                <w:tcPr>
                  <w:tcW w:type="dxa" w:w="551"/>
                  <w:vMerge/>
                  <w:tcBorders>
                    <w:top w:val="none" w:color="000000" w:sz="4"/>
                    <w:left w:val="none" w:color="000000" w:sz="4"/>
                    <w:bottom w:val="single" w:color="000000" w:sz="4"/>
                    <w:right w:val="single" w:color="000000" w:sz="4"/>
                  </w:tcBorders>
                </w:tcPr>
                <w:p/>
              </w:tc>
            </w:tr>
            <w:tr>
              <w:tc>
                <w:tcPr>
                  <w:tcW w:type="dxa" w:w="120"/>
                  <w:vMerge/>
                  <w:tcBorders>
                    <w:top w:val="none" w:color="000000" w:sz="4"/>
                    <w:left w:val="singl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XL</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片</w:t>
                  </w:r>
                </w:p>
              </w:tc>
              <w:tc>
                <w:tcPr>
                  <w:tcW w:type="dxa" w:w="866"/>
                  <w:vMerge/>
                  <w:tcBorders>
                    <w:top w:val="none" w:color="000000" w:sz="4"/>
                    <w:left w:val="none" w:color="000000" w:sz="4"/>
                    <w:bottom w:val="single" w:color="000000" w:sz="4"/>
                    <w:right w:val="single" w:color="000000" w:sz="4"/>
                  </w:tcBorders>
                </w:tcPr>
                <w:p/>
              </w:tc>
              <w:tc>
                <w:tcPr>
                  <w:tcW w:type="dxa" w:w="551"/>
                  <w:vMerge/>
                  <w:tcBorders>
                    <w:top w:val="none" w:color="000000" w:sz="4"/>
                    <w:left w:val="none" w:color="000000" w:sz="4"/>
                    <w:bottom w:val="single" w:color="000000" w:sz="4"/>
                    <w:right w:val="single" w:color="000000" w:sz="4"/>
                  </w:tcBorders>
                </w:tcPr>
                <w:p/>
              </w:tc>
            </w:tr>
            <w:tr>
              <w:tc>
                <w:tcPr>
                  <w:tcW w:type="dxa" w:w="120"/>
                  <w:vMerge/>
                  <w:tcBorders>
                    <w:top w:val="none" w:color="000000" w:sz="4"/>
                    <w:left w:val="singl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XXL</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3.08</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片</w:t>
                  </w:r>
                </w:p>
              </w:tc>
              <w:tc>
                <w:tcPr>
                  <w:tcW w:type="dxa" w:w="866"/>
                  <w:vMerge/>
                  <w:tcBorders>
                    <w:top w:val="none" w:color="000000" w:sz="4"/>
                    <w:left w:val="none" w:color="000000" w:sz="4"/>
                    <w:bottom w:val="single" w:color="000000" w:sz="4"/>
                    <w:right w:val="single" w:color="000000" w:sz="4"/>
                  </w:tcBorders>
                </w:tcPr>
                <w:p/>
              </w:tc>
              <w:tc>
                <w:tcPr>
                  <w:tcW w:type="dxa" w:w="551"/>
                  <w:vMerge/>
                  <w:tcBorders>
                    <w:top w:val="none" w:color="000000" w:sz="4"/>
                    <w:left w:val="none" w:color="000000" w:sz="4"/>
                    <w:bottom w:val="single" w:color="000000" w:sz="4"/>
                    <w:right w:val="single" w:color="000000" w:sz="4"/>
                  </w:tcBorders>
                </w:tcPr>
                <w:p/>
              </w:tc>
            </w:tr>
            <w:tr>
              <w:tc>
                <w:tcPr>
                  <w:tcW w:type="dxa" w:w="1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1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学步拉拉裤</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2.95</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片</w:t>
                  </w:r>
                </w:p>
              </w:tc>
              <w:tc>
                <w:tcPr>
                  <w:tcW w:type="dxa" w:w="8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1、PH值：4.0-8.0；</w:t>
                  </w:r>
                  <w:r>
                    <w:br/>
                  </w:r>
                  <w:r>
                    <w:rPr>
                      <w:rFonts w:ascii="仿宋_GB2312" w:hAnsi="仿宋_GB2312" w:cs="仿宋_GB2312" w:eastAsia="仿宋_GB2312"/>
                      <w:sz w:val="19"/>
                      <w:color w:val="000000"/>
                    </w:rPr>
                    <w:t>2、交货水分：≤10.0%；</w:t>
                  </w:r>
                  <w:r>
                    <w:br/>
                  </w:r>
                  <w:r>
                    <w:rPr>
                      <w:rFonts w:ascii="仿宋_GB2312" w:hAnsi="仿宋_GB2312" w:cs="仿宋_GB2312" w:eastAsia="仿宋_GB2312"/>
                      <w:sz w:val="19"/>
                      <w:color w:val="000000"/>
                    </w:rPr>
                    <w:t>3、细菌菌落总数≤200cfu/g；</w:t>
                  </w:r>
                  <w:r>
                    <w:br/>
                  </w:r>
                  <w:r>
                    <w:rPr>
                      <w:rFonts w:ascii="仿宋_GB2312" w:hAnsi="仿宋_GB2312" w:cs="仿宋_GB2312" w:eastAsia="仿宋_GB2312"/>
                      <w:sz w:val="19"/>
                      <w:color w:val="000000"/>
                    </w:rPr>
                    <w:t>▲4、渗透性能：回渗量≤10.0g，渗漏量≤0.5g；</w:t>
                  </w:r>
                  <w:r>
                    <w:br/>
                  </w:r>
                  <w:r>
                    <w:rPr>
                      <w:rFonts w:ascii="仿宋_GB2312" w:hAnsi="仿宋_GB2312" w:cs="仿宋_GB2312" w:eastAsia="仿宋_GB2312"/>
                      <w:sz w:val="19"/>
                      <w:color w:val="000000"/>
                    </w:rPr>
                    <w:t>▲5、真菌菌落总数≤100cfu/g， 且不得检出大肠杆菌、绿脓杆菌、金黄色葡萄球菌、溶血性链球菌。</w:t>
                  </w:r>
                </w:p>
              </w:tc>
              <w:tc>
                <w:tcPr>
                  <w:tcW w:type="dxa" w:w="55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1、水波纹柔软外表层；</w:t>
                  </w:r>
                  <w:r>
                    <w:br/>
                  </w:r>
                  <w:r>
                    <w:rPr>
                      <w:rFonts w:ascii="仿宋_GB2312" w:hAnsi="仿宋_GB2312" w:cs="仿宋_GB2312" w:eastAsia="仿宋_GB2312"/>
                      <w:sz w:val="19"/>
                      <w:color w:val="000000"/>
                    </w:rPr>
                    <w:t>2、S曲线侧腰围；</w:t>
                  </w:r>
                  <w:r>
                    <w:br/>
                  </w:r>
                  <w:r>
                    <w:rPr>
                      <w:rFonts w:ascii="仿宋_GB2312" w:hAnsi="仿宋_GB2312" w:cs="仿宋_GB2312" w:eastAsia="仿宋_GB2312"/>
                      <w:sz w:val="19"/>
                      <w:color w:val="000000"/>
                    </w:rPr>
                    <w:t>3、全弹力腰围；</w:t>
                  </w:r>
                  <w:r>
                    <w:br/>
                  </w:r>
                  <w:r>
                    <w:rPr>
                      <w:rFonts w:ascii="仿宋_GB2312" w:hAnsi="仿宋_GB2312" w:cs="仿宋_GB2312" w:eastAsia="仿宋_GB2312"/>
                      <w:sz w:val="19"/>
                      <w:color w:val="000000"/>
                    </w:rPr>
                    <w:t>4、清新透气微孔；</w:t>
                  </w:r>
                  <w:r>
                    <w:br/>
                  </w:r>
                  <w:r>
                    <w:rPr>
                      <w:rFonts w:ascii="仿宋_GB2312" w:hAnsi="仿宋_GB2312" w:cs="仿宋_GB2312" w:eastAsia="仿宋_GB2312"/>
                      <w:sz w:val="19"/>
                      <w:color w:val="000000"/>
                    </w:rPr>
                    <w:t>5、双层吸收体。</w:t>
                  </w:r>
                </w:p>
              </w:tc>
            </w:tr>
            <w:tr>
              <w:tc>
                <w:tcPr>
                  <w:tcW w:type="dxa" w:w="120"/>
                  <w:vMerge/>
                  <w:tcBorders>
                    <w:top w:val="none" w:color="000000" w:sz="4"/>
                    <w:left w:val="singl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XL</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片</w:t>
                  </w:r>
                </w:p>
              </w:tc>
              <w:tc>
                <w:tcPr>
                  <w:tcW w:type="dxa" w:w="866"/>
                  <w:vMerge/>
                  <w:tcBorders>
                    <w:top w:val="none" w:color="000000" w:sz="4"/>
                    <w:left w:val="none" w:color="000000" w:sz="4"/>
                    <w:bottom w:val="single" w:color="000000" w:sz="4"/>
                    <w:right w:val="single" w:color="000000" w:sz="4"/>
                  </w:tcBorders>
                </w:tcPr>
                <w:p/>
              </w:tc>
              <w:tc>
                <w:tcPr>
                  <w:tcW w:type="dxa" w:w="551"/>
                  <w:vMerge/>
                  <w:tcBorders>
                    <w:top w:val="none" w:color="000000" w:sz="4"/>
                    <w:left w:val="none" w:color="000000" w:sz="4"/>
                    <w:bottom w:val="single" w:color="000000" w:sz="4"/>
                    <w:right w:val="single" w:color="000000" w:sz="4"/>
                  </w:tcBorders>
                </w:tcPr>
                <w:p/>
              </w:tc>
            </w:tr>
            <w:tr>
              <w:tc>
                <w:tcPr>
                  <w:tcW w:type="dxa" w:w="120"/>
                  <w:vMerge/>
                  <w:tcBorders>
                    <w:top w:val="none" w:color="000000" w:sz="4"/>
                    <w:left w:val="singl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XXL</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3.65</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片</w:t>
                  </w:r>
                </w:p>
              </w:tc>
              <w:tc>
                <w:tcPr>
                  <w:tcW w:type="dxa" w:w="866"/>
                  <w:vMerge/>
                  <w:tcBorders>
                    <w:top w:val="none" w:color="000000" w:sz="4"/>
                    <w:left w:val="none" w:color="000000" w:sz="4"/>
                    <w:bottom w:val="single" w:color="000000" w:sz="4"/>
                    <w:right w:val="single" w:color="000000" w:sz="4"/>
                  </w:tcBorders>
                </w:tcPr>
                <w:p/>
              </w:tc>
              <w:tc>
                <w:tcPr>
                  <w:tcW w:type="dxa" w:w="551"/>
                  <w:vMerge/>
                  <w:tcBorders>
                    <w:top w:val="none" w:color="000000" w:sz="4"/>
                    <w:left w:val="none" w:color="000000" w:sz="4"/>
                    <w:bottom w:val="single" w:color="000000" w:sz="4"/>
                    <w:right w:val="single" w:color="000000" w:sz="4"/>
                  </w:tcBorders>
                </w:tcPr>
                <w:p/>
              </w:tc>
            </w:tr>
            <w:tr>
              <w:tc>
                <w:tcPr>
                  <w:tcW w:type="dxa" w:w="1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c>
                <w:tcPr>
                  <w:tcW w:type="dxa" w:w="1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成人纸尿裤</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片</w:t>
                  </w:r>
                </w:p>
              </w:tc>
              <w:tc>
                <w:tcPr>
                  <w:tcW w:type="dxa" w:w="8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1、PH值：4.0-8.0；</w:t>
                  </w:r>
                  <w:r>
                    <w:br/>
                  </w:r>
                  <w:r>
                    <w:rPr>
                      <w:rFonts w:ascii="仿宋_GB2312" w:hAnsi="仿宋_GB2312" w:cs="仿宋_GB2312" w:eastAsia="仿宋_GB2312"/>
                      <w:sz w:val="19"/>
                      <w:color w:val="000000"/>
                    </w:rPr>
                    <w:t>2、交货水分：≤10.0%；</w:t>
                  </w:r>
                  <w:r>
                    <w:br/>
                  </w:r>
                  <w:r>
                    <w:rPr>
                      <w:rFonts w:ascii="仿宋_GB2312" w:hAnsi="仿宋_GB2312" w:cs="仿宋_GB2312" w:eastAsia="仿宋_GB2312"/>
                      <w:sz w:val="19"/>
                      <w:color w:val="000000"/>
                    </w:rPr>
                    <w:t>3、细菌菌落总数≤200cfu/g；</w:t>
                  </w:r>
                  <w:r>
                    <w:br/>
                  </w:r>
                  <w:r>
                    <w:rPr>
                      <w:rFonts w:ascii="仿宋_GB2312" w:hAnsi="仿宋_GB2312" w:cs="仿宋_GB2312" w:eastAsia="仿宋_GB2312"/>
                      <w:sz w:val="19"/>
                      <w:color w:val="000000"/>
                    </w:rPr>
                    <w:t>▲4、渗透性能：回渗量≤10.0g，渗漏量≤0.5g；</w:t>
                  </w:r>
                  <w:r>
                    <w:br/>
                  </w:r>
                  <w:r>
                    <w:rPr>
                      <w:rFonts w:ascii="仿宋_GB2312" w:hAnsi="仿宋_GB2312" w:cs="仿宋_GB2312" w:eastAsia="仿宋_GB2312"/>
                      <w:sz w:val="19"/>
                      <w:color w:val="000000"/>
                    </w:rPr>
                    <w:t>▲5、真菌菌落总数≤100cfu/g，且不得检出大肠杆菌、绿脓杆菌、金黄色葡萄球菌、溶血性链球菌。</w:t>
                  </w:r>
                </w:p>
              </w:tc>
              <w:tc>
                <w:tcPr>
                  <w:tcW w:type="dxa" w:w="55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1、尾部弹性腰围；</w:t>
                  </w:r>
                  <w:r>
                    <w:br/>
                  </w:r>
                  <w:r>
                    <w:rPr>
                      <w:rFonts w:ascii="仿宋_GB2312" w:hAnsi="仿宋_GB2312" w:cs="仿宋_GB2312" w:eastAsia="仿宋_GB2312"/>
                      <w:sz w:val="19"/>
                      <w:color w:val="000000"/>
                    </w:rPr>
                    <w:t>2、高分子吸收体；</w:t>
                  </w:r>
                  <w:r>
                    <w:br/>
                  </w:r>
                  <w:r>
                    <w:rPr>
                      <w:rFonts w:ascii="仿宋_GB2312" w:hAnsi="仿宋_GB2312" w:cs="仿宋_GB2312" w:eastAsia="仿宋_GB2312"/>
                      <w:sz w:val="19"/>
                      <w:color w:val="000000"/>
                    </w:rPr>
                    <w:t>3、采用环保可降解材料，复合底膜；</w:t>
                  </w:r>
                  <w:r>
                    <w:br/>
                  </w:r>
                  <w:r>
                    <w:rPr>
                      <w:rFonts w:ascii="仿宋_GB2312" w:hAnsi="仿宋_GB2312" w:cs="仿宋_GB2312" w:eastAsia="仿宋_GB2312"/>
                      <w:sz w:val="19"/>
                      <w:color w:val="000000"/>
                    </w:rPr>
                    <w:t xml:space="preserve">4、环抱式腰围及腰贴，外加左右魔术扣，自由调节定位；  </w:t>
                  </w:r>
                </w:p>
              </w:tc>
            </w:tr>
            <w:tr>
              <w:tc>
                <w:tcPr>
                  <w:tcW w:type="dxa" w:w="120"/>
                  <w:vMerge/>
                  <w:tcBorders>
                    <w:top w:val="none" w:color="000000" w:sz="4"/>
                    <w:left w:val="singl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L</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片</w:t>
                  </w:r>
                </w:p>
              </w:tc>
              <w:tc>
                <w:tcPr>
                  <w:tcW w:type="dxa" w:w="866"/>
                  <w:vMerge/>
                  <w:tcBorders>
                    <w:top w:val="none" w:color="000000" w:sz="4"/>
                    <w:left w:val="none" w:color="000000" w:sz="4"/>
                    <w:bottom w:val="single" w:color="000000" w:sz="4"/>
                    <w:right w:val="single" w:color="000000" w:sz="4"/>
                  </w:tcBorders>
                </w:tcPr>
                <w:p/>
              </w:tc>
              <w:tc>
                <w:tcPr>
                  <w:tcW w:type="dxa" w:w="551"/>
                  <w:vMerge/>
                  <w:tcBorders>
                    <w:top w:val="none" w:color="000000" w:sz="4"/>
                    <w:left w:val="none" w:color="000000" w:sz="4"/>
                    <w:bottom w:val="single" w:color="000000" w:sz="4"/>
                    <w:right w:val="single" w:color="000000" w:sz="4"/>
                  </w:tcBorders>
                </w:tcPr>
                <w:p/>
              </w:tc>
            </w:tr>
            <w:tr>
              <w:tc>
                <w:tcPr>
                  <w:tcW w:type="dxa" w:w="1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c>
                <w:tcPr>
                  <w:tcW w:type="dxa" w:w="1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成人拉拉裤</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片</w:t>
                  </w:r>
                </w:p>
              </w:tc>
              <w:tc>
                <w:tcPr>
                  <w:tcW w:type="dxa" w:w="8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1、PH值：4.0-8.0；</w:t>
                  </w:r>
                  <w:r>
                    <w:br/>
                  </w:r>
                  <w:r>
                    <w:rPr>
                      <w:rFonts w:ascii="仿宋_GB2312" w:hAnsi="仿宋_GB2312" w:cs="仿宋_GB2312" w:eastAsia="仿宋_GB2312"/>
                      <w:sz w:val="19"/>
                      <w:color w:val="000000"/>
                    </w:rPr>
                    <w:t>2、交货水分：≤10.0%；</w:t>
                  </w:r>
                  <w:r>
                    <w:br/>
                  </w:r>
                  <w:r>
                    <w:rPr>
                      <w:rFonts w:ascii="仿宋_GB2312" w:hAnsi="仿宋_GB2312" w:cs="仿宋_GB2312" w:eastAsia="仿宋_GB2312"/>
                      <w:sz w:val="19"/>
                      <w:color w:val="000000"/>
                    </w:rPr>
                    <w:t>3、细菌菌落总数≤200cfu/g；</w:t>
                  </w:r>
                  <w:r>
                    <w:br/>
                  </w:r>
                  <w:r>
                    <w:rPr>
                      <w:rFonts w:ascii="仿宋_GB2312" w:hAnsi="仿宋_GB2312" w:cs="仿宋_GB2312" w:eastAsia="仿宋_GB2312"/>
                      <w:sz w:val="19"/>
                      <w:color w:val="000000"/>
                    </w:rPr>
                    <w:t>▲4、渗透性能：回渗量≤10.0g，渗漏量≤0.5g；</w:t>
                  </w:r>
                  <w:r>
                    <w:br/>
                  </w:r>
                  <w:r>
                    <w:rPr>
                      <w:rFonts w:ascii="仿宋_GB2312" w:hAnsi="仿宋_GB2312" w:cs="仿宋_GB2312" w:eastAsia="仿宋_GB2312"/>
                      <w:sz w:val="19"/>
                      <w:color w:val="000000"/>
                    </w:rPr>
                    <w:t>▲5、真菌菌落总数≤100cfu/g，且不得检出大肠杆菌、绿脓杆菌、金黄色葡萄球菌、溶血性链球菌。</w:t>
                  </w:r>
                </w:p>
              </w:tc>
              <w:tc>
                <w:tcPr>
                  <w:tcW w:type="dxa" w:w="55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1、3D立体防漏护围；</w:t>
                  </w:r>
                  <w:r>
                    <w:br/>
                  </w:r>
                  <w:r>
                    <w:rPr>
                      <w:rFonts w:ascii="仿宋_GB2312" w:hAnsi="仿宋_GB2312" w:cs="仿宋_GB2312" w:eastAsia="仿宋_GB2312"/>
                      <w:sz w:val="19"/>
                      <w:color w:val="000000"/>
                    </w:rPr>
                    <w:t>2、弹力大环腰伸缩腰围；</w:t>
                  </w:r>
                  <w:r>
                    <w:br/>
                  </w:r>
                  <w:r>
                    <w:rPr>
                      <w:rFonts w:ascii="仿宋_GB2312" w:hAnsi="仿宋_GB2312" w:cs="仿宋_GB2312" w:eastAsia="仿宋_GB2312"/>
                      <w:sz w:val="19"/>
                      <w:color w:val="000000"/>
                    </w:rPr>
                    <w:t>3、棉柔透气干爽表层；</w:t>
                  </w:r>
                  <w:r>
                    <w:br/>
                  </w:r>
                  <w:r>
                    <w:rPr>
                      <w:rFonts w:ascii="仿宋_GB2312" w:hAnsi="仿宋_GB2312" w:cs="仿宋_GB2312" w:eastAsia="仿宋_GB2312"/>
                      <w:sz w:val="19"/>
                      <w:color w:val="000000"/>
                    </w:rPr>
                    <w:t>4、原木浆棉芯，双芯体结构。</w:t>
                  </w:r>
                </w:p>
              </w:tc>
            </w:tr>
            <w:tr>
              <w:tc>
                <w:tcPr>
                  <w:tcW w:type="dxa" w:w="120"/>
                  <w:vMerge/>
                  <w:tcBorders>
                    <w:top w:val="none" w:color="000000" w:sz="4"/>
                    <w:left w:val="singl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L</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片</w:t>
                  </w:r>
                </w:p>
              </w:tc>
              <w:tc>
                <w:tcPr>
                  <w:tcW w:type="dxa" w:w="866"/>
                  <w:vMerge/>
                  <w:tcBorders>
                    <w:top w:val="none" w:color="000000" w:sz="4"/>
                    <w:left w:val="none" w:color="000000" w:sz="4"/>
                    <w:bottom w:val="single" w:color="000000" w:sz="4"/>
                    <w:right w:val="single" w:color="000000" w:sz="4"/>
                  </w:tcBorders>
                </w:tcPr>
                <w:p/>
              </w:tc>
              <w:tc>
                <w:tcPr>
                  <w:tcW w:type="dxa" w:w="551"/>
                  <w:vMerge/>
                  <w:tcBorders>
                    <w:top w:val="none" w:color="000000" w:sz="4"/>
                    <w:left w:val="none" w:color="000000" w:sz="4"/>
                    <w:bottom w:val="single" w:color="000000" w:sz="4"/>
                    <w:right w:val="single" w:color="000000" w:sz="4"/>
                  </w:tcBorders>
                </w:tcPr>
                <w:p/>
              </w:tc>
            </w:tr>
          </w:tbl>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合同签订之日起至2026年12月31日或累计结算金额到达采购预算，以先到达者为准。接到采购人通知7天内交付完毕。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西安市儿童福利院指定地点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合同签订后支付预付款</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 支付合同总金额的</w:t>
      </w:r>
      <w:r>
        <w:rPr>
          <w:rFonts w:ascii="仿宋_GB2312" w:hAnsi="仿宋_GB2312" w:cs="仿宋_GB2312" w:eastAsia="仿宋_GB2312"/>
        </w:rPr>
        <w:t>30.00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分批次供货，预付款金额抵扣完后不足部分据实结算。每次在接收到甲方采购清单后及时送货，完成当前批次验收后据实开票结算</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70.00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在现场验货，同时向最终用户提供产品原产地证明和出厂质量检验合格证书。</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产品质保期为三年, 交货时货物使用期不少于2年。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按照合同内容执行。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1、电子投标文件制作过程中，需要法定代表人签字或盖章的地方，请使用“法人CA锁”进行签章或直接签字或盖章；文件需要逐页加盖供应商公章或使用“CA锁”进行逐页盖章。 2、中标供应商在中标结果公告发布后需向采购代理机构提供纸质版投标文件一正一副，投标文件为编标工具生成的文件直接打印并加盖公章，递交的纸质版投标文件内容确保与线上电子文件保持一致，不允许修改和补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应具有独立承担民事责任的能力的企业法人、事业法人、其他组织或自然人，出具合法有效的营业执照或事业单位法人证书等国家规定的相关证明，自然人参与的提供其身份证明；2、财务状况报告：提供经审计的2025年度的财务报告（成立时间至提交投标文件截止时间不足一年的可提供成立后任意时段的资产负债表）或提交投标文件截止时间前六个月内其基本账户开户银行出具的资信证明及基本存款账户信息或信用担保机构出具的投标担保函；其他组织和自然人提供银行出具的资信证明或财务报表；3、税收缴纳证明：提供供应商2025年5月份至今已缴纳任意一个月完税凭证或税务机关开具的完税证明（任意税种）；依法免税的应提供税务机关开具的免税证明；4、社会保障资金缴纳证明：提供供应商2025年5月份至今已缴纳任意一个月的社会保障完税证明或社保机构开具的社会保险参保缴费情况证明；依法不需要缴纳社会保障资金的应提供相关文件证明；5、具有履行合同所必需的设备和专业技术能力的承诺函；6、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供应商应提供的资格证明文件.docx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审计的2025年度的财务报告（成立时间至提交投标文件截止时间不足一年的可提供成立后任意时段的资产负债表）或提交投标文件截止时间前六个月内其基本账户开户银行出具的资信证明及基本存款账户信息或信用担保机构出具的投标担保函；其他组织和自然人提供银行出具的资信证明或财务报表。</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未被列入“信用中国”网站及“中国政府采购网”网站失信被执行人、重大税收违法案件当事人名单、政府采购严重违法失信行为记录名单。</w:t>
            </w:r>
          </w:p>
        </w:tc>
        <w:tc>
          <w:tcPr>
            <w:tcW w:type="dxa" w:w="1661"/>
          </w:tcPr>
          <w:p>
            <w:pPr>
              <w:pStyle w:val="null3"/>
            </w:pPr>
            <w:r>
              <w:rPr>
                <w:rFonts w:ascii="仿宋_GB2312" w:hAnsi="仿宋_GB2312" w:cs="仿宋_GB2312" w:eastAsia="仿宋_GB2312"/>
              </w:rPr>
              <w:t>供应商应提供的资格证明文件.docx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响应文件的签署、盖章符合采购文件要求，且无遗漏。</w:t>
            </w:r>
          </w:p>
        </w:tc>
        <w:tc>
          <w:tcPr>
            <w:tcW w:type="dxa" w:w="1661"/>
          </w:tcPr>
          <w:p>
            <w:pPr>
              <w:pStyle w:val="null3"/>
            </w:pPr>
            <w:r>
              <w:rPr>
                <w:rFonts w:ascii="仿宋_GB2312" w:hAnsi="仿宋_GB2312" w:cs="仿宋_GB2312" w:eastAsia="仿宋_GB2312"/>
              </w:rPr>
              <w:t>业绩.docx 供应商应提供的资格证明文件.docx 授权委托书.docx 中小企业声明函 商务应答表 报价表 分项报价单.xlsx 响应方案.docx 响应文件封面 产品技术参数表 残疾人福利性单位声明函 标的清单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根据【财库〔2026〕2号】关于推动解决政府采购异常低价问题的通知，启动异常低价审查程序：在评标过程中出现下列情形之一的，磋商小组应当启动异常低价响应审查程序：1.响应报价低于全部通过符合性审查供应商响应报价平均值50%的，即响应报价&lt;全部通过符合性审查供应商响应报价平均值×50%；2.响应报价低于通过符合性审查的次低报价供应商响应报价50%的，即响应报价&lt;通过符合性审查的次低报价供应商响应报价×50%；3.响应报价低于采购项目最高限价45%的，即响应报价&lt;采购项目最高限价×45%；4.磋商小组基于专业判断，认为供应商报价过低，有可能影响产品质量或者不能诚信履约的其他情形。磋商小组应当要求其在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说明和证明材料，应当加盖供应商（法定名称）电子印章，在磋商小组要求的时间内通过项目电子化交易系统进行提交，否则提交的相关证明材料无效。供应商不能证明其投标报价合理性的，磋商小组应当将其响应文件作为无效处理。</w:t>
            </w:r>
          </w:p>
        </w:tc>
        <w:tc>
          <w:tcPr>
            <w:tcW w:type="dxa" w:w="1661"/>
          </w:tcPr>
          <w:p>
            <w:pPr>
              <w:pStyle w:val="null3"/>
            </w:pPr>
            <w:r>
              <w:rPr>
                <w:rFonts w:ascii="仿宋_GB2312" w:hAnsi="仿宋_GB2312" w:cs="仿宋_GB2312" w:eastAsia="仿宋_GB2312"/>
              </w:rPr>
              <w:t>标的清单 分项报价单.xlsx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响应文件封面 授权委托书.docx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法定代表人身份证明书或法定代表人授权委托书</w:t>
            </w:r>
          </w:p>
        </w:tc>
        <w:tc>
          <w:tcPr>
            <w:tcW w:type="dxa" w:w="3322"/>
          </w:tcPr>
          <w:p>
            <w:pPr>
              <w:pStyle w:val="null3"/>
            </w:pPr>
            <w:r>
              <w:rPr>
                <w:rFonts w:ascii="仿宋_GB2312" w:hAnsi="仿宋_GB2312" w:cs="仿宋_GB2312" w:eastAsia="仿宋_GB2312"/>
              </w:rPr>
              <w:t>符合采购文件要求、合法有效。</w:t>
            </w:r>
          </w:p>
        </w:tc>
        <w:tc>
          <w:tcPr>
            <w:tcW w:type="dxa" w:w="1661"/>
          </w:tcPr>
          <w:p>
            <w:pPr>
              <w:pStyle w:val="null3"/>
            </w:pPr>
            <w:r>
              <w:rPr>
                <w:rFonts w:ascii="仿宋_GB2312" w:hAnsi="仿宋_GB2312" w:cs="仿宋_GB2312" w:eastAsia="仿宋_GB2312"/>
              </w:rPr>
              <w:t>授权委托书.docx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同时满足以下条款：（1）报价符合唯一性要求；（2）报价货币符合采购文件要求；（3）未超出采购文件规定的最高限价。</w:t>
            </w:r>
          </w:p>
        </w:tc>
        <w:tc>
          <w:tcPr>
            <w:tcW w:type="dxa" w:w="1661"/>
          </w:tcPr>
          <w:p>
            <w:pPr>
              <w:pStyle w:val="null3"/>
            </w:pPr>
            <w:r>
              <w:rPr>
                <w:rFonts w:ascii="仿宋_GB2312" w:hAnsi="仿宋_GB2312" w:cs="仿宋_GB2312" w:eastAsia="仿宋_GB2312"/>
              </w:rPr>
              <w:t>标的清单 报价表 分项报价单.xlsx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磋商项目商务及其他要求响应</w:t>
            </w:r>
          </w:p>
        </w:tc>
        <w:tc>
          <w:tcPr>
            <w:tcW w:type="dxa" w:w="3322"/>
          </w:tcPr>
          <w:p>
            <w:pPr>
              <w:pStyle w:val="null3"/>
            </w:pPr>
            <w:r>
              <w:rPr>
                <w:rFonts w:ascii="仿宋_GB2312" w:hAnsi="仿宋_GB2312" w:cs="仿宋_GB2312" w:eastAsia="仿宋_GB2312"/>
              </w:rPr>
              <w:t>完全理解并响应磋商商务及其他要求，且未附有采购人不能接受的附加条件的。</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商务应答表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完全理解并接受法律法规和磋商文件对供应商合法经营的各类规约和责任义务要求，没有出现法律法规或磋商文件规定的其他无效情形。</w:t>
            </w:r>
          </w:p>
        </w:tc>
        <w:tc>
          <w:tcPr>
            <w:tcW w:type="dxa" w:w="1661"/>
          </w:tcPr>
          <w:p>
            <w:pPr>
              <w:pStyle w:val="null3"/>
            </w:pPr>
            <w:r>
              <w:rPr>
                <w:rFonts w:ascii="仿宋_GB2312" w:hAnsi="仿宋_GB2312" w:cs="仿宋_GB2312" w:eastAsia="仿宋_GB2312"/>
              </w:rPr>
              <w:t>业绩.docx 供应商应提供的资格证明文件.docx 授权委托书.docx 中小企业声明函 商务应答表 报价表 分项报价单.xlsx 响应方案.docx 响应文件封面 产品技术参数表 残疾人福利性单位声明函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投标产品技术指标响应程度</w:t>
            </w:r>
          </w:p>
        </w:tc>
        <w:tc>
          <w:tcPr>
            <w:tcW w:type="dxa" w:w="2492"/>
          </w:tcPr>
          <w:p>
            <w:pPr>
              <w:pStyle w:val="null3"/>
            </w:pPr>
            <w:r>
              <w:rPr>
                <w:rFonts w:ascii="仿宋_GB2312" w:hAnsi="仿宋_GB2312" w:cs="仿宋_GB2312" w:eastAsia="仿宋_GB2312"/>
              </w:rPr>
              <w:t>完全符合、响应采购文件要求，没有负偏离的得20分；带“▲”的为重要技术指标，负偏离一项扣1分，其他技术指标每负偏离一项扣0.4分，总分20分，扣完为止（对于技术规格中列明的“▲”号条款参数，必须提供相关证明材料，否则按负偏离评分，评审依据为生产厂家出具的、相应的功能证明材料，包括但不限于国家权威部门出具的检验报告、产品彩页、技术白皮书、使用说明书等）及投标产品技术参数偏离表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产品规格资料</w:t>
            </w:r>
          </w:p>
        </w:tc>
        <w:tc>
          <w:tcPr>
            <w:tcW w:type="dxa" w:w="2492"/>
          </w:tcPr>
          <w:p>
            <w:pPr>
              <w:pStyle w:val="null3"/>
            </w:pPr>
            <w:r>
              <w:rPr>
                <w:rFonts w:ascii="仿宋_GB2312" w:hAnsi="仿宋_GB2312" w:cs="仿宋_GB2312" w:eastAsia="仿宋_GB2312"/>
              </w:rPr>
              <w:t>根据所投货物技术规格、产品资料、产品检测报告、且符合相关标准等进行综合评审。 1.技术规格描述清楚、明确，产品资料详尽、产品彩页、检测报告等证明材料齐全，符合国内相关标准得5分； 2. 技术规格描述基本清楚、明确，产品资料基本详细、产品彩页、检测报告等证明材料基本齐全，基本符合国内相关标准得3分； 3. 技术规格表述不清，产品资料不全、未提供产品彩页、检测报告等证明材料，部分符合国内相关标准得1分；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产品来源渠道的证明材料</w:t>
            </w:r>
          </w:p>
        </w:tc>
        <w:tc>
          <w:tcPr>
            <w:tcW w:type="dxa" w:w="2492"/>
          </w:tcPr>
          <w:p>
            <w:pPr>
              <w:pStyle w:val="null3"/>
            </w:pPr>
            <w:r>
              <w:rPr>
                <w:rFonts w:ascii="仿宋_GB2312" w:hAnsi="仿宋_GB2312" w:cs="仿宋_GB2312" w:eastAsia="仿宋_GB2312"/>
              </w:rPr>
              <w:t>投标产品货源渠道正常有质量保证，根据提供投标产品来源渠道合法的证明文件（包括但不限于销售协议、代理协议或原厂授权等）得3分。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供货进度计划</w:t>
            </w:r>
          </w:p>
        </w:tc>
        <w:tc>
          <w:tcPr>
            <w:tcW w:type="dxa" w:w="2492"/>
          </w:tcPr>
          <w:p>
            <w:pPr>
              <w:pStyle w:val="null3"/>
            </w:pPr>
            <w:r>
              <w:rPr>
                <w:rFonts w:ascii="仿宋_GB2312" w:hAnsi="仿宋_GB2312" w:cs="仿宋_GB2312" w:eastAsia="仿宋_GB2312"/>
              </w:rPr>
              <w:t>根据投标人供货进度计划（包括时间安排等其他内容）等进行综合评审。 1、投标人供货进度计划（包括时间安排等其他内容）的可行性、合理性强得4分； 2.投标人供货进度计划（包括时间安排等其他内容）的可行性、合理性较强的得3分； 3.投标人供货进度计划（包括时间安排等其他内容）的可行性、合理性一般的得2分； 4.投标人供货进度计划（包括时间安排等其他内容）的无可行性、安排不合理的得1分； 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验收方案</w:t>
            </w:r>
          </w:p>
        </w:tc>
        <w:tc>
          <w:tcPr>
            <w:tcW w:type="dxa" w:w="2492"/>
          </w:tcPr>
          <w:p>
            <w:pPr>
              <w:pStyle w:val="null3"/>
            </w:pPr>
            <w:r>
              <w:rPr>
                <w:rFonts w:ascii="仿宋_GB2312" w:hAnsi="仿宋_GB2312" w:cs="仿宋_GB2312" w:eastAsia="仿宋_GB2312"/>
              </w:rPr>
              <w:t>根据投标人验收方案等进行综合评审。 1、投标人验收方案的可行性、合理性强得2分；2.投标人验收方案的可行性、合理性一般的得1分； 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根据投标人运输方案（包括人员安排等）等进行综合评审。 1、投标人运输方案（包括人员安排等）的可行性、合理性强得5分； 2.投标人运输方案（包括人员安排等）的可行性、合理性一般的得3分； 1.投标人运输方案（包括人员安排等）的无可行性、安排不合理的得1分；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根据投标人提供的质量保障措施方案（包括但不限于明确质量目标、建立货品质量追溯体系，具有清晰的进销存台账制度及相关保障措施等）等进行综合评审。 1、方案合理、可行性强，完全满足项目需求得6分； 2、方案基本合理、可行性强，基本满足项目需求得4分； 3、方案内容一般、可行性一般，部分满足项目需求得2分； 4、方案内容欠缺、无可行性，不能满足项目需求得1分；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应对突发状况的应急保障措施</w:t>
            </w:r>
          </w:p>
        </w:tc>
        <w:tc>
          <w:tcPr>
            <w:tcW w:type="dxa" w:w="2492"/>
          </w:tcPr>
          <w:p>
            <w:pPr>
              <w:pStyle w:val="null3"/>
            </w:pPr>
            <w:r>
              <w:rPr>
                <w:rFonts w:ascii="仿宋_GB2312" w:hAnsi="仿宋_GB2312" w:cs="仿宋_GB2312" w:eastAsia="仿宋_GB2312"/>
              </w:rPr>
              <w:t>根据投标人提供的应对突发状况的应急保障措施，包括但不限于生产、供货、运输、售后服务等突发状况的应急保障措施等进行综合评审。 1、应急保障措施明确、详实、针对性强、便于实施的得2分； 2、应急保障措施不明确、不详实、针对性较差、不便于实施的得1分 。 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售后服务保障</w:t>
            </w:r>
          </w:p>
        </w:tc>
        <w:tc>
          <w:tcPr>
            <w:tcW w:type="dxa" w:w="2492"/>
          </w:tcPr>
          <w:p>
            <w:pPr>
              <w:pStyle w:val="null3"/>
            </w:pPr>
            <w:r>
              <w:rPr>
                <w:rFonts w:ascii="仿宋_GB2312" w:hAnsi="仿宋_GB2312" w:cs="仿宋_GB2312" w:eastAsia="仿宋_GB2312"/>
              </w:rPr>
              <w:t>根据投标人提供的售后服务保障方案，包括（包括供货期内所提供产品质量、安全等方面，具有详细的服务承诺、保证措施、退换货方案、人员安排及响应时间等）进行综合评审。 1、售后服务方案详细、完整全面、针对性强，可实施性高得6分； 2、售后服务方案内容完整、有一定的针对性，具有可实施性得4分； 3、售后服务方案内容基本完整、有一定的针对性，可实施性一般得2分； 4、售后服务方案内容不完整、针对性差，可实施性差得1分； 未提供售后服务方案不得分。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根据投标人提供的样品进行评审。每个规格提供1份样品，对样品的材质、触感、外观、性能等进行测试综合评审。 1、根据选用材质柔软度、薄厚程度、透气性进行综合评审。 ①选用材质柔软度高、轻薄、透气性强得3分； ②选用材质柔软度较高、较轻薄、透气性较强得2分； ③选用材质柔软度不高、不轻薄、透气性不强得1分； 2、根据腰围弹性性能及魔术贴的硬度，是否摩擦皮肤进行综合评审。 ①腰围弹性性能强、魔术贴的硬度适中，不摩擦皮肤得3分； ②腰围弹性性能较强、魔术贴的硬度较硬，轻微摩擦皮肤得2分； ③腰围弹性性能差、魔术贴的硬度硬，严重摩擦皮肤得1分； 3、根据吸水性及吸收程度进行综合评审。 ①吸水性及吸收能力强得3分； ②吸水性及吸收能力较强得2分； ③吸水性及吸收能力一般得1分； 4、根据吸水后的表面干爽度进行综合评审。 ①吸水后的表面干爽度高得3分； ②吸水后的表面干爽度较高得2分； ③吸水后的表面干爽度一般得1分； 注：供应商须提供投标产品的样品（每个规格提供1份样品），于开标当日上午10:30—11:30送至西安市莲湖区高新路2号西部国际广场B座28楼会议室A，用小型纸箱密封提交，未密封提交样品不予接受。密封样品标注单位名称。（相关检测报告在响应文件中体现）；中标单位提供的样品交采购人留存，并作为采购单位履约验收的参考依据。</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提供投标人或所投产品生产厂家2023年1月1日以来完成的类似项目业绩（核心产品），每提供一个业绩计1分，最高得5分。 注：业绩证明材料提供合同协议复印件加盖供应商公章。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采购文件要求且有效报价最低的为评标基准价，其价格分为满分。其他投标人的价格分按下列公式计算：价格分=(评标基准价／投标报价)×报价分值。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详见附件：授权委托书.docx</w:t>
      </w:r>
    </w:p>
    <w:p>
      <w:pPr>
        <w:pStyle w:val="null3"/>
        <w:ind w:firstLine="960"/>
      </w:pPr>
      <w:r>
        <w:rPr>
          <w:rFonts w:ascii="仿宋_GB2312" w:hAnsi="仿宋_GB2312" w:cs="仿宋_GB2312" w:eastAsia="仿宋_GB2312"/>
        </w:rPr>
        <w:t>详见附件：供应商应提供的资格证明文件.docx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详见附件：分项报价单.xlsx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详见附件：响应方案.docx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详见附件：供货合同.docx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