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A472F"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sz w:val="24"/>
          <w:szCs w:val="24"/>
          <w:lang w:val="en-US" w:eastAsia="zh-CN"/>
        </w:rPr>
        <w:t>技术响应</w:t>
      </w:r>
    </w:p>
    <w:bookmarkEnd w:id="0"/>
    <w:p w14:paraId="00DC8089">
      <w:pPr>
        <w:jc w:val="center"/>
        <w:rPr>
          <w:rFonts w:hint="eastAsia"/>
          <w:sz w:val="24"/>
          <w:szCs w:val="32"/>
        </w:rPr>
      </w:pPr>
    </w:p>
    <w:p w14:paraId="1587F245">
      <w:pPr>
        <w:jc w:val="center"/>
        <w:rPr>
          <w:rFonts w:hint="eastAsia"/>
          <w:sz w:val="24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供应商依据第三章 磋商项目技术、服务、商务及其他要求和第六章 评分标准自行编写方案</w:t>
      </w:r>
    </w:p>
    <w:p w14:paraId="274BA67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26711"/>
    <w:rsid w:val="6C72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2026-07-31T07:39:00Z</dcterms:created>
  <dc:creator>七月</dc:creator>
  <cp:lastModifiedBy>七月</cp:lastModifiedBy>
  <dcterms:modified xsi:type="dcterms:W3CDTF">2026-07-31T07:39:10Z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09FEF484487349D8B919B42C621C1642_11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