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版本号：YZZB-20260108.1B120260805001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养老服务宣传推广项目(二次)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YZZB-20260108.1B1</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陕西银正项目管理有限公司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陕西银正项目管理有限公司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养老服务宣传推广项目(二次)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YZZB-20260108.1B1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养老服务宣传推广项目(二次)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养老服务政策宣传推广服务项目，主要围绕养老服务政策解读、消费补贴推广、助餐服务宣传、典型案例推介等核心任务，通过全媒体矩阵、线下阵地、物料制作、专题报道等多元化方式开展系统性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17791303681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陕西银正项目管理有限公司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陕西省西安市曲江新区雁南五路1868号1幢1单元12303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康耀丹、翟苗苗、师兰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18392446490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按国家发展改革委发布的《关于进一步放开建设项目专业服务价格的通知》（发改价格【2015】299号）计取，计算方法参考原国家计委颁布的《招标代理服务收费管理暂行办法》（计价格『2002』1980号）。如代理服务费按上述标准计算低于人民币5000元（伍仟元整），则按5000元（伍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陕西银正项目管理有限公司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陕西银正项目管理有限公司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陕西银正项目管理有限公司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提出侵权其专利权、商标权或其它知识产权⽽引发法律和经济纠纷，否则由供应商负责解决并承担全部责任；如因此影响到采购⼈的正常使⽤，采购⼈有权单⽅⾯解除本合同，供应商应⽆条件向采购⼈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联系人：康耀丹、翟苗苗、师兰</w:t>
      </w:r>
    </w:p>
    <w:p>
      <w:pPr>
        <w:pStyle w:val="null3"/>
      </w:pPr>
      <w:r>
        <w:rPr>
          <w:rFonts w:ascii="仿宋_GB2312" w:hAnsi="仿宋_GB2312" w:cs="仿宋_GB2312" w:eastAsia="仿宋_GB2312"/>
        </w:rPr>
        <w:t>联系电话：18392446490</w:t>
      </w:r>
    </w:p>
    <w:p>
      <w:pPr>
        <w:pStyle w:val="null3"/>
      </w:pPr>
      <w:r>
        <w:rPr>
          <w:rFonts w:ascii="仿宋_GB2312" w:hAnsi="仿宋_GB2312" w:cs="仿宋_GB2312" w:eastAsia="仿宋_GB2312"/>
        </w:rPr>
        <w:t>地址：陕西省西安市曲江新区雁南五路1868号1幢1单元12303</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养老服务政策宣传推广服务项目，主要围绕养老服务政策解读、消费补贴推广、助餐服务宣传、典型案例推介等核心任务，通过全媒体矩阵、线下阵地、物料制作、专题报道等多元化方式开展系统性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养老服务宣传推广项目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标的名称：养老服务宣传推广项目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一、项目概况</w:t>
            </w:r>
          </w:p>
          <w:p>
            <w:pPr>
              <w:pStyle w:val="null3"/>
            </w:pPr>
            <w:r>
              <w:rPr>
                <w:rFonts w:ascii="仿宋_GB2312" w:hAnsi="仿宋_GB2312" w:cs="仿宋_GB2312" w:eastAsia="仿宋_GB2312"/>
                <w:sz w:val="24"/>
                <w:color w:val="000000"/>
              </w:rPr>
              <w:t xml:space="preserve">  本项目为西安市养老服务政策宣传推广服务项目，主要围绕养老服务政策解读、消费补贴推广、助餐服务宣传、典型案例推介等核心任务，通过全媒体矩阵、线下阵地、物料制作、专题报道等多元化方式开展系统性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二、服务内容</w:t>
            </w:r>
          </w:p>
          <w:p>
            <w:pPr>
              <w:pStyle w:val="null3"/>
              <w:ind w:firstLine="380"/>
            </w:pPr>
            <w:r>
              <w:rPr>
                <w:rFonts w:ascii="仿宋_GB2312" w:hAnsi="仿宋_GB2312" w:cs="仿宋_GB2312" w:eastAsia="仿宋_GB2312"/>
                <w:sz w:val="24"/>
                <w:color w:val="000000"/>
              </w:rPr>
              <w:t>通过系统化、全覆盖、精准化的政策宣传推广，全面扩大养老服务政策知晓度与覆盖面，让老年群体、家属及社会公众充分了解、便捷享受养老服务消费补贴、老年助餐、意外伤害保险、居家社区养老等政策红利；有效提升政策执行效率与群众满意度，推动各项养老服务政策落地见效；营造全社会关心、支持、参与养老服务事业的良好氛围，助力全市养老服务体系更加完善、服务供给更加优质、运营机制更加可持续，推动西安养老服务高质量发展。主要内容包含：</w:t>
            </w:r>
          </w:p>
          <w:p>
            <w:pPr>
              <w:pStyle w:val="null3"/>
              <w:ind w:firstLine="380"/>
            </w:pPr>
            <w:r>
              <w:rPr>
                <w:rFonts w:ascii="仿宋_GB2312" w:hAnsi="仿宋_GB2312" w:cs="仿宋_GB2312" w:eastAsia="仿宋_GB2312"/>
                <w:sz w:val="24"/>
                <w:color w:val="000000"/>
              </w:rPr>
              <w:t>1.养老服务短视频推广</w:t>
            </w:r>
          </w:p>
          <w:p>
            <w:pPr>
              <w:pStyle w:val="null3"/>
              <w:ind w:firstLine="380"/>
            </w:pPr>
            <w:r>
              <w:rPr>
                <w:rFonts w:ascii="仿宋_GB2312" w:hAnsi="仿宋_GB2312" w:cs="仿宋_GB2312" w:eastAsia="仿宋_GB2312"/>
                <w:sz w:val="24"/>
                <w:color w:val="000000"/>
              </w:rPr>
              <w:t>聚焦全市养老服务各类消费补贴政策，制作养老服务短视频，面向社区老年人、养老家庭、养老服务机构开展精准宣传推广，普及补贴范围、申领条件、办理流程、享受标准，推动补贴政策应享尽享。</w:t>
            </w:r>
          </w:p>
          <w:p>
            <w:pPr>
              <w:pStyle w:val="null3"/>
              <w:ind w:firstLine="380"/>
            </w:pPr>
            <w:r>
              <w:rPr>
                <w:rFonts w:ascii="仿宋_GB2312" w:hAnsi="仿宋_GB2312" w:cs="仿宋_GB2312" w:eastAsia="仿宋_GB2312"/>
                <w:sz w:val="24"/>
                <w:color w:val="000000"/>
              </w:rPr>
              <w:t>2.养老服务常态化宣传</w:t>
            </w:r>
          </w:p>
          <w:p>
            <w:pPr>
              <w:pStyle w:val="null3"/>
              <w:ind w:firstLine="380"/>
            </w:pPr>
            <w:r>
              <w:rPr>
                <w:rFonts w:ascii="仿宋_GB2312" w:hAnsi="仿宋_GB2312" w:cs="仿宋_GB2312" w:eastAsia="仿宋_GB2312"/>
                <w:sz w:val="24"/>
                <w:color w:val="000000"/>
              </w:rPr>
              <w:t>围绕全市养老工作，老年助餐、消费券申领、意外伤害保险等惠民服务，持续开展阵地宣传、大众科普、场景化推广，提升群众知晓率、使用率，推动各项养老服务政策落地见效。</w:t>
            </w:r>
          </w:p>
          <w:p>
            <w:pPr>
              <w:pStyle w:val="null3"/>
              <w:ind w:firstLine="380"/>
            </w:pPr>
            <w:r>
              <w:rPr>
                <w:rFonts w:ascii="仿宋_GB2312" w:hAnsi="仿宋_GB2312" w:cs="仿宋_GB2312" w:eastAsia="仿宋_GB2312"/>
                <w:sz w:val="24"/>
                <w:color w:val="000000"/>
              </w:rPr>
              <w:t>3.老年助餐、养老服务典型案例挖掘推介</w:t>
            </w:r>
          </w:p>
          <w:p>
            <w:pPr>
              <w:pStyle w:val="null3"/>
              <w:ind w:firstLine="380"/>
            </w:pPr>
            <w:r>
              <w:rPr>
                <w:rFonts w:ascii="仿宋_GB2312" w:hAnsi="仿宋_GB2312" w:cs="仿宋_GB2312" w:eastAsia="仿宋_GB2312"/>
                <w:sz w:val="24"/>
                <w:color w:val="000000"/>
              </w:rPr>
              <w:t>挖掘西安市养老服务领域优质服务案例、基层亮点工作、暖心服务典型，邀请养老专家、养老机构等专业人员，走进演播室，通过专题报道、互动访谈等方式推介宣传，发挥示范引领作用。</w:t>
            </w:r>
          </w:p>
          <w:p>
            <w:pPr>
              <w:pStyle w:val="null3"/>
              <w:ind w:firstLine="380"/>
            </w:pPr>
            <w:r>
              <w:rPr>
                <w:rFonts w:ascii="仿宋_GB2312" w:hAnsi="仿宋_GB2312" w:cs="仿宋_GB2312" w:eastAsia="仿宋_GB2312"/>
                <w:sz w:val="24"/>
                <w:color w:val="000000"/>
              </w:rPr>
              <w:t>4.全媒体矩阵宣传运营</w:t>
            </w:r>
          </w:p>
          <w:p>
            <w:pPr>
              <w:pStyle w:val="null3"/>
              <w:ind w:firstLine="380"/>
            </w:pPr>
            <w:r>
              <w:rPr>
                <w:rFonts w:ascii="仿宋_GB2312" w:hAnsi="仿宋_GB2312" w:cs="仿宋_GB2312" w:eastAsia="仿宋_GB2312"/>
                <w:sz w:val="24"/>
                <w:color w:val="000000"/>
              </w:rPr>
              <w:t>依托各类新媒体、本地媒体、政务传播渠道搭建全媒体宣传矩阵，常态化推送政策科普、工作动态、惠民服务、典型案例等内容，实现广泛传播、精准触达。</w:t>
            </w:r>
          </w:p>
          <w:p>
            <w:pPr>
              <w:pStyle w:val="null3"/>
              <w:ind w:firstLine="380"/>
            </w:pPr>
            <w:r>
              <w:rPr>
                <w:rFonts w:ascii="仿宋_GB2312" w:hAnsi="仿宋_GB2312" w:cs="仿宋_GB2312" w:eastAsia="仿宋_GB2312"/>
                <w:sz w:val="24"/>
                <w:color w:val="000000"/>
              </w:rPr>
              <w:t>5.养老服务实例片制作</w:t>
            </w:r>
          </w:p>
          <w:p>
            <w:pPr>
              <w:pStyle w:val="null3"/>
              <w:ind w:firstLine="380"/>
            </w:pPr>
            <w:r>
              <w:rPr>
                <w:rFonts w:ascii="仿宋_GB2312" w:hAnsi="仿宋_GB2312" w:cs="仿宋_GB2312" w:eastAsia="仿宋_GB2312"/>
                <w:sz w:val="24"/>
                <w:color w:val="000000"/>
              </w:rPr>
              <w:t>围绕全市老年助餐服务、养老服务，策划制作实例片，全面展示西安养老服务体系建设成果，提升西安养老服务的品牌形象。</w:t>
            </w:r>
          </w:p>
          <w:p>
            <w:pPr>
              <w:pStyle w:val="null3"/>
              <w:ind w:firstLine="380"/>
            </w:pPr>
            <w:r>
              <w:rPr>
                <w:rFonts w:ascii="仿宋_GB2312" w:hAnsi="仿宋_GB2312" w:cs="仿宋_GB2312" w:eastAsia="仿宋_GB2312"/>
                <w:sz w:val="24"/>
                <w:color w:val="000000"/>
              </w:rPr>
              <w:t>6.宣传物料制作</w:t>
            </w:r>
          </w:p>
          <w:p>
            <w:pPr>
              <w:pStyle w:val="null3"/>
            </w:pPr>
            <w:r>
              <w:rPr>
                <w:rFonts w:ascii="仿宋_GB2312" w:hAnsi="仿宋_GB2312" w:cs="仿宋_GB2312" w:eastAsia="仿宋_GB2312"/>
                <w:sz w:val="24"/>
                <w:color w:val="000000"/>
              </w:rPr>
              <w:t xml:space="preserve">  根据民政养老宣传工作需要，标准化制作各类宣传物料，配合重大节点、专项工作开展专题深度报道，提升西安养老服务工作整体影响力。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三、服务要求</w:t>
            </w:r>
          </w:p>
          <w:p>
            <w:pPr>
              <w:pStyle w:val="null3"/>
              <w:ind w:firstLine="380"/>
            </w:pPr>
            <w:r>
              <w:rPr>
                <w:rFonts w:ascii="仿宋_GB2312" w:hAnsi="仿宋_GB2312" w:cs="仿宋_GB2312" w:eastAsia="仿宋_GB2312"/>
                <w:sz w:val="24"/>
                <w:color w:val="000000"/>
              </w:rPr>
              <w:t>1.人员配置要求</w:t>
            </w:r>
          </w:p>
          <w:p>
            <w:pPr>
              <w:pStyle w:val="null3"/>
              <w:ind w:firstLine="380"/>
            </w:pPr>
            <w:r>
              <w:rPr>
                <w:rFonts w:ascii="仿宋_GB2312" w:hAnsi="仿宋_GB2312" w:cs="仿宋_GB2312" w:eastAsia="仿宋_GB2312"/>
                <w:sz w:val="24"/>
                <w:color w:val="000000"/>
              </w:rPr>
              <w:t>供应商须组建专属项目服务团队，配备项目负责人1名，统筹项目整体推进、对接采购人工作、把控服务质量；至少配置2名固定专职工作人员负责本项目文案策划、平面设计、新媒体运营、现场宣讲执行等全部实施工作，人员稳定、全程在岗对接，不得随意更换团队人员。团队人员需熟悉西安市养老服务政策体系、民政工作流程及基层宣传工作特点，具备丰富的政务宣传、政策科普服务经验，保障项目高效有序落地。</w:t>
            </w:r>
          </w:p>
          <w:p>
            <w:pPr>
              <w:pStyle w:val="null3"/>
              <w:ind w:firstLine="380"/>
            </w:pPr>
            <w:r>
              <w:rPr>
                <w:rFonts w:ascii="仿宋_GB2312" w:hAnsi="仿宋_GB2312" w:cs="仿宋_GB2312" w:eastAsia="仿宋_GB2312"/>
                <w:sz w:val="24"/>
                <w:color w:val="000000"/>
              </w:rPr>
              <w:t>2.专业设备要求</w:t>
            </w:r>
          </w:p>
          <w:p>
            <w:pPr>
              <w:pStyle w:val="null3"/>
              <w:ind w:firstLine="380"/>
            </w:pPr>
            <w:r>
              <w:rPr>
                <w:rFonts w:ascii="仿宋_GB2312" w:hAnsi="仿宋_GB2312" w:cs="仿宋_GB2312" w:eastAsia="仿宋_GB2312"/>
                <w:sz w:val="24"/>
                <w:color w:val="000000"/>
              </w:rPr>
              <w:t>须具备西安市养老服务政策宣传推广服务所必需的设备和专业技术能力。</w:t>
            </w:r>
          </w:p>
          <w:p>
            <w:pPr>
              <w:pStyle w:val="null3"/>
              <w:ind w:firstLine="380"/>
            </w:pPr>
            <w:r>
              <w:rPr>
                <w:rFonts w:ascii="仿宋_GB2312" w:hAnsi="仿宋_GB2312" w:cs="仿宋_GB2312" w:eastAsia="仿宋_GB2312"/>
                <w:sz w:val="24"/>
                <w:color w:val="000000"/>
              </w:rPr>
              <w:t>3.服务标准</w:t>
            </w:r>
          </w:p>
          <w:p>
            <w:pPr>
              <w:pStyle w:val="null3"/>
              <w:ind w:firstLine="380"/>
            </w:pPr>
            <w:r>
              <w:rPr>
                <w:rFonts w:ascii="仿宋_GB2312" w:hAnsi="仿宋_GB2312" w:cs="仿宋_GB2312" w:eastAsia="仿宋_GB2312"/>
                <w:sz w:val="24"/>
                <w:color w:val="000000"/>
              </w:rPr>
              <w:t>所有宣传内容必须严格依据西安市民政局、西安市人民政府发布的最新养老政策文件编制，内容真实、准确、权威，无错误、无误导、无过时信息。宣传内容通俗易懂、贴合老年群体认知习惯，适配基层宣传场景，所有宣传成品发布、投放前须提交采购人审核，审核通过后方可使用，严禁私自发布、修改宣传内容。</w:t>
            </w:r>
          </w:p>
          <w:p>
            <w:pPr>
              <w:pStyle w:val="null3"/>
              <w:ind w:firstLine="380"/>
            </w:pPr>
            <w:r>
              <w:rPr>
                <w:rFonts w:ascii="仿宋_GB2312" w:hAnsi="仿宋_GB2312" w:cs="仿宋_GB2312" w:eastAsia="仿宋_GB2312"/>
                <w:sz w:val="24"/>
                <w:color w:val="000000"/>
              </w:rPr>
              <w:t>4.服务执行要求</w:t>
            </w:r>
          </w:p>
          <w:p>
            <w:pPr>
              <w:pStyle w:val="null3"/>
              <w:ind w:firstLine="380"/>
            </w:pPr>
            <w:r>
              <w:rPr>
                <w:rFonts w:ascii="仿宋_GB2312" w:hAnsi="仿宋_GB2312" w:cs="仿宋_GB2312" w:eastAsia="仿宋_GB2312"/>
                <w:sz w:val="24"/>
                <w:color w:val="000000"/>
              </w:rPr>
              <w:t>严格按照采购人工作部署及时间节点推进各项宣传工作，配合完成养老政策宣传、主题宣传等专项宣传活动。主动接受采购人日常监督、检查与考核，及时响应采购人工作调整要求，按时完成内容修改、活动增补、素材更新等工作。全程遵守政务工作保密规定，严禁泄露工作资料、群众信息及未公开政策内容。</w:t>
            </w:r>
          </w:p>
          <w:p>
            <w:pPr>
              <w:pStyle w:val="null3"/>
              <w:ind w:firstLine="380"/>
            </w:pPr>
            <w:r>
              <w:rPr>
                <w:rFonts w:ascii="仿宋_GB2312" w:hAnsi="仿宋_GB2312" w:cs="仿宋_GB2312" w:eastAsia="仿宋_GB2312"/>
                <w:sz w:val="24"/>
                <w:color w:val="000000"/>
              </w:rPr>
              <w:t>5.成果交付要求</w:t>
            </w:r>
          </w:p>
          <w:p>
            <w:pPr>
              <w:pStyle w:val="null3"/>
            </w:pPr>
            <w:r>
              <w:rPr>
                <w:rFonts w:ascii="仿宋_GB2312" w:hAnsi="仿宋_GB2312" w:cs="仿宋_GB2312" w:eastAsia="仿宋_GB2312"/>
                <w:sz w:val="24"/>
                <w:color w:val="000000"/>
              </w:rPr>
              <w:t xml:space="preserve">  项目服务期内，按需交付各类宣传素材、活动台账、工作小结；服务期满后，完整交付全部宣传成果、数据报表、工作总结、效果评估报告等全套资料，确保资料完整、规范、可追溯、可归档。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381"/>
            </w:pPr>
            <w:r>
              <w:rPr>
                <w:rFonts w:ascii="仿宋_GB2312" w:hAnsi="仿宋_GB2312" w:cs="仿宋_GB2312" w:eastAsia="仿宋_GB2312"/>
                <w:sz w:val="24"/>
                <w:b/>
                <w:color w:val="000000"/>
              </w:rPr>
              <w:t>四、商务要求（如服务期限、款项结算等）</w:t>
            </w:r>
          </w:p>
          <w:p>
            <w:pPr>
              <w:pStyle w:val="null3"/>
              <w:ind w:firstLine="380"/>
            </w:pPr>
            <w:r>
              <w:rPr>
                <w:rFonts w:ascii="仿宋_GB2312" w:hAnsi="仿宋_GB2312" w:cs="仿宋_GB2312" w:eastAsia="仿宋_GB2312"/>
                <w:sz w:val="24"/>
                <w:color w:val="000000"/>
              </w:rPr>
              <w:t>1.服务期限</w:t>
            </w:r>
          </w:p>
          <w:p>
            <w:pPr>
              <w:pStyle w:val="null3"/>
              <w:ind w:firstLine="380"/>
            </w:pPr>
            <w:r>
              <w:rPr>
                <w:rFonts w:ascii="仿宋_GB2312" w:hAnsi="仿宋_GB2312" w:cs="仿宋_GB2312" w:eastAsia="仿宋_GB2312"/>
                <w:sz w:val="24"/>
                <w:color w:val="000000"/>
              </w:rPr>
              <w:t>自合同签订之日起1年。</w:t>
            </w:r>
          </w:p>
          <w:p>
            <w:pPr>
              <w:pStyle w:val="null3"/>
              <w:ind w:firstLine="380"/>
            </w:pPr>
            <w:r>
              <w:rPr>
                <w:rFonts w:ascii="仿宋_GB2312" w:hAnsi="仿宋_GB2312" w:cs="仿宋_GB2312" w:eastAsia="仿宋_GB2312"/>
                <w:sz w:val="24"/>
                <w:color w:val="000000"/>
              </w:rPr>
              <w:t>2.服务地点</w:t>
            </w:r>
          </w:p>
          <w:p>
            <w:pPr>
              <w:pStyle w:val="null3"/>
              <w:ind w:firstLine="380"/>
            </w:pPr>
            <w:r>
              <w:rPr>
                <w:rFonts w:ascii="仿宋_GB2312" w:hAnsi="仿宋_GB2312" w:cs="仿宋_GB2312" w:eastAsia="仿宋_GB2312"/>
                <w:sz w:val="24"/>
                <w:color w:val="000000"/>
              </w:rPr>
              <w:t>采购人指定地点。</w:t>
            </w:r>
          </w:p>
          <w:p>
            <w:pPr>
              <w:pStyle w:val="null3"/>
              <w:ind w:firstLine="380"/>
            </w:pPr>
            <w:r>
              <w:rPr>
                <w:rFonts w:ascii="仿宋_GB2312" w:hAnsi="仿宋_GB2312" w:cs="仿宋_GB2312" w:eastAsia="仿宋_GB2312"/>
                <w:sz w:val="24"/>
                <w:color w:val="000000"/>
              </w:rPr>
              <w:t>3.验收标准</w:t>
            </w:r>
          </w:p>
          <w:p>
            <w:pPr>
              <w:pStyle w:val="null3"/>
              <w:ind w:firstLine="380"/>
            </w:pPr>
            <w:r>
              <w:rPr>
                <w:rFonts w:ascii="仿宋_GB2312" w:hAnsi="仿宋_GB2312" w:cs="仿宋_GB2312" w:eastAsia="仿宋_GB2312"/>
                <w:sz w:val="24"/>
                <w:color w:val="000000"/>
              </w:rPr>
              <w:t>严格按照本采购需求、双方合同约定及政府采购相关规范开展验收。供应商完成全部线上宣传、线下宣讲、物料制作投放、资料汇总归档等全部服务内容，服务质量达标、数据台账完整、宣传效果良好，经采购人审核无异议后，予以验收合格。</w:t>
            </w:r>
          </w:p>
          <w:p>
            <w:pPr>
              <w:pStyle w:val="null3"/>
              <w:ind w:firstLine="380"/>
            </w:pPr>
            <w:r>
              <w:rPr>
                <w:rFonts w:ascii="仿宋_GB2312" w:hAnsi="仿宋_GB2312" w:cs="仿宋_GB2312" w:eastAsia="仿宋_GB2312"/>
                <w:sz w:val="24"/>
                <w:color w:val="000000"/>
              </w:rPr>
              <w:t>4.付款方式</w:t>
            </w:r>
          </w:p>
          <w:p>
            <w:pPr>
              <w:pStyle w:val="null3"/>
              <w:ind w:firstLine="380"/>
            </w:pPr>
            <w:r>
              <w:rPr>
                <w:rFonts w:ascii="仿宋_GB2312" w:hAnsi="仿宋_GB2312" w:cs="仿宋_GB2312" w:eastAsia="仿宋_GB2312"/>
                <w:sz w:val="24"/>
                <w:color w:val="000000"/>
              </w:rPr>
              <w:t>本项目为固定总价合同，服务期满、项目验收合格后，供应商提交完整结算资料，采购人审核无误后，按照财政资金支付流程一次性支付全款。所有款项支付均不计利息。</w:t>
            </w:r>
          </w:p>
          <w:p>
            <w:pPr>
              <w:pStyle w:val="null3"/>
              <w:ind w:firstLine="380"/>
            </w:pPr>
            <w:r>
              <w:rPr>
                <w:rFonts w:ascii="仿宋_GB2312" w:hAnsi="仿宋_GB2312" w:cs="仿宋_GB2312" w:eastAsia="仿宋_GB2312"/>
                <w:sz w:val="24"/>
                <w:color w:val="000000"/>
              </w:rPr>
              <w:t>5.款项结算</w:t>
            </w:r>
          </w:p>
          <w:p>
            <w:pPr>
              <w:pStyle w:val="null3"/>
              <w:ind w:firstLine="380"/>
            </w:pPr>
            <w:r>
              <w:rPr>
                <w:rFonts w:ascii="仿宋_GB2312" w:hAnsi="仿宋_GB2312" w:cs="仿宋_GB2312" w:eastAsia="仿宋_GB2312"/>
                <w:sz w:val="24"/>
                <w:color w:val="000000"/>
              </w:rPr>
              <w:t>（1）</w:t>
            </w:r>
            <w:r>
              <w:rPr>
                <w:rFonts w:ascii="仿宋_GB2312" w:hAnsi="仿宋_GB2312" w:cs="仿宋_GB2312" w:eastAsia="仿宋_GB2312"/>
                <w:sz w:val="24"/>
                <w:color w:val="000000"/>
              </w:rPr>
              <w:t>合同签订后，达到付款条件起7日内，支付合同总金额的70%。</w:t>
            </w:r>
          </w:p>
          <w:p>
            <w:pPr>
              <w:pStyle w:val="null3"/>
              <w:ind w:firstLine="3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完成服务内容，达到付款条件起7日内，支付合同总金额的30%。</w:t>
            </w:r>
          </w:p>
          <w:p>
            <w:pPr>
              <w:pStyle w:val="null3"/>
              <w:ind w:firstLine="380"/>
            </w:pPr>
            <w:r>
              <w:rPr>
                <w:rFonts w:ascii="仿宋_GB2312" w:hAnsi="仿宋_GB2312" w:cs="仿宋_GB2312" w:eastAsia="仿宋_GB2312"/>
                <w:sz w:val="24"/>
                <w:color w:val="000000"/>
              </w:rPr>
              <w:t>6.考核与履约要求</w:t>
            </w:r>
          </w:p>
          <w:p>
            <w:pPr>
              <w:pStyle w:val="null3"/>
              <w:ind w:firstLine="380"/>
            </w:pPr>
            <w:r>
              <w:rPr>
                <w:rFonts w:ascii="仿宋_GB2312" w:hAnsi="仿宋_GB2312" w:cs="仿宋_GB2312" w:eastAsia="仿宋_GB2312"/>
                <w:sz w:val="24"/>
                <w:color w:val="000000"/>
              </w:rPr>
              <w:t>服务期间，采购人对供应商服务质量、工作进度、响应效率、宣传成效进行常态化考核，若供应商未按要求履约、服务质量不达标、出现内容错误、逾期交付等问题，采购人有权要求</w:t>
            </w:r>
            <w:r>
              <w:rPr>
                <w:rFonts w:ascii="仿宋_GB2312" w:hAnsi="仿宋_GB2312" w:cs="仿宋_GB2312" w:eastAsia="仿宋_GB2312"/>
                <w:sz w:val="24"/>
                <w:color w:val="000000"/>
              </w:rPr>
              <w:t>限期整改，对整改不</w:t>
            </w:r>
            <w:r>
              <w:rPr>
                <w:rFonts w:ascii="仿宋_GB2312" w:hAnsi="仿宋_GB2312" w:cs="仿宋_GB2312" w:eastAsia="仿宋_GB2312"/>
                <w:sz w:val="24"/>
                <w:color w:val="000000"/>
              </w:rPr>
              <w:t>到位的，有权依据合同约定追究违约责任。</w:t>
            </w:r>
          </w:p>
          <w:p>
            <w:pPr>
              <w:pStyle w:val="null3"/>
              <w:ind w:firstLine="380"/>
            </w:pPr>
            <w:r>
              <w:rPr>
                <w:rFonts w:ascii="仿宋_GB2312" w:hAnsi="仿宋_GB2312" w:cs="仿宋_GB2312" w:eastAsia="仿宋_GB2312"/>
                <w:sz w:val="24"/>
                <w:color w:val="000000"/>
              </w:rPr>
              <w:t>7.其他要求</w:t>
            </w:r>
          </w:p>
          <w:p>
            <w:pPr>
              <w:pStyle w:val="null3"/>
            </w:pPr>
            <w:r>
              <w:rPr>
                <w:rFonts w:ascii="仿宋_GB2312" w:hAnsi="仿宋_GB2312" w:cs="仿宋_GB2312" w:eastAsia="仿宋_GB2312"/>
                <w:sz w:val="24"/>
                <w:color w:val="000000"/>
              </w:rPr>
              <w:t xml:space="preserve">  本项目报价包含人工、策划、设计、制作、投放、执行、交通、物料、税费、成果归档等完成本项目全部工作的所有费用，采购人无需额外支付任何费用。服务过程中产生的一切安全责任、服务纠纷、内容合规问题均由供应商全权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本文件中"法定代表人"系指：(1)企业法人、事业单位法人、社会团体法人等具有独立法人资格的组织，为其营业执照或登记证书上载明的法定代表人；(2)分公司等不具备法人资格的分支机构，为其营业执照上载明的负责人；(3)个人独资企业，为其营业执照上载明的投资人；(4)合伙企业，为其营业执照上载明的执行事务合伙人（或委派代表）。3.（投标文件格式-标的清单）本项目服务范围：养老服务宣传推广；服务要求：符合招标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2、保密条款:（1）中标人应严格遵守采购单位有关保密规定，不得泄漏一切机密；（2）在技术服务期间，中标人对接触到的有关采购单位商业活动、技术情报和技术资料等文件进行保密。 3.为顺利推进政府采购电子化交易平台应用工作，投标人需要在线提交所有通过电子化交易平台实施的政府采购项目的投标文件，确定中标后，中标人须在中标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 ”复印件；（4）供应商是民办非企业单位的，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3、提供响应文件递交截止时间前近一年内至少一个月的纳税证明或完税证明，依法免税的单位应提供相关证明材料；时间以税款所属时期为准。 4、提供响应文件递交截止时间前近一年内至少一个月的社会保障资金缴存单据或社保机构开具的社会保险参保缴费情况证明，依法不需要缴纳社会保障资金的单位应提供相关证明材料。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六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响应文件封面 服务内容响应偏差表.pdf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服务内容响应偏差表.pdf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供应商根据采购需求编制对本项目的理解及认识方案，内容包含：①对项目理解程度；②推广内容；③重点、特点分析, 以上内容专门针对本项目且符合本项目实际需求的得6分，每缺一项内容扣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根据本项目采购需求编制针对性项目整体方案，内容包含：①总体推广方案；②活动节点安排；③服务标准；④宣传推广实施办法；⑤突发事件应急方案。以上内容专门针对本项目且符合本项目实际需求的得15分，每缺一项内容扣3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根据本项目采购需求编制针对性质量保证措施方案，有相应的保障细则，内容包含:①质量保障方案；②质量目标；③成果文件质量控制措施等。以上内容专门针对本项目且阐述明晰、全面、合理得9分，每缺一项内容扣3分，若上述内容存在瑕疵，每出现一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项目的进度安排</w:t>
            </w:r>
          </w:p>
        </w:tc>
        <w:tc>
          <w:tcPr>
            <w:tcW w:type="dxa" w:w="2492"/>
          </w:tcPr>
          <w:p>
            <w:pPr>
              <w:pStyle w:val="null3"/>
            </w:pPr>
            <w:r>
              <w:rPr>
                <w:rFonts w:ascii="仿宋_GB2312" w:hAnsi="仿宋_GB2312" w:cs="仿宋_GB2312" w:eastAsia="仿宋_GB2312"/>
              </w:rPr>
              <w:t>供应商根据本项目采购需求编制制定全周期项目进度总规划，是否能按照采购方要求在规定时间内完成划分筹备、素材采集、内容制作、多渠道投放、收尾复盘全阶段工期，内容至少包含：①项目实施进度目标分析；②项目进度计划安排方案；③项目进度保障等。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供应商根据本项目采购需求编制针对性保密措施方案，有相应的保障细则，内容包含：①保密管理制度；②保密责任；③具体工作保密措施；④保密承诺。 以上内容专门针对本项目且符合本项目实际需求的得4分，每缺一项内容扣1分，若上述内容存在瑕疵，每存在1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1.项目负责人（8分）：拟派项目负责人具有丰富的相关领域工作经验，担任过类似项目负责人的，每提供一份证明材料得2分，最多得8分。 2.团队人员配置（除项目负责人外）（6分）：拟派人员配备2名固定专职执行人员，基础分得3分；在此基础上每增加配备1名固定专职执行人员加1分，本项最高得6分。 【注：（1）所有人员需提供身份证及投标截止日前近6个月内任意1个月社保缴纳证明(退休人员（返聘人员）的，需提供退休证明或工资条或劳动合同等证明材料）复印件并加盖公章；（2）项目负责人工作经验须提供项目合同等能体现项目负责人信息的相关证明材料复印件并加盖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 2.服务进度目标承诺（3分）：供应商提供针对本项目的服务服务期限节点、进度管控、进度保障、逾期补救措施等专项承诺，承诺完整并加盖公章得3分，未提供或不完整不得分。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提供2023年1月1日至响应文件递交截止之日类似项目中获得采购人满意度评价，提供用户单位满意度证明，每提供一份得2分，最多得10分。（注：一个用户单位算1份，评价情况至少为满意或优或类似好评的方可计分，提供证明材料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提供2023年1月1日至响应文件递交截止之日供应商完成的类似项目，每提供一份得3分，满分15分。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 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详见附件：服务内容响应偏差表.pdf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