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版本号：XBZB-2026-06020260513001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农村公路建设“以奖代补”省级激励奖补政策帮扶指导服务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XBZB-2026-060</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农村公路建设“以奖代补”省级激励奖补政策帮扶指导服务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农村公路建设“以奖代补”省级激励奖补政策帮扶指导服务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省交通运输厅印发的《陕西省“十四五”农村公路建设项目省级投资激励奖补实施细则》要求，对各市交通运输局申报奖补资金的农村公路建设项目开展不少于5000公里的省级激励奖补政策帮扶指导，统筹推进农村公路建设项目内业完善、外业实施相关工作，并编制省级激励奖补项目帮扶指导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1、授权委托书：法定代表人(负责人)参与投标时，提供法定代表人(负责人)身份证明及本人身份证复印件加盖公章；授权代表参与响应时，提供企业法人授权委托书及被授权人身份证复印件加盖公章。</w:t>
      </w:r>
    </w:p>
    <w:p>
      <w:pPr>
        <w:pStyle w:val="null3"/>
      </w:pPr>
      <w:r>
        <w:rPr>
          <w:rFonts w:ascii="仿宋_GB2312" w:hAnsi="仿宋_GB2312" w:cs="仿宋_GB2312" w:eastAsia="仿宋_GB2312"/>
        </w:rPr>
        <w:t>2、信用记录：供应商未被“信用中国”网站列入失信被执行人和重大税收违法失信主体，未被中国政府采购网列入政府采购严重违法失信行为记录名单（以现场信用记录查询结果为准）。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3、控股管理关系：单位负责人为同一人或者存在控股、管理关系的不同供应商，不得同时参加本项目采购活动。</w:t>
      </w:r>
    </w:p>
    <w:p>
      <w:pPr>
        <w:pStyle w:val="null3"/>
      </w:pPr>
      <w:r>
        <w:rPr>
          <w:rFonts w:ascii="仿宋_GB2312" w:hAnsi="仿宋_GB2312" w:cs="仿宋_GB2312" w:eastAsia="仿宋_GB2312"/>
        </w:rPr>
        <w:t>4、不接受联合体磋商：供应商须提供《非联合体磋商声明》，视为独立参与磋商活动。</w:t>
      </w:r>
    </w:p>
    <w:p>
      <w:pPr>
        <w:pStyle w:val="null3"/>
      </w:pPr>
      <w:r>
        <w:rPr>
          <w:rFonts w:ascii="仿宋_GB2312" w:hAnsi="仿宋_GB2312" w:cs="仿宋_GB2312" w:eastAsia="仿宋_GB2312"/>
        </w:rPr>
        <w:t>5、不允许分包：供应商须提供《不分包磋商声明》，视为独立参与磋商活动。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陕西省西安市碑林区长安国际F座办公楼17层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薛佳平、王富敏、卫梦艺、王诺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029-85221302/18709196981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人向招标代理机构一次付清招标代理服务费。磋商代理服务费的金额以成交金额作为收费的计算基数。磋商服务费参照国家标准的66%收取（国家计委计价格[2002]1980号和国家发改委[2003]857号文件的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联系人：薛佳平、王富敏、卫梦艺、王诺</w:t>
      </w:r>
    </w:p>
    <w:p>
      <w:pPr>
        <w:pStyle w:val="null3"/>
      </w:pPr>
      <w:r>
        <w:rPr>
          <w:rFonts w:ascii="仿宋_GB2312" w:hAnsi="仿宋_GB2312" w:cs="仿宋_GB2312" w:eastAsia="仿宋_GB2312"/>
        </w:rPr>
        <w:t>联系电话：029-85221302/18709196981</w:t>
      </w:r>
    </w:p>
    <w:p>
      <w:pPr>
        <w:pStyle w:val="null3"/>
      </w:pPr>
      <w:r>
        <w:rPr>
          <w:rFonts w:ascii="仿宋_GB2312" w:hAnsi="仿宋_GB2312" w:cs="仿宋_GB2312" w:eastAsia="仿宋_GB2312"/>
        </w:rPr>
        <w:t>地址：陕西省西安市碑林区长安国际F座办公楼17层</w:t>
      </w:r>
    </w:p>
    <w:p>
      <w:pPr>
        <w:pStyle w:val="null3"/>
      </w:pPr>
      <w:r>
        <w:rPr>
          <w:rFonts w:ascii="仿宋_GB2312" w:hAnsi="仿宋_GB2312" w:cs="仿宋_GB2312" w:eastAsia="仿宋_GB2312"/>
        </w:rPr>
        <w:t>邮编：710002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省交通运输厅印发的《陕西省“十四五”农村公路建设项目省级投资激励奖补实施细则》要求，对各市交通运输局申报奖补资金的农村公路建设项目开展不少于5000公里的省级激励奖补政策帮扶指导，统筹推进农村公路建设项目内业完善、外业实施相关工作，并编制省级激励奖补项目帮扶指导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农村公路建设以奖代补省级激励奖补政策帮扶指导服务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标的名称：农村公路建设以奖代补省级激励奖补政策帮扶指导服务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一、采购需求</w:t>
            </w:r>
          </w:p>
          <w:p>
            <w:pPr>
              <w:pStyle w:val="null3"/>
              <w:jc w:val="both"/>
            </w:pPr>
            <w:r>
              <w:rPr>
                <w:rFonts w:ascii="仿宋_GB2312" w:hAnsi="仿宋_GB2312" w:cs="仿宋_GB2312" w:eastAsia="仿宋_GB2312"/>
                <w:sz w:val="20"/>
              </w:rPr>
              <w:t>根据市县通过</w:t>
            </w:r>
            <w:r>
              <w:rPr>
                <w:rFonts w:ascii="仿宋_GB2312" w:hAnsi="仿宋_GB2312" w:cs="仿宋_GB2312" w:eastAsia="仿宋_GB2312"/>
                <w:sz w:val="20"/>
              </w:rPr>
              <w:t>“以奖代补”考核支撑系统填报的2024年、2025年完工项目情况，抽取新增省道养护工程、乡镇通三级及以上公路、资源产业旅游路、县乡公路改造、30户以上较大自然村通硬化路、建制村通双车道、新增省道危桥、农村公路危桥、桥涵配套工程、村道安防工程、联网工程以及通村公路完善工程等共计</w:t>
            </w:r>
            <w:r>
              <w:rPr>
                <w:rFonts w:ascii="仿宋_GB2312" w:hAnsi="仿宋_GB2312" w:cs="仿宋_GB2312" w:eastAsia="仿宋_GB2312"/>
                <w:sz w:val="20"/>
              </w:rPr>
              <w:t>不少于</w:t>
            </w:r>
            <w:r>
              <w:rPr>
                <w:rFonts w:ascii="仿宋_GB2312" w:hAnsi="仿宋_GB2312" w:cs="仿宋_GB2312" w:eastAsia="仿宋_GB2312"/>
                <w:sz w:val="20"/>
              </w:rPr>
              <w:t>5000公里</w:t>
            </w:r>
            <w:r>
              <w:rPr>
                <w:rFonts w:ascii="仿宋_GB2312" w:hAnsi="仿宋_GB2312" w:cs="仿宋_GB2312" w:eastAsia="仿宋_GB2312"/>
                <w:sz w:val="20"/>
              </w:rPr>
              <w:t>项目进行实地核查</w:t>
            </w:r>
            <w:r>
              <w:rPr>
                <w:rFonts w:ascii="仿宋_GB2312" w:hAnsi="仿宋_GB2312" w:cs="仿宋_GB2312" w:eastAsia="仿宋_GB2312"/>
                <w:sz w:val="20"/>
              </w:rPr>
              <w:t>帮扶指导</w:t>
            </w:r>
            <w:r>
              <w:rPr>
                <w:rFonts w:ascii="仿宋_GB2312" w:hAnsi="仿宋_GB2312" w:cs="仿宋_GB2312" w:eastAsia="仿宋_GB2312"/>
                <w:sz w:val="20"/>
              </w:rPr>
              <w:t>。项目抽取原则如下：</w:t>
            </w:r>
          </w:p>
          <w:p>
            <w:pPr>
              <w:pStyle w:val="null3"/>
              <w:jc w:val="both"/>
            </w:pPr>
            <w:r>
              <w:rPr>
                <w:rFonts w:ascii="仿宋_GB2312" w:hAnsi="仿宋_GB2312" w:cs="仿宋_GB2312" w:eastAsia="仿宋_GB2312"/>
                <w:sz w:val="20"/>
              </w:rPr>
              <w:t>1.交通厅及地市反馈2024～2026年整改已完工项目，涵盖乡镇通三级及以上公路、资源产业旅游路、县乡公路改造、30户以上较大自然村通硬化路、农村公路安防工程、建制村通双车道、通村公路完善、联网工程、桥涵配套、农村公路危桥改造十类，全部进行二次帮扶指导。</w:t>
            </w:r>
          </w:p>
          <w:p>
            <w:pPr>
              <w:pStyle w:val="null3"/>
              <w:jc w:val="both"/>
            </w:pPr>
            <w:r>
              <w:rPr>
                <w:rFonts w:ascii="仿宋_GB2312" w:hAnsi="仿宋_GB2312" w:cs="仿宋_GB2312" w:eastAsia="仿宋_GB2312"/>
                <w:sz w:val="20"/>
              </w:rPr>
              <w:t>2.2026年上报已完工的乡镇通三级公路、旅游产业路、县乡公路改建（含按农村公路完善前期手续的新增省道拓宽改建项目，不含路面改造项目）、危桥改造工程（含新增省道危桥改造项目）、桥梁配套五类项目全部帮扶指导。</w:t>
            </w:r>
          </w:p>
          <w:p>
            <w:pPr>
              <w:pStyle w:val="null3"/>
              <w:jc w:val="both"/>
            </w:pPr>
            <w:r>
              <w:rPr>
                <w:rFonts w:ascii="仿宋_GB2312" w:hAnsi="仿宋_GB2312" w:cs="仿宋_GB2312" w:eastAsia="仿宋_GB2312"/>
                <w:sz w:val="20"/>
              </w:rPr>
              <w:t>3.剩余里程从自然村通硬化路、农村公路安防工程中进行抽取</w:t>
            </w:r>
            <w:r>
              <w:rPr>
                <w:rFonts w:ascii="仿宋_GB2312" w:hAnsi="仿宋_GB2312" w:cs="仿宋_GB2312" w:eastAsia="仿宋_GB2312"/>
                <w:sz w:val="20"/>
              </w:rPr>
              <w:t>开展帮扶指导，各类项目抽取率不低于</w:t>
            </w:r>
            <w:r>
              <w:rPr>
                <w:rFonts w:ascii="仿宋_GB2312" w:hAnsi="仿宋_GB2312" w:cs="仿宋_GB2312" w:eastAsia="仿宋_GB2312"/>
                <w:sz w:val="20"/>
              </w:rPr>
              <w:t>10%。</w:t>
            </w:r>
            <w:r>
              <w:br/>
            </w:r>
            <w:r>
              <w:rPr>
                <w:rFonts w:ascii="仿宋_GB2312" w:hAnsi="仿宋_GB2312" w:cs="仿宋_GB2312" w:eastAsia="仿宋_GB2312"/>
                <w:sz w:val="20"/>
              </w:rPr>
              <w:t>二、服务内容：</w:t>
            </w:r>
          </w:p>
          <w:p>
            <w:pPr>
              <w:pStyle w:val="null3"/>
              <w:jc w:val="both"/>
            </w:pPr>
            <w:r>
              <w:rPr>
                <w:rFonts w:ascii="仿宋_GB2312" w:hAnsi="仿宋_GB2312" w:cs="仿宋_GB2312" w:eastAsia="仿宋_GB2312"/>
                <w:sz w:val="20"/>
              </w:rPr>
              <w:t>（一）现场核查内容：</w:t>
            </w:r>
          </w:p>
          <w:p>
            <w:pPr>
              <w:pStyle w:val="null3"/>
              <w:jc w:val="both"/>
            </w:pPr>
            <w:r>
              <w:rPr>
                <w:rFonts w:ascii="仿宋_GB2312" w:hAnsi="仿宋_GB2312" w:cs="仿宋_GB2312" w:eastAsia="仿宋_GB2312"/>
                <w:sz w:val="20"/>
              </w:rPr>
              <w:t>1.现场核查项目是否实施完成，建设线位是否正确，项目所处位置是否属实。</w:t>
            </w:r>
          </w:p>
          <w:p>
            <w:pPr>
              <w:pStyle w:val="null3"/>
              <w:jc w:val="both"/>
            </w:pPr>
            <w:r>
              <w:rPr>
                <w:rFonts w:ascii="仿宋_GB2312" w:hAnsi="仿宋_GB2312" w:cs="仿宋_GB2312" w:eastAsia="仿宋_GB2312"/>
                <w:sz w:val="20"/>
              </w:rPr>
              <w:t>2.现场核查公路建设情况是否与省厅下达的计划文件相匹配，项目为是否为完工状态，采取仪器测量的方式核查建设项目的实施里程、路面结构形式、路基路面宽度、技术等级以及养护工程的实施方案是否与计划一致。</w:t>
            </w:r>
          </w:p>
          <w:p>
            <w:pPr>
              <w:pStyle w:val="null3"/>
              <w:jc w:val="both"/>
            </w:pPr>
            <w:r>
              <w:rPr>
                <w:rFonts w:ascii="仿宋_GB2312" w:hAnsi="仿宋_GB2312" w:cs="仿宋_GB2312" w:eastAsia="仿宋_GB2312"/>
                <w:sz w:val="20"/>
              </w:rPr>
              <w:t>3.核查桥梁项目建设情况是否与省厅下达的计划文件相匹配，项目为是否为完工状态，采取仪器测量的方式核查建设项目的桥长、桥宽、上下部结构形式、技术等级是否与计划一致。</w:t>
            </w:r>
          </w:p>
          <w:p>
            <w:pPr>
              <w:pStyle w:val="null3"/>
              <w:jc w:val="both"/>
            </w:pPr>
            <w:r>
              <w:rPr>
                <w:rFonts w:ascii="仿宋_GB2312" w:hAnsi="仿宋_GB2312" w:cs="仿宋_GB2312" w:eastAsia="仿宋_GB2312"/>
                <w:sz w:val="20"/>
              </w:rPr>
              <w:t>4.现场核查安防工程实施情况是否与省厅下达的计划文件相匹配，项目为是否为完工状态，采取仪器测量的方式核查建设项目的实施里程、实施段落、防护等级、防护形式、栏板中心高度是否与计划一致。</w:t>
            </w:r>
          </w:p>
          <w:p>
            <w:pPr>
              <w:pStyle w:val="null3"/>
              <w:jc w:val="both"/>
            </w:pPr>
            <w:r>
              <w:rPr>
                <w:rFonts w:ascii="仿宋_GB2312" w:hAnsi="仿宋_GB2312" w:cs="仿宋_GB2312" w:eastAsia="仿宋_GB2312"/>
                <w:sz w:val="20"/>
              </w:rPr>
              <w:t>（二）具体工作包含：</w:t>
            </w:r>
          </w:p>
          <w:p>
            <w:pPr>
              <w:pStyle w:val="null3"/>
              <w:jc w:val="both"/>
            </w:pPr>
            <w:r>
              <w:rPr>
                <w:rFonts w:ascii="仿宋_GB2312" w:hAnsi="仿宋_GB2312" w:cs="仿宋_GB2312" w:eastAsia="仿宋_GB2312"/>
                <w:sz w:val="20"/>
              </w:rPr>
              <w:t>根据筛选的项目表进行实地核查</w:t>
            </w:r>
            <w:r>
              <w:rPr>
                <w:rFonts w:ascii="仿宋_GB2312" w:hAnsi="仿宋_GB2312" w:cs="仿宋_GB2312" w:eastAsia="仿宋_GB2312"/>
                <w:sz w:val="20"/>
              </w:rPr>
              <w:t>,包括外业核查（资料收集、实地核查）和内业整理（资料核对、结果汇总）。现场核查做好纸质记录，同时收集各县区公路交通部门提供的项目计划文件、施工图批复及变更文件、施工合同等资料，核查完成当日，将每个县区、每个项目的基本信息、现场核查情况、特殊情况等以电子表格形式进行整理、汇总；该市核查结束后，汇总整理各县核查情况；全省核查结束后，汇总各市核查情况形成陕西省农村公路建设“以奖代补”省级激励奖补帮扶指导服务报告。在核查过程中，对宽度严重超限的裂缝、大面积的坑槽、沉陷、龟裂等病害、影响桥梁结构安全的严重病害、护栏高度不足、路侧险要未设置护栏路段等明显的外观质量问题一并进行记录，拍摄照片，内业整理时在报告中进行描述。</w:t>
            </w:r>
          </w:p>
          <w:p>
            <w:pPr>
              <w:pStyle w:val="null3"/>
              <w:jc w:val="both"/>
            </w:pPr>
            <w:r>
              <w:rPr>
                <w:rFonts w:ascii="仿宋_GB2312" w:hAnsi="仿宋_GB2312" w:cs="仿宋_GB2312" w:eastAsia="仿宋_GB2312"/>
                <w:sz w:val="20"/>
              </w:rPr>
              <w:t>四、核查依据</w:t>
            </w:r>
          </w:p>
          <w:p>
            <w:pPr>
              <w:pStyle w:val="null3"/>
              <w:jc w:val="both"/>
            </w:pPr>
            <w:r>
              <w:rPr>
                <w:rFonts w:ascii="仿宋_GB2312" w:hAnsi="仿宋_GB2312" w:cs="仿宋_GB2312" w:eastAsia="仿宋_GB2312"/>
                <w:sz w:val="20"/>
              </w:rPr>
              <w:t>（一）核查应遵循以下文件要求和技术标准：</w:t>
            </w:r>
          </w:p>
          <w:p>
            <w:pPr>
              <w:pStyle w:val="null3"/>
              <w:jc w:val="both"/>
            </w:pPr>
            <w:r>
              <w:rPr>
                <w:rFonts w:ascii="仿宋_GB2312" w:hAnsi="仿宋_GB2312" w:cs="仿宋_GB2312" w:eastAsia="仿宋_GB2312"/>
                <w:sz w:val="20"/>
              </w:rPr>
              <w:t>1.《关于开展农村公路建设“以奖代补”省级激励奖补帮扶指导的通知》;</w:t>
            </w:r>
          </w:p>
          <w:p>
            <w:pPr>
              <w:pStyle w:val="null3"/>
              <w:jc w:val="both"/>
            </w:pPr>
            <w:r>
              <w:rPr>
                <w:rFonts w:ascii="仿宋_GB2312" w:hAnsi="仿宋_GB2312" w:cs="仿宋_GB2312" w:eastAsia="仿宋_GB2312"/>
                <w:sz w:val="20"/>
              </w:rPr>
              <w:t>2.《公路工程技术标准》（JTG B01-2014）;</w:t>
            </w:r>
          </w:p>
          <w:p>
            <w:pPr>
              <w:pStyle w:val="null3"/>
              <w:jc w:val="both"/>
            </w:pPr>
            <w:r>
              <w:rPr>
                <w:rFonts w:ascii="仿宋_GB2312" w:hAnsi="仿宋_GB2312" w:cs="仿宋_GB2312" w:eastAsia="仿宋_GB2312"/>
                <w:sz w:val="20"/>
              </w:rPr>
              <w:t>3.《小交通量农村公路工程技术标准》（JTG 2111-2019）;</w:t>
            </w:r>
          </w:p>
          <w:p>
            <w:pPr>
              <w:pStyle w:val="null3"/>
              <w:jc w:val="both"/>
            </w:pPr>
            <w:r>
              <w:rPr>
                <w:rFonts w:ascii="仿宋_GB2312" w:hAnsi="仿宋_GB2312" w:cs="仿宋_GB2312" w:eastAsia="仿宋_GB2312"/>
                <w:sz w:val="20"/>
              </w:rPr>
              <w:t>4.《公路沥青路面养护技术规范》（JTG 5142-2019）;</w:t>
            </w:r>
          </w:p>
          <w:p>
            <w:pPr>
              <w:pStyle w:val="null3"/>
              <w:jc w:val="both"/>
            </w:pPr>
            <w:r>
              <w:rPr>
                <w:rFonts w:ascii="仿宋_GB2312" w:hAnsi="仿宋_GB2312" w:cs="仿宋_GB2312" w:eastAsia="仿宋_GB2312"/>
                <w:sz w:val="20"/>
              </w:rPr>
              <w:t>5.《公路技术状况评定标准》（JTG 5210-2018）;</w:t>
            </w:r>
          </w:p>
          <w:p>
            <w:pPr>
              <w:pStyle w:val="null3"/>
              <w:jc w:val="both"/>
            </w:pPr>
            <w:r>
              <w:rPr>
                <w:rFonts w:ascii="仿宋_GB2312" w:hAnsi="仿宋_GB2312" w:cs="仿宋_GB2312" w:eastAsia="仿宋_GB2312"/>
                <w:sz w:val="20"/>
              </w:rPr>
              <w:t>6.《公路桥梁技术状况评定标准》（JTG/T H21-2017）;</w:t>
            </w:r>
          </w:p>
          <w:p>
            <w:pPr>
              <w:pStyle w:val="null3"/>
              <w:jc w:val="both"/>
            </w:pPr>
            <w:r>
              <w:rPr>
                <w:rFonts w:ascii="仿宋_GB2312" w:hAnsi="仿宋_GB2312" w:cs="仿宋_GB2312" w:eastAsia="仿宋_GB2312"/>
                <w:sz w:val="20"/>
              </w:rPr>
              <w:t>7.《公路交通安全设施设计规范》（JTG D81-2017）;</w:t>
            </w:r>
          </w:p>
          <w:p>
            <w:pPr>
              <w:pStyle w:val="null3"/>
              <w:jc w:val="both"/>
            </w:pPr>
            <w:r>
              <w:rPr>
                <w:rFonts w:ascii="仿宋_GB2312" w:hAnsi="仿宋_GB2312" w:cs="仿宋_GB2312" w:eastAsia="仿宋_GB2312"/>
                <w:sz w:val="20"/>
              </w:rPr>
              <w:t>8.《公路交通安全设施设计细则》（JTG/T D81-2017);</w:t>
            </w:r>
          </w:p>
          <w:p>
            <w:pPr>
              <w:pStyle w:val="null3"/>
              <w:jc w:val="both"/>
            </w:pPr>
            <w:r>
              <w:rPr>
                <w:rFonts w:ascii="仿宋_GB2312" w:hAnsi="仿宋_GB2312" w:cs="仿宋_GB2312" w:eastAsia="仿宋_GB2312"/>
                <w:sz w:val="20"/>
              </w:rPr>
              <w:t>9.《公路工程质量检验评定标准》（JTG/F80-1-2017）。</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核查帮扶人员</w:t>
            </w:r>
            <w:r>
              <w:rPr>
                <w:rFonts w:ascii="仿宋_GB2312" w:hAnsi="仿宋_GB2312" w:cs="仿宋_GB2312" w:eastAsia="仿宋_GB2312"/>
                <w:sz w:val="20"/>
              </w:rPr>
              <w:t>及设备软硬件配备：</w:t>
            </w:r>
          </w:p>
          <w:p>
            <w:pPr>
              <w:pStyle w:val="null3"/>
              <w:jc w:val="both"/>
            </w:pPr>
            <w:r>
              <w:rPr>
                <w:rFonts w:ascii="仿宋_GB2312" w:hAnsi="仿宋_GB2312" w:cs="仿宋_GB2312" w:eastAsia="仿宋_GB2312"/>
                <w:sz w:val="20"/>
              </w:rPr>
              <w:t>核查帮扶人员</w:t>
            </w:r>
            <w:r>
              <w:rPr>
                <w:rFonts w:ascii="仿宋_GB2312" w:hAnsi="仿宋_GB2312" w:cs="仿宋_GB2312" w:eastAsia="仿宋_GB2312"/>
                <w:sz w:val="20"/>
              </w:rPr>
              <w:t>及设备由乙方自行组织安排，核查所需的专业技术人员（具备公路、桥涵、隧道等相关专业知识）、车辆（应满足公路实地核查需要）、笔记本电脑、视频记录设备、测量设备（滚轮尺、红外测距仪等）。内置路线轨迹的电子地图等。</w:t>
            </w:r>
          </w:p>
          <w:p>
            <w:pPr>
              <w:pStyle w:val="null3"/>
              <w:jc w:val="both"/>
            </w:pPr>
            <w:r>
              <w:rPr>
                <w:rFonts w:ascii="仿宋_GB2312" w:hAnsi="仿宋_GB2312" w:cs="仿宋_GB2312" w:eastAsia="仿宋_GB2312"/>
                <w:sz w:val="20"/>
              </w:rPr>
              <w:t>五、工作标准</w:t>
            </w:r>
          </w:p>
          <w:p>
            <w:pPr>
              <w:pStyle w:val="null3"/>
              <w:jc w:val="both"/>
            </w:pPr>
            <w:r>
              <w:rPr>
                <w:rFonts w:ascii="仿宋_GB2312" w:hAnsi="仿宋_GB2312" w:cs="仿宋_GB2312" w:eastAsia="仿宋_GB2312"/>
                <w:sz w:val="20"/>
              </w:rPr>
              <w:t>1.各项目现场核查时应在项目起点、项目终点、路基路面宽度变化处、路面结构形式变化处、桥隧构造物及其他有必要记录的位置拍摄照片，每处照片拍摄至少1张。</w:t>
            </w:r>
          </w:p>
          <w:p>
            <w:pPr>
              <w:pStyle w:val="null3"/>
              <w:jc w:val="both"/>
            </w:pPr>
            <w:r>
              <w:rPr>
                <w:rFonts w:ascii="仿宋_GB2312" w:hAnsi="仿宋_GB2312" w:cs="仿宋_GB2312" w:eastAsia="仿宋_GB2312"/>
                <w:sz w:val="20"/>
              </w:rPr>
              <w:t>2.各项目现场核查时应采用测距仪、卷尺等测量器材对实际尺寸进行现场测量，比对计划及施工图批复中的相关尺寸，对存在差异的情况进行记录。</w:t>
            </w:r>
          </w:p>
          <w:p>
            <w:pPr>
              <w:pStyle w:val="null3"/>
              <w:jc w:val="both"/>
            </w:pPr>
            <w:r>
              <w:rPr>
                <w:rFonts w:ascii="仿宋_GB2312" w:hAnsi="仿宋_GB2312" w:cs="仿宋_GB2312" w:eastAsia="仿宋_GB2312"/>
                <w:sz w:val="20"/>
              </w:rPr>
              <w:t>3.公路项目应现场填写《公路项目核查记录表》记录公路批复文件及现场实际的起点桩号、终点桩号、里程、技术等级、路基路面宽度、路面结构形式、完工状况、备注等内容。</w:t>
            </w:r>
          </w:p>
          <w:p>
            <w:pPr>
              <w:pStyle w:val="null3"/>
              <w:jc w:val="both"/>
            </w:pPr>
            <w:r>
              <w:rPr>
                <w:rFonts w:ascii="仿宋_GB2312" w:hAnsi="仿宋_GB2312" w:cs="仿宋_GB2312" w:eastAsia="仿宋_GB2312"/>
                <w:sz w:val="20"/>
              </w:rPr>
              <w:t>4.公路项目测量时应采取多点测量的方式进行全方位核查，在项目起点、项目终点、路基路面宽度变化处及其他有必要测量的位置对宽度进行测量，原则上平均每公里大于等于2处，对存在差异的测点桩号及测量数据进行记录。</w:t>
            </w:r>
          </w:p>
          <w:p>
            <w:pPr>
              <w:pStyle w:val="null3"/>
              <w:jc w:val="both"/>
            </w:pPr>
            <w:r>
              <w:rPr>
                <w:rFonts w:ascii="仿宋_GB2312" w:hAnsi="仿宋_GB2312" w:cs="仿宋_GB2312" w:eastAsia="仿宋_GB2312"/>
                <w:sz w:val="20"/>
              </w:rPr>
              <w:t>5.公路项目对于存在的大面积严重病害，如重度龟裂、大段的沉陷、水泥路面破碎板等问题进行现场拍照记录，照片及记录成果汇总至核查报告中。</w:t>
            </w:r>
          </w:p>
          <w:p>
            <w:pPr>
              <w:pStyle w:val="null3"/>
              <w:jc w:val="both"/>
            </w:pPr>
            <w:r>
              <w:rPr>
                <w:rFonts w:ascii="仿宋_GB2312" w:hAnsi="仿宋_GB2312" w:cs="仿宋_GB2312" w:eastAsia="仿宋_GB2312"/>
                <w:sz w:val="20"/>
              </w:rPr>
              <w:t>6.桥梁项目应现场填写《桥梁项目核查记录表》记录桥梁批复文件及现场实际的桥长、桥宽、上部结构形式、下部结构形式、完工状况、备注等内容。</w:t>
            </w:r>
          </w:p>
          <w:p>
            <w:pPr>
              <w:pStyle w:val="null3"/>
              <w:jc w:val="both"/>
            </w:pPr>
            <w:r>
              <w:rPr>
                <w:rFonts w:ascii="仿宋_GB2312" w:hAnsi="仿宋_GB2312" w:cs="仿宋_GB2312" w:eastAsia="仿宋_GB2312"/>
                <w:sz w:val="20"/>
              </w:rPr>
              <w:t>7.桥梁项目应拍摄桥梁正面照片及立面照片，每种照片拍摄至少1张，桥梁正面照片应反映护栏与路面全貌，立面照片应反映桥梁全貌及两侧防护情况。</w:t>
            </w:r>
          </w:p>
          <w:p>
            <w:pPr>
              <w:pStyle w:val="null3"/>
              <w:jc w:val="both"/>
            </w:pPr>
            <w:r>
              <w:rPr>
                <w:rFonts w:ascii="仿宋_GB2312" w:hAnsi="仿宋_GB2312" w:cs="仿宋_GB2312" w:eastAsia="仿宋_GB2312"/>
                <w:sz w:val="20"/>
              </w:rPr>
              <w:t>8.桥梁项目测量时应采取多点测量的方式进行全方位核查，在桥梁起点、桥梁终点、桥梁中心、伸缩缝及其他有必要测量的位置对宽度进行测量，对存在差异的测点桩号及测量数据进行记录。</w:t>
            </w:r>
          </w:p>
          <w:p>
            <w:pPr>
              <w:pStyle w:val="null3"/>
              <w:jc w:val="both"/>
            </w:pPr>
            <w:r>
              <w:rPr>
                <w:rFonts w:ascii="仿宋_GB2312" w:hAnsi="仿宋_GB2312" w:cs="仿宋_GB2312" w:eastAsia="仿宋_GB2312"/>
                <w:sz w:val="20"/>
              </w:rPr>
              <w:t>9.桥梁项目对于存在影响桥梁结构安全的严重病害，如宽度严重超限的裂缝、失去伸缩功能的伸缩缝、桩基严重冲刷外露等问题进行现场拍照记录，照片及记录成果汇总至核查报告中。</w:t>
            </w:r>
          </w:p>
          <w:p>
            <w:pPr>
              <w:pStyle w:val="null3"/>
              <w:jc w:val="both"/>
            </w:pPr>
            <w:r>
              <w:rPr>
                <w:rFonts w:ascii="仿宋_GB2312" w:hAnsi="仿宋_GB2312" w:cs="仿宋_GB2312" w:eastAsia="仿宋_GB2312"/>
                <w:sz w:val="20"/>
              </w:rPr>
              <w:t>10.安防项目应现场填写《安防项目核查记录表》记录安防批复文件及现场实际的实施段落起点桩号、实施段落终点桩号、实施里程、防护等级、防护形式、栏板中心高度、完工状况、备注等内容。</w:t>
            </w:r>
          </w:p>
          <w:p>
            <w:pPr>
              <w:pStyle w:val="null3"/>
              <w:jc w:val="both"/>
            </w:pPr>
            <w:r>
              <w:rPr>
                <w:rFonts w:ascii="仿宋_GB2312" w:hAnsi="仿宋_GB2312" w:cs="仿宋_GB2312" w:eastAsia="仿宋_GB2312"/>
                <w:sz w:val="20"/>
              </w:rPr>
              <w:t>11.安防项目测量时应采取多点测量的方式进行全方位核查，在项目各段对栏板中心及护栏长度高度进行测量，原则上每段均应进行测量且平均每公里大于等于3处，对存在差异的测点桩号及测量数据进行记录。</w:t>
            </w:r>
          </w:p>
          <w:p>
            <w:pPr>
              <w:pStyle w:val="null3"/>
              <w:jc w:val="both"/>
            </w:pPr>
            <w:r>
              <w:rPr>
                <w:rFonts w:ascii="仿宋_GB2312" w:hAnsi="仿宋_GB2312" w:cs="仿宋_GB2312" w:eastAsia="仿宋_GB2312"/>
                <w:sz w:val="20"/>
              </w:rPr>
              <w:t>12.安防项目对于存在影响行车安全的严重病害，如护栏外倾、基础掏空、失稳等问题进行现场拍照记录，照片及记录成果汇总至核查报告中。</w:t>
            </w:r>
          </w:p>
          <w:p>
            <w:pPr>
              <w:pStyle w:val="null3"/>
              <w:jc w:val="both"/>
            </w:pPr>
            <w:r>
              <w:rPr>
                <w:rFonts w:ascii="仿宋_GB2312" w:hAnsi="仿宋_GB2312" w:cs="仿宋_GB2312" w:eastAsia="仿宋_GB2312"/>
                <w:sz w:val="20"/>
              </w:rPr>
              <w:t>六、安全、保畅措施</w:t>
            </w:r>
          </w:p>
          <w:p>
            <w:pPr>
              <w:pStyle w:val="null3"/>
              <w:jc w:val="both"/>
            </w:pPr>
            <w:r>
              <w:rPr>
                <w:rFonts w:ascii="仿宋_GB2312" w:hAnsi="仿宋_GB2312" w:cs="仿宋_GB2312" w:eastAsia="仿宋_GB2312"/>
                <w:sz w:val="20"/>
              </w:rPr>
              <w:t>（一）安全措施</w:t>
            </w:r>
          </w:p>
          <w:p>
            <w:pPr>
              <w:pStyle w:val="null3"/>
              <w:jc w:val="both"/>
            </w:pPr>
            <w:r>
              <w:rPr>
                <w:rFonts w:ascii="仿宋_GB2312" w:hAnsi="仿宋_GB2312" w:cs="仿宋_GB2312" w:eastAsia="仿宋_GB2312"/>
                <w:sz w:val="20"/>
              </w:rPr>
              <w:t>1.现场核查外业工作时要求核查人员穿戴反光背心，在核查路段提前设置警示、警告标志，确保通行车辆能提前减速观察，保证核查人员安全。</w:t>
            </w:r>
          </w:p>
          <w:p>
            <w:pPr>
              <w:pStyle w:val="null3"/>
              <w:jc w:val="both"/>
            </w:pPr>
            <w:r>
              <w:rPr>
                <w:rFonts w:ascii="仿宋_GB2312" w:hAnsi="仿宋_GB2312" w:cs="仿宋_GB2312" w:eastAsia="仿宋_GB2312"/>
                <w:sz w:val="20"/>
              </w:rPr>
              <w:t>2.对特殊不良地质、地段进行现场核查时，做好安全防护措施，必要时设置专职安全观察员，对不良地质、地段发生灾害时提前预警，保证人员及其他财产安全。</w:t>
            </w:r>
          </w:p>
          <w:p>
            <w:pPr>
              <w:pStyle w:val="null3"/>
              <w:jc w:val="both"/>
            </w:pPr>
            <w:r>
              <w:rPr>
                <w:rFonts w:ascii="仿宋_GB2312" w:hAnsi="仿宋_GB2312" w:cs="仿宋_GB2312" w:eastAsia="仿宋_GB2312"/>
                <w:sz w:val="20"/>
              </w:rPr>
              <w:t>（二）保畅措施</w:t>
            </w:r>
          </w:p>
          <w:p>
            <w:pPr>
              <w:pStyle w:val="null3"/>
              <w:jc w:val="both"/>
            </w:pPr>
            <w:r>
              <w:rPr>
                <w:rFonts w:ascii="仿宋_GB2312" w:hAnsi="仿宋_GB2312" w:cs="仿宋_GB2312" w:eastAsia="仿宋_GB2312"/>
                <w:sz w:val="20"/>
              </w:rPr>
              <w:t>1.现场核查期间，做好组织工作，积极与当地交管部门密切联系，必要时实施交通管制，设置临时交通疏导标志标牌，疏导车辆；避开交通高峰现场核查等措施，保证道路通畅。</w:t>
            </w:r>
          </w:p>
          <w:p>
            <w:pPr>
              <w:pStyle w:val="null3"/>
              <w:jc w:val="both"/>
            </w:pPr>
            <w:r>
              <w:rPr>
                <w:rFonts w:ascii="仿宋_GB2312" w:hAnsi="仿宋_GB2312" w:cs="仿宋_GB2312" w:eastAsia="仿宋_GB2312"/>
                <w:sz w:val="20"/>
              </w:rPr>
              <w:t>2.沿线学校场镇等地段作为现场核查地段交通管制的重点，在核查期间做好交通维护，安排专人进行交通指挥，尽量避开上下学等人流量大的时段，尽量减少现场核查工作对居民生活的影响。</w:t>
            </w:r>
          </w:p>
          <w:p>
            <w:pPr>
              <w:pStyle w:val="null3"/>
              <w:jc w:val="both"/>
            </w:pPr>
            <w:r>
              <w:rPr>
                <w:rFonts w:ascii="仿宋_GB2312" w:hAnsi="仿宋_GB2312" w:cs="仿宋_GB2312" w:eastAsia="仿宋_GB2312"/>
                <w:sz w:val="20"/>
              </w:rPr>
              <w:t>七、提交成果</w:t>
            </w:r>
          </w:p>
          <w:p>
            <w:pPr>
              <w:pStyle w:val="null3"/>
              <w:jc w:val="both"/>
            </w:pPr>
            <w:r>
              <w:rPr>
                <w:rFonts w:ascii="仿宋_GB2312" w:hAnsi="仿宋_GB2312" w:cs="仿宋_GB2312" w:eastAsia="仿宋_GB2312"/>
                <w:sz w:val="20"/>
              </w:rPr>
              <w:t>以核查报告的形式提交，具体包含以下内容：</w:t>
            </w:r>
          </w:p>
          <w:p>
            <w:pPr>
              <w:pStyle w:val="null3"/>
              <w:jc w:val="both"/>
            </w:pPr>
            <w:r>
              <w:rPr>
                <w:rFonts w:ascii="仿宋_GB2312" w:hAnsi="仿宋_GB2312" w:cs="仿宋_GB2312" w:eastAsia="仿宋_GB2312"/>
                <w:sz w:val="20"/>
              </w:rPr>
              <w:t>1.项目总体概况，包括应核查项目的个数、里程，核查项目的数量、里程抽查率，总体完成情况，完工率等信息汇总。</w:t>
            </w:r>
          </w:p>
          <w:p>
            <w:pPr>
              <w:pStyle w:val="null3"/>
              <w:jc w:val="both"/>
            </w:pPr>
            <w:r>
              <w:rPr>
                <w:rFonts w:ascii="仿宋_GB2312" w:hAnsi="仿宋_GB2312" w:cs="仿宋_GB2312" w:eastAsia="仿宋_GB2312"/>
                <w:sz w:val="20"/>
              </w:rPr>
              <w:t>2.按地市对核查情况进行汇总，该地市应核查项目的个数、里程，实际核查的项目数、里程抽查率，总体完成情况，完工率、实施里程与计划或施工图文件批复不一致等信息汇总，并将项目完成情况说明、未完工原因、代表性照片等内容附于报告中。</w:t>
            </w:r>
          </w:p>
          <w:p>
            <w:pPr>
              <w:pStyle w:val="null3"/>
            </w:pPr>
            <w:r>
              <w:rPr>
                <w:rFonts w:ascii="仿宋_GB2312" w:hAnsi="仿宋_GB2312" w:cs="仿宋_GB2312" w:eastAsia="仿宋_GB2312"/>
                <w:sz w:val="20"/>
              </w:rPr>
              <w:t>3.附件应包含各项目的施工图批复及变更文件、建设方与施工方签订的施工合同、建设方出具未完工情况说明正式文件等资料。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提交的报告客观准确，完整，无漏项。按照政府采购合同规定的技术、服务、安全标准等，以及我省公路养护管理相关规定。并严格依照招标内容及采购合同及相关验收规范进行核对、验收，形成验收结论。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合同签订前，乙方须向甲方缴纳合同总金额5%的履约保证金，履约保证金待乙方履行完毕全部合同义务，并经甲方履约验收合格，无任何纠纷后无息退还。合同签订后，甲方收到履约保证金及增值税普通发票后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乙方编制完成省级激励奖补项目指导帮扶报告，并经甲方确认合格后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4.乙方逾期完成服务的，每逾期一日，向甲方承担合同总金额0.3%的违约金，逾期 30 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5.乙方应保证其提交的服务成果不存在侵犯他人权益的情形，否则，因此引发的责任及纠纷由乙方承担，对甲方造成损失的，乙方应予以赔偿，此外，乙方还应向甲方承担合同总金额 20 %的违约金。 6.乙方应对其服务及服务成果的合法性、科学性、有效性、客观性、真实性负责，否则，相关责任及纠纷由乙方承担，对甲方造成损失的，乙方应予赔偿，此外，乙方还应向甲方承担合同总金额10%的违约金。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10.在执行本合同中发生的或与本合同有关的争端，双方应通过友好协商解决，经协商无法解决的，应向甲方所在地有管辖权的人民法院提请诉讼。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1.甲方付款前，乙方应开具符合要求的发票，否则甲方有权拒绝付款且不承担迟延支付的违约责任的内容。 2.为顺利推进政府采购电子化交易平台试点应用工作，供应商需要在线提交所有通过电子化交易平台实施的政府采购项目的响应文件，同时，在开标截止时间后需线下提交纸质响应文件3份，纸质响应文件需胶装。递交地址：陕西省西安市碑林区南关正街长安国际F座17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并按照资格证明文件中的格式提供承诺书。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提供2024或2025年度经审计财务会计报告（成立时间至提交响应文件截止时间不足一年的可提供成立后任意时段的资产负债表），或提交自磋商响应截止之日前3个月内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法定代表人(负责人)参与投标时，提供法定代表人(负责人)身份证明及本人身份证复印件加盖公章；授权代表参与响应时，提供企业法人授权委托书及被授权人身份证复印件加盖公章。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供应商须提供《非联合体磋商声明》，视为独立参与磋商活动。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不允许分包</w:t>
            </w:r>
          </w:p>
        </w:tc>
        <w:tc>
          <w:tcPr>
            <w:tcW w:type="dxa" w:w="3322"/>
          </w:tcPr>
          <w:p>
            <w:pPr>
              <w:pStyle w:val="null3"/>
            </w:pPr>
            <w:r>
              <w:rPr>
                <w:rFonts w:ascii="仿宋_GB2312" w:hAnsi="仿宋_GB2312" w:cs="仿宋_GB2312" w:eastAsia="仿宋_GB2312"/>
              </w:rPr>
              <w:t>供应商须提供《不分包磋商声明》，视为独立参与磋商活动。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45%或者低于其他有效供应商报价算术平均价50%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项目理解与总体思路</w:t>
            </w:r>
          </w:p>
        </w:tc>
        <w:tc>
          <w:tcPr>
            <w:tcW w:type="dxa" w:w="2492"/>
          </w:tcPr>
          <w:p>
            <w:pPr>
              <w:pStyle w:val="null3"/>
            </w:pPr>
            <w:r>
              <w:rPr>
                <w:rFonts w:ascii="仿宋_GB2312" w:hAnsi="仿宋_GB2312" w:cs="仿宋_GB2312" w:eastAsia="仿宋_GB2312"/>
              </w:rPr>
              <w:t>一、评审内容 针对本项目理解与总体思路，内容包括：①项目理解②总体思路。 二、评审标准 1.完整性:内容须全面，对评审内容中的各项要求有详细描述及说明; 2.可实施性:切合本项目实际情况，实施步骤清晰、合理; 3.针对性:内容能够紧扣项目实际情况，内容科学合理。 三、赋分标准(满分12分) 1.项目理解:每完全满足一个评审标准得2分；内容描述简单、每基本满足一个评审标准得1分；满分6分; 2.总体思路:每完全满足一个评审标准得2分；内容描述简单、每基本满足一个评审标准得1分；满分6分;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实施方法与专业帮扶措施</w:t>
            </w:r>
          </w:p>
        </w:tc>
        <w:tc>
          <w:tcPr>
            <w:tcW w:type="dxa" w:w="2492"/>
          </w:tcPr>
          <w:p>
            <w:pPr>
              <w:pStyle w:val="null3"/>
            </w:pPr>
            <w:r>
              <w:rPr>
                <w:rFonts w:ascii="仿宋_GB2312" w:hAnsi="仿宋_GB2312" w:cs="仿宋_GB2312" w:eastAsia="仿宋_GB2312"/>
              </w:rPr>
              <w:t>一、评审内容 针对本项目实施方法与专业帮扶措施，内容包括：①农村公路奖补项目核查与筛选方法②内业资料完善帮扶指导措施③外业实施现场指导与核查方案④数据统计、分析与成果归集管理⑤激励奖补帮扶指导报告编制方案。 二、评审标准 1.完整性:方案须全面，对评审内容中的各项要求有详细描述及说明; 2.可实施性:切合本项目实际情况，实施步骤清晰、合理; 3.针对性:方案能够紧扣项目实际情况，内容科学合理。 三、赋分标准(满分15分) 1.农村公路奖补项目核查与筛选方法:每完全满足一个评审标准得1分；内容描述简单、每基本满足一个评审标准得0.5分；满分3分; 2.内业资料完善帮扶指导措施:每完全满足一个评审标准得1分；内容描述简单、每基本满足一个评审标准得0.5分；满分3分; 3.外业实施现场指导与核查方案:每完全满足一个评审标准得1分；内容描述简单、每基本满足一个评审标准得0.5分；满分3分; 4.数据统计、分析与成果归集管理:每完全满足一个评审标准得1分；内容描述简单、每基本满足一个评审标准得0.5分；满分3分; 5.激励奖补帮扶指导报告编制方案:每完全满足一个评审标准得1分；内容描述简单、每基本满足一个评审标准得0.5分；满分3分;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质量管控、进度保障、痕迹管理与内部保障体系</w:t>
            </w:r>
          </w:p>
        </w:tc>
        <w:tc>
          <w:tcPr>
            <w:tcW w:type="dxa" w:w="2492"/>
          </w:tcPr>
          <w:p>
            <w:pPr>
              <w:pStyle w:val="null3"/>
            </w:pPr>
            <w:r>
              <w:rPr>
                <w:rFonts w:ascii="仿宋_GB2312" w:hAnsi="仿宋_GB2312" w:cs="仿宋_GB2312" w:eastAsia="仿宋_GB2312"/>
              </w:rPr>
              <w:t>一、评审内容 针对本项目质量管控、进度保障、痕迹管理与内部保障体系，内容包括：①质量管控②进度保障③痕迹管理④内部保障体系。 二、评审标准 1.完整性:内容须全面，对评审内容中的各项要求有详细描述及说明; 2.可实施性:切合本项目实际情况，实施步骤清晰、合理; 3.针对性:内容能够紧扣项目实际情况，内容科学合理。 三、赋分标准(满分12分) 1.质量管控:每完全满足一个评审标准得1分；内容描述简单、每基本满足一个评审标准得0.5分；满分3分; 2.进度保障:每完全满足一个评审标准得1分；内容描述简单、每基本满足一个评审标准得0.5分；满分3分; 3.痕迹管理:每完全满足一个评审标准得1分；内容描述简单、每基本满足一个评审标准得0.5分；满分3分; 4.内部保障体系:每完全满足一个评审标准得1分；内容描述简单、每基本满足一个评审标准得0.5分；满分3分;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针对本项目的服务承诺，内容主要包括：①应急方案②后期服务的保障措施。 二、评审标准 1.完整性:承诺须全面，对评审内容中的各项要求有详细描述及说明; 2.可实施性:切合本项目实际情况，实施步骤清晰、合理; 3.针对性:承诺能够紧扣项目实际情况，内容科学合理。 三、赋分标准(满分6分) 1.应急方案:每完全满足一个评审标准得1分；内容描述简单、每基本满足一个评审标准得0.5分；满分3分; 2.后期服务的保障措施:每完全满足一个评审标准得1分；内容描述简单、每基本满足一个评审标准得0.5分；满分3分;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拟投入本项目的人员</w:t>
            </w:r>
          </w:p>
        </w:tc>
        <w:tc>
          <w:tcPr>
            <w:tcW w:type="dxa" w:w="2492"/>
          </w:tcPr>
          <w:p>
            <w:pPr>
              <w:pStyle w:val="null3"/>
            </w:pPr>
            <w:r>
              <w:rPr>
                <w:rFonts w:ascii="仿宋_GB2312" w:hAnsi="仿宋_GB2312" w:cs="仿宋_GB2312" w:eastAsia="仿宋_GB2312"/>
              </w:rPr>
              <w:t>1.项目项目负责人: （1）具有公路工程相关专业高级及以上职称，得3分；具有公路工程专业相关专业中级职称，得2分； （2）2023年1月1日至响应文件递交截止前，累计承担过3000公里类似项目管理经历，得6分，不满足以上要求不得分； 每增加300公里加1分，最多加6分。 赋分依据:1.提供项目负责人相对应的资格证书复印件及身份证、社保缴纳证明（2025年10月1日至响应文件提交截止之日前任意连续3个月的缴费证明）材料复印件并加盖供应商公章为计分依据，未提供或缺漏项则本项不得分。2.须提供完整合同复印件及证明材料（包括但不限于成果文件、验收证明、合同等）需体现拟投入项目负责人姓名，并加盖供应商公章，否则不得分。 2.其他项目人员: 具有公路工程相关专业中级及以上职称，每提供一个得1分，满分5分。 赋分依据:提供其他项目人员相对应的资格证书复印件及身份证、社保缴纳证明（2025年10月1日至响应文件提交截止之日前任意连续3个月的缴费证明）材料复印件并加盖供应商公章为计分依据，未提供或缺漏项则本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2023年1月1日至响应文件递交截止前，累计完成3000公里类似业绩，得10分，不满足不得分；每增加300公里加1分，最多加10分；。 赋分依据：须提供完整合同业绩及对应发票复印件(发票可提供服务期业绩内任意一张)，并加盖供应商公章，以上两种证明材料同时提供方可得分，否则不得分。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足磋商文件要求且最终报价最低的供应商的价格为磋商基准价，其价格分为满分。其他供应商的价格分统一按照下列公式计算：磋商报价得分=（磋商基准价/最终磋商报价）×15。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详见附件：供应商需要说明的其他内容.docx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