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1E3C8F">
      <w:pPr>
        <w:pStyle w:val="12"/>
        <w:spacing w:line="360" w:lineRule="auto"/>
        <w:rPr>
          <w:rFonts w:hint="eastAsia"/>
          <w:color w:val="auto"/>
          <w:highlight w:val="none"/>
          <w:lang w:val="en-US" w:eastAsia="zh-Hans"/>
        </w:rPr>
      </w:pPr>
    </w:p>
    <w:p w14:paraId="12656B7F">
      <w:pPr>
        <w:spacing w:before="120" w:line="360" w:lineRule="auto"/>
        <w:jc w:val="center"/>
        <w:outlineLvl w:val="0"/>
        <w:rPr>
          <w:rFonts w:hint="eastAsia" w:ascii="宋体" w:hAnsi="宋体" w:eastAsia="宋体" w:cs="宋体"/>
          <w:b/>
          <w:bCs/>
          <w:color w:val="auto"/>
          <w:sz w:val="36"/>
          <w:szCs w:val="36"/>
          <w:highlight w:val="none"/>
        </w:rPr>
      </w:pPr>
      <w:bookmarkStart w:id="0" w:name="_Toc4518"/>
      <w:bookmarkStart w:id="1" w:name="_Toc7783"/>
    </w:p>
    <w:p w14:paraId="3A27C3F9">
      <w:pPr>
        <w:spacing w:before="120" w:line="360" w:lineRule="auto"/>
        <w:jc w:val="both"/>
        <w:outlineLvl w:val="0"/>
        <w:rPr>
          <w:rFonts w:hint="eastAsia" w:ascii="宋体" w:hAnsi="宋体" w:eastAsia="宋体" w:cs="宋体"/>
          <w:b/>
          <w:bCs/>
          <w:color w:val="auto"/>
          <w:sz w:val="36"/>
          <w:szCs w:val="36"/>
          <w:highlight w:val="none"/>
        </w:rPr>
      </w:pPr>
    </w:p>
    <w:p w14:paraId="6B459298">
      <w:pPr>
        <w:spacing w:before="120" w:line="360" w:lineRule="auto"/>
        <w:jc w:val="center"/>
        <w:outlineLvl w:val="0"/>
        <w:rPr>
          <w:rFonts w:hint="eastAsia" w:ascii="宋体" w:hAnsi="宋体" w:eastAsia="宋体" w:cs="宋体"/>
          <w:b/>
          <w:bCs/>
          <w:color w:val="auto"/>
          <w:sz w:val="36"/>
          <w:szCs w:val="36"/>
          <w:highlight w:val="none"/>
        </w:rPr>
      </w:pPr>
    </w:p>
    <w:p w14:paraId="74C8C67D">
      <w:pPr>
        <w:spacing w:before="120" w:line="360" w:lineRule="auto"/>
        <w:jc w:val="center"/>
        <w:outlineLvl w:val="0"/>
        <w:rPr>
          <w:rFonts w:hint="eastAsia" w:ascii="宋体" w:hAnsi="宋体" w:eastAsia="宋体" w:cs="宋体"/>
          <w:b/>
          <w:bCs/>
          <w:color w:val="auto"/>
          <w:sz w:val="48"/>
          <w:szCs w:val="48"/>
          <w:highlight w:val="none"/>
        </w:rPr>
      </w:pPr>
      <w:r>
        <w:rPr>
          <w:rFonts w:hint="eastAsia" w:ascii="宋体" w:hAnsi="宋体" w:eastAsia="宋体" w:cs="宋体"/>
          <w:b/>
          <w:bCs/>
          <w:color w:val="auto"/>
          <w:sz w:val="48"/>
          <w:szCs w:val="48"/>
          <w:highlight w:val="none"/>
        </w:rPr>
        <w:t>政 府 采 购 合 同</w:t>
      </w:r>
      <w:bookmarkEnd w:id="0"/>
      <w:bookmarkEnd w:id="1"/>
    </w:p>
    <w:p w14:paraId="330824B1">
      <w:pPr>
        <w:spacing w:before="120" w:line="360" w:lineRule="auto"/>
        <w:jc w:val="center"/>
        <w:rPr>
          <w:rFonts w:hint="eastAsia" w:ascii="宋体" w:hAnsi="宋体" w:eastAsia="宋体" w:cs="宋体"/>
          <w:color w:val="auto"/>
          <w:sz w:val="28"/>
          <w:szCs w:val="28"/>
          <w:highlight w:val="none"/>
          <w:lang w:eastAsia="zh-CN"/>
        </w:rPr>
      </w:pPr>
      <w:r>
        <w:rPr>
          <w:rFonts w:hint="eastAsia" w:cs="宋体"/>
          <w:color w:val="auto"/>
          <w:sz w:val="28"/>
          <w:szCs w:val="28"/>
          <w:highlight w:val="none"/>
          <w:lang w:eastAsia="zh-CN"/>
        </w:rPr>
        <w:t>（参考文本）</w:t>
      </w:r>
    </w:p>
    <w:p w14:paraId="512B5506">
      <w:pPr>
        <w:spacing w:before="120" w:line="360" w:lineRule="auto"/>
        <w:ind w:firstLine="3064" w:firstLineChars="1090"/>
        <w:outlineLvl w:val="0"/>
        <w:rPr>
          <w:rFonts w:hint="eastAsia" w:ascii="宋体" w:hAnsi="宋体" w:eastAsia="宋体" w:cs="宋体"/>
          <w:color w:val="auto"/>
          <w:sz w:val="28"/>
          <w:szCs w:val="28"/>
          <w:highlight w:val="none"/>
        </w:rPr>
      </w:pPr>
      <w:bookmarkStart w:id="2" w:name="_Toc109542396"/>
      <w:bookmarkStart w:id="3" w:name="_Toc9576"/>
      <w:bookmarkStart w:id="4" w:name="_Toc109543216"/>
      <w:bookmarkStart w:id="5" w:name="_Toc10857"/>
      <w:r>
        <w:rPr>
          <w:rFonts w:hint="eastAsia" w:ascii="宋体" w:hAnsi="宋体" w:eastAsia="宋体" w:cs="宋体"/>
          <w:b/>
          <w:bCs/>
          <w:color w:val="auto"/>
          <w:sz w:val="28"/>
          <w:szCs w:val="28"/>
          <w:highlight w:val="none"/>
        </w:rPr>
        <w:t>合同编号：</w:t>
      </w:r>
      <w:bookmarkEnd w:id="2"/>
      <w:bookmarkEnd w:id="3"/>
      <w:bookmarkEnd w:id="4"/>
      <w:bookmarkEnd w:id="5"/>
      <w:r>
        <w:rPr>
          <w:rFonts w:hint="eastAsia" w:ascii="宋体" w:hAnsi="宋体" w:eastAsia="宋体" w:cs="宋体"/>
          <w:b/>
          <w:bCs/>
          <w:color w:val="auto"/>
          <w:sz w:val="28"/>
          <w:szCs w:val="28"/>
          <w:highlight w:val="none"/>
          <w:u w:val="single"/>
        </w:rPr>
        <w:t xml:space="preserve">            </w:t>
      </w:r>
      <w:r>
        <w:rPr>
          <w:rFonts w:hint="eastAsia" w:ascii="宋体" w:hAnsi="宋体" w:eastAsia="宋体" w:cs="宋体"/>
          <w:color w:val="auto"/>
          <w:sz w:val="28"/>
          <w:szCs w:val="28"/>
          <w:highlight w:val="none"/>
        </w:rPr>
        <w:t xml:space="preserve">        </w:t>
      </w:r>
    </w:p>
    <w:p w14:paraId="70CFC049">
      <w:pPr>
        <w:pStyle w:val="4"/>
        <w:spacing w:before="120" w:line="360" w:lineRule="auto"/>
        <w:ind w:firstLine="0"/>
        <w:rPr>
          <w:rFonts w:hint="eastAsia" w:ascii="宋体" w:hAnsi="宋体" w:eastAsia="宋体" w:cs="宋体"/>
          <w:color w:val="auto"/>
          <w:sz w:val="28"/>
          <w:szCs w:val="28"/>
          <w:highlight w:val="none"/>
        </w:rPr>
      </w:pPr>
    </w:p>
    <w:p w14:paraId="0D04D5D0">
      <w:pPr>
        <w:spacing w:before="120" w:line="360" w:lineRule="auto"/>
        <w:rPr>
          <w:rFonts w:hint="eastAsia" w:ascii="宋体" w:hAnsi="宋体" w:eastAsia="宋体" w:cs="宋体"/>
          <w:b/>
          <w:bCs/>
          <w:color w:val="auto"/>
          <w:sz w:val="28"/>
          <w:szCs w:val="28"/>
          <w:highlight w:val="none"/>
        </w:rPr>
      </w:pPr>
    </w:p>
    <w:p w14:paraId="598C3355">
      <w:pPr>
        <w:pStyle w:val="5"/>
        <w:spacing w:line="360" w:lineRule="auto"/>
        <w:rPr>
          <w:rFonts w:hint="eastAsia" w:ascii="宋体" w:hAnsi="宋体" w:eastAsia="宋体" w:cs="宋体"/>
          <w:b/>
          <w:bCs/>
          <w:color w:val="auto"/>
          <w:sz w:val="28"/>
          <w:szCs w:val="28"/>
          <w:highlight w:val="none"/>
        </w:rPr>
      </w:pPr>
    </w:p>
    <w:p w14:paraId="397A4ADC">
      <w:pPr>
        <w:spacing w:line="360" w:lineRule="auto"/>
        <w:rPr>
          <w:rFonts w:hint="eastAsia" w:ascii="宋体" w:hAnsi="宋体" w:eastAsia="宋体" w:cs="宋体"/>
          <w:b/>
          <w:bCs/>
          <w:color w:val="auto"/>
          <w:sz w:val="28"/>
          <w:szCs w:val="28"/>
          <w:highlight w:val="none"/>
        </w:rPr>
      </w:pPr>
    </w:p>
    <w:p w14:paraId="085A7D9C">
      <w:pPr>
        <w:pStyle w:val="5"/>
        <w:spacing w:line="360" w:lineRule="auto"/>
        <w:rPr>
          <w:rFonts w:hint="eastAsia" w:ascii="宋体" w:hAnsi="宋体" w:eastAsia="宋体" w:cs="宋体"/>
          <w:color w:val="auto"/>
          <w:highlight w:val="none"/>
        </w:rPr>
      </w:pPr>
    </w:p>
    <w:p w14:paraId="74E0304F">
      <w:pPr>
        <w:spacing w:before="120" w:line="360" w:lineRule="auto"/>
        <w:ind w:left="960"/>
        <w:outlineLvl w:val="0"/>
        <w:rPr>
          <w:rFonts w:hint="eastAsia" w:cs="宋体"/>
          <w:b/>
          <w:bCs/>
          <w:color w:val="auto"/>
          <w:sz w:val="28"/>
          <w:szCs w:val="28"/>
          <w:highlight w:val="none"/>
          <w:u w:val="single"/>
          <w:lang w:val="en-US" w:eastAsia="zh-CN"/>
        </w:rPr>
      </w:pPr>
      <w:bookmarkStart w:id="6" w:name="_Toc10914"/>
      <w:bookmarkStart w:id="7" w:name="_Toc13367"/>
      <w:r>
        <w:rPr>
          <w:rFonts w:hint="eastAsia" w:ascii="宋体" w:hAnsi="宋体" w:eastAsia="宋体" w:cs="宋体"/>
          <w:b/>
          <w:bCs/>
          <w:color w:val="auto"/>
          <w:sz w:val="28"/>
          <w:szCs w:val="28"/>
          <w:highlight w:val="none"/>
        </w:rPr>
        <w:t>采购项目名称</w:t>
      </w:r>
      <w:r>
        <w:rPr>
          <w:rFonts w:hint="eastAsia" w:ascii="宋体" w:hAnsi="宋体" w:eastAsia="宋体" w:cs="宋体"/>
          <w:b/>
          <w:bCs/>
          <w:color w:val="auto"/>
          <w:sz w:val="28"/>
          <w:szCs w:val="28"/>
          <w:highlight w:val="none"/>
          <w:lang w:val="en-US" w:eastAsia="zh-CN"/>
        </w:rPr>
        <w:t xml:space="preserve"> </w:t>
      </w:r>
      <w:r>
        <w:rPr>
          <w:rFonts w:hint="eastAsia" w:ascii="宋体" w:hAnsi="宋体" w:eastAsia="宋体" w:cs="宋体"/>
          <w:b/>
          <w:bCs/>
          <w:color w:val="auto"/>
          <w:sz w:val="28"/>
          <w:szCs w:val="28"/>
          <w:highlight w:val="none"/>
        </w:rPr>
        <w:t>：</w:t>
      </w:r>
      <w:bookmarkEnd w:id="6"/>
      <w:bookmarkEnd w:id="7"/>
      <w:r>
        <w:rPr>
          <w:rFonts w:hint="eastAsia" w:cs="宋体"/>
          <w:b/>
          <w:bCs/>
          <w:color w:val="auto"/>
          <w:sz w:val="28"/>
          <w:szCs w:val="28"/>
          <w:highlight w:val="none"/>
          <w:u w:val="single"/>
          <w:lang w:val="en-US" w:eastAsia="zh-CN"/>
        </w:rPr>
        <w:t xml:space="preserve">                                  </w:t>
      </w:r>
      <w:bookmarkStart w:id="8" w:name="_Toc4385"/>
      <w:bookmarkStart w:id="9" w:name="_Toc27013"/>
    </w:p>
    <w:p w14:paraId="4571F436">
      <w:pPr>
        <w:spacing w:before="120" w:line="360" w:lineRule="auto"/>
        <w:ind w:left="960"/>
        <w:outlineLvl w:val="0"/>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采购人</w:t>
      </w:r>
      <w:r>
        <w:rPr>
          <w:rFonts w:hint="eastAsia" w:ascii="宋体" w:hAnsi="宋体" w:eastAsia="宋体" w:cs="宋体"/>
          <w:b/>
          <w:bCs/>
          <w:color w:val="auto"/>
          <w:sz w:val="28"/>
          <w:szCs w:val="28"/>
          <w:highlight w:val="none"/>
          <w:lang w:eastAsia="zh-CN"/>
        </w:rPr>
        <w:t>（甲方）</w:t>
      </w:r>
      <w:r>
        <w:rPr>
          <w:rFonts w:hint="eastAsia" w:ascii="宋体" w:hAnsi="宋体" w:eastAsia="宋体" w:cs="宋体"/>
          <w:b/>
          <w:bCs/>
          <w:color w:val="auto"/>
          <w:sz w:val="28"/>
          <w:szCs w:val="28"/>
          <w:highlight w:val="none"/>
        </w:rPr>
        <w:t>：</w:t>
      </w:r>
      <w:bookmarkEnd w:id="8"/>
      <w:bookmarkEnd w:id="9"/>
      <w:r>
        <w:rPr>
          <w:rFonts w:hint="eastAsia" w:ascii="宋体" w:hAnsi="宋体" w:eastAsia="宋体" w:cs="宋体"/>
          <w:b/>
          <w:bCs/>
          <w:color w:val="auto"/>
          <w:sz w:val="28"/>
          <w:szCs w:val="28"/>
          <w:highlight w:val="none"/>
          <w:u w:val="single"/>
        </w:rPr>
        <w:t xml:space="preserve">                    </w:t>
      </w:r>
      <w:r>
        <w:rPr>
          <w:rFonts w:hint="eastAsia" w:ascii="宋体" w:hAnsi="宋体" w:eastAsia="宋体" w:cs="宋体"/>
          <w:b/>
          <w:bCs/>
          <w:color w:val="auto"/>
          <w:sz w:val="28"/>
          <w:szCs w:val="28"/>
          <w:highlight w:val="none"/>
          <w:u w:val="single"/>
          <w:lang w:val="en-US" w:eastAsia="zh-CN"/>
        </w:rPr>
        <w:t xml:space="preserve">   </w:t>
      </w:r>
      <w:r>
        <w:rPr>
          <w:rFonts w:hint="eastAsia" w:ascii="宋体" w:hAnsi="宋体" w:eastAsia="宋体" w:cs="宋体"/>
          <w:b/>
          <w:bCs/>
          <w:color w:val="auto"/>
          <w:sz w:val="28"/>
          <w:szCs w:val="28"/>
          <w:highlight w:val="none"/>
          <w:u w:val="single"/>
        </w:rPr>
        <w:t xml:space="preserve">          </w:t>
      </w:r>
    </w:p>
    <w:p w14:paraId="34BCA108">
      <w:pPr>
        <w:spacing w:before="120" w:line="360" w:lineRule="auto"/>
        <w:ind w:left="960"/>
        <w:outlineLvl w:val="0"/>
        <w:rPr>
          <w:rFonts w:hint="eastAsia" w:ascii="宋体" w:hAnsi="宋体" w:eastAsia="宋体" w:cs="宋体"/>
          <w:b/>
          <w:bCs/>
          <w:color w:val="auto"/>
          <w:sz w:val="28"/>
          <w:szCs w:val="28"/>
          <w:highlight w:val="none"/>
          <w:u w:val="single"/>
        </w:rPr>
      </w:pPr>
      <w:bookmarkStart w:id="10" w:name="_Toc31961"/>
      <w:bookmarkStart w:id="11" w:name="_Toc5140"/>
      <w:r>
        <w:rPr>
          <w:rFonts w:hint="eastAsia" w:ascii="宋体" w:hAnsi="宋体" w:eastAsia="宋体" w:cs="宋体"/>
          <w:b/>
          <w:bCs/>
          <w:color w:val="auto"/>
          <w:sz w:val="28"/>
          <w:szCs w:val="28"/>
          <w:highlight w:val="none"/>
          <w:lang w:val="en-US" w:eastAsia="zh-CN"/>
        </w:rPr>
        <w:t>成交供应商（</w:t>
      </w:r>
      <w:r>
        <w:rPr>
          <w:rFonts w:hint="eastAsia" w:ascii="宋体" w:hAnsi="宋体" w:eastAsia="宋体" w:cs="宋体"/>
          <w:b/>
          <w:bCs/>
          <w:color w:val="auto"/>
          <w:sz w:val="28"/>
          <w:szCs w:val="28"/>
          <w:highlight w:val="none"/>
          <w:lang w:eastAsia="zh-CN"/>
        </w:rPr>
        <w:t>乙方</w:t>
      </w:r>
      <w:r>
        <w:rPr>
          <w:rFonts w:hint="eastAsia" w:ascii="宋体" w:hAnsi="宋体" w:eastAsia="宋体" w:cs="宋体"/>
          <w:b/>
          <w:bCs/>
          <w:color w:val="auto"/>
          <w:sz w:val="28"/>
          <w:szCs w:val="28"/>
          <w:highlight w:val="none"/>
          <w:lang w:val="en-US" w:eastAsia="zh-CN"/>
        </w:rPr>
        <w:t>）</w:t>
      </w:r>
      <w:r>
        <w:rPr>
          <w:rFonts w:hint="eastAsia" w:ascii="宋体" w:hAnsi="宋体" w:eastAsia="宋体" w:cs="宋体"/>
          <w:b/>
          <w:bCs/>
          <w:color w:val="auto"/>
          <w:sz w:val="28"/>
          <w:szCs w:val="28"/>
          <w:highlight w:val="none"/>
        </w:rPr>
        <w:t>：</w:t>
      </w:r>
      <w:bookmarkEnd w:id="10"/>
      <w:bookmarkEnd w:id="11"/>
      <w:r>
        <w:rPr>
          <w:rFonts w:hint="eastAsia" w:ascii="宋体" w:hAnsi="宋体" w:eastAsia="宋体" w:cs="宋体"/>
          <w:b/>
          <w:bCs/>
          <w:color w:val="auto"/>
          <w:sz w:val="28"/>
          <w:szCs w:val="28"/>
          <w:highlight w:val="none"/>
          <w:u w:val="single"/>
        </w:rPr>
        <w:t xml:space="preserve">             </w:t>
      </w:r>
      <w:r>
        <w:rPr>
          <w:rFonts w:hint="eastAsia" w:ascii="宋体" w:hAnsi="宋体" w:eastAsia="宋体" w:cs="宋体"/>
          <w:b/>
          <w:bCs/>
          <w:color w:val="auto"/>
          <w:sz w:val="28"/>
          <w:szCs w:val="28"/>
          <w:highlight w:val="none"/>
          <w:u w:val="single"/>
          <w:lang w:val="en-US" w:eastAsia="zh-CN"/>
        </w:rPr>
        <w:t xml:space="preserve">   </w:t>
      </w:r>
      <w:r>
        <w:rPr>
          <w:rFonts w:hint="eastAsia" w:ascii="宋体" w:hAnsi="宋体" w:eastAsia="宋体" w:cs="宋体"/>
          <w:b/>
          <w:bCs/>
          <w:color w:val="auto"/>
          <w:sz w:val="28"/>
          <w:szCs w:val="28"/>
          <w:highlight w:val="none"/>
          <w:u w:val="single"/>
        </w:rPr>
        <w:t xml:space="preserve">             </w:t>
      </w:r>
    </w:p>
    <w:p w14:paraId="10A3AB3C">
      <w:pPr>
        <w:spacing w:before="120" w:line="360" w:lineRule="auto"/>
        <w:ind w:left="960"/>
        <w:outlineLvl w:val="0"/>
        <w:rPr>
          <w:rFonts w:hint="default" w:cs="宋体"/>
          <w:b/>
          <w:bCs/>
          <w:color w:val="auto"/>
          <w:sz w:val="28"/>
          <w:szCs w:val="28"/>
          <w:highlight w:val="none"/>
          <w:u w:val="single"/>
          <w:lang w:val="en-US" w:eastAsia="zh-CN"/>
        </w:rPr>
      </w:pPr>
      <w:bookmarkStart w:id="12" w:name="_Toc25623"/>
      <w:bookmarkStart w:id="13" w:name="_Toc24531"/>
      <w:r>
        <w:rPr>
          <w:rFonts w:hint="eastAsia" w:ascii="宋体" w:hAnsi="宋体" w:eastAsia="宋体" w:cs="宋体"/>
          <w:b/>
          <w:bCs/>
          <w:color w:val="auto"/>
          <w:sz w:val="28"/>
          <w:szCs w:val="28"/>
          <w:highlight w:val="none"/>
          <w:lang w:val="en-US" w:eastAsia="zh-CN"/>
        </w:rPr>
        <w:t>签署地点 ：</w:t>
      </w:r>
      <w:bookmarkEnd w:id="12"/>
      <w:bookmarkEnd w:id="13"/>
      <w:bookmarkStart w:id="14" w:name="_Toc31729"/>
      <w:bookmarkStart w:id="15" w:name="_Toc13545"/>
      <w:r>
        <w:rPr>
          <w:rFonts w:hint="eastAsia" w:cs="宋体"/>
          <w:b/>
          <w:bCs/>
          <w:color w:val="auto"/>
          <w:sz w:val="28"/>
          <w:szCs w:val="28"/>
          <w:highlight w:val="none"/>
          <w:u w:val="single"/>
          <w:lang w:val="en-US" w:eastAsia="zh-CN"/>
        </w:rPr>
        <w:t xml:space="preserve">                                     </w:t>
      </w:r>
    </w:p>
    <w:p w14:paraId="1E9282A7">
      <w:pPr>
        <w:spacing w:before="120" w:line="360" w:lineRule="auto"/>
        <w:ind w:left="960"/>
        <w:outlineLvl w:val="0"/>
        <w:rPr>
          <w:rFonts w:hint="eastAsia" w:cs="宋体"/>
          <w:b/>
          <w:bCs/>
          <w:color w:val="auto"/>
          <w:sz w:val="28"/>
          <w:szCs w:val="28"/>
          <w:highlight w:val="none"/>
          <w:u w:val="single"/>
          <w:lang w:val="en-US" w:eastAsia="zh-CN"/>
        </w:rPr>
      </w:pPr>
      <w:r>
        <w:rPr>
          <w:rFonts w:hint="eastAsia" w:ascii="宋体" w:hAnsi="宋体" w:eastAsia="宋体" w:cs="宋体"/>
          <w:b/>
          <w:bCs/>
          <w:color w:val="auto"/>
          <w:sz w:val="28"/>
          <w:szCs w:val="28"/>
          <w:highlight w:val="none"/>
          <w:lang w:val="en-US" w:eastAsia="zh-CN"/>
        </w:rPr>
        <w:t>签署日期 ：</w:t>
      </w:r>
      <w:bookmarkEnd w:id="14"/>
      <w:bookmarkEnd w:id="15"/>
      <w:r>
        <w:rPr>
          <w:rFonts w:hint="eastAsia" w:cs="宋体"/>
          <w:b/>
          <w:bCs/>
          <w:color w:val="auto"/>
          <w:sz w:val="28"/>
          <w:szCs w:val="28"/>
          <w:highlight w:val="none"/>
          <w:u w:val="single"/>
          <w:lang w:val="en-US" w:eastAsia="zh-CN"/>
        </w:rPr>
        <w:t xml:space="preserve">                                     </w:t>
      </w:r>
    </w:p>
    <w:p w14:paraId="677ACA9B">
      <w:pPr>
        <w:spacing w:before="120" w:line="360" w:lineRule="auto"/>
        <w:ind w:left="960"/>
        <w:outlineLvl w:val="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 xml:space="preserve">                　　</w:t>
      </w:r>
    </w:p>
    <w:p w14:paraId="42A73404">
      <w:pPr>
        <w:spacing w:before="120" w:line="360" w:lineRule="auto"/>
        <w:ind w:left="960"/>
        <w:rPr>
          <w:rFonts w:hint="eastAsia" w:ascii="宋体" w:hAnsi="宋体" w:eastAsia="宋体" w:cs="宋体"/>
          <w:b/>
          <w:bCs/>
          <w:color w:val="auto"/>
          <w:sz w:val="28"/>
          <w:szCs w:val="28"/>
          <w:highlight w:val="none"/>
          <w:lang w:val="en-US" w:eastAsia="zh-CN"/>
        </w:rPr>
        <w:sectPr>
          <w:footerReference r:id="rId3" w:type="default"/>
          <w:pgSz w:w="11906" w:h="16838"/>
          <w:pgMar w:top="1418" w:right="1423" w:bottom="1418" w:left="1644" w:header="720" w:footer="720" w:gutter="0"/>
          <w:pgBorders>
            <w:top w:val="none" w:sz="0" w:space="0"/>
            <w:left w:val="none" w:sz="0" w:space="0"/>
            <w:bottom w:val="none" w:sz="0" w:space="0"/>
            <w:right w:val="none" w:sz="0" w:space="0"/>
          </w:pgBorders>
          <w:pgNumType w:fmt="decimal" w:start="1"/>
          <w:cols w:space="720" w:num="1"/>
          <w:docGrid w:linePitch="288" w:charSpace="-3449"/>
        </w:sectPr>
      </w:pPr>
    </w:p>
    <w:p w14:paraId="5844BF06">
      <w:pPr>
        <w:spacing w:line="360" w:lineRule="auto"/>
        <w:ind w:firstLine="720" w:firstLineChars="200"/>
        <w:jc w:val="center"/>
        <w:rPr>
          <w:rFonts w:hint="eastAsia" w:ascii="方正小标宋简体" w:hAnsi="方正小标宋简体" w:eastAsia="方正小标宋简体" w:cs="方正小标宋简体"/>
          <w:b w:val="0"/>
          <w:bCs/>
          <w:color w:val="auto"/>
          <w:sz w:val="36"/>
          <w:szCs w:val="36"/>
          <w:highlight w:val="none"/>
          <w:lang w:val="en-US" w:eastAsia="zh-CN"/>
        </w:rPr>
      </w:pPr>
      <w:r>
        <w:rPr>
          <w:rFonts w:hint="eastAsia" w:ascii="方正小标宋简体" w:hAnsi="方正小标宋简体" w:eastAsia="方正小标宋简体" w:cs="方正小标宋简体"/>
          <w:b w:val="0"/>
          <w:bCs/>
          <w:color w:val="auto"/>
          <w:sz w:val="36"/>
          <w:szCs w:val="36"/>
          <w:highlight w:val="none"/>
          <w:lang w:val="en-US" w:eastAsia="zh-CN"/>
        </w:rPr>
        <w:t>合同协议书</w:t>
      </w:r>
    </w:p>
    <w:p w14:paraId="06E28F7D">
      <w:pPr>
        <w:keepNext w:val="0"/>
        <w:keepLines w:val="0"/>
        <w:pageBreakBefore w:val="0"/>
        <w:kinsoku/>
        <w:wordWrap/>
        <w:overflowPunct/>
        <w:topLinePunct w:val="0"/>
        <w:bidi w:val="0"/>
        <w:adjustRightInd/>
        <w:spacing w:line="360" w:lineRule="auto"/>
        <w:ind w:right="0" w:firstLine="400" w:firstLineChars="200"/>
        <w:jc w:val="left"/>
        <w:rPr>
          <w:rFonts w:hint="eastAsia" w:ascii="宋体" w:hAnsi="宋体" w:eastAsia="宋体" w:cs="宋体"/>
          <w:b w:val="0"/>
          <w:bCs/>
          <w:color w:val="auto"/>
          <w:sz w:val="20"/>
          <w:szCs w:val="20"/>
          <w:highlight w:val="none"/>
          <w:lang w:val="en-US" w:eastAsia="zh-CN"/>
        </w:rPr>
      </w:pPr>
    </w:p>
    <w:p w14:paraId="4415168B">
      <w:pPr>
        <w:keepNext w:val="0"/>
        <w:keepLines w:val="0"/>
        <w:pageBreakBefore w:val="0"/>
        <w:kinsoku/>
        <w:wordWrap/>
        <w:overflowPunct/>
        <w:topLinePunct w:val="0"/>
        <w:bidi w:val="0"/>
        <w:adjustRightInd/>
        <w:spacing w:line="360" w:lineRule="auto"/>
        <w:ind w:right="0" w:firstLine="400" w:firstLineChars="200"/>
        <w:jc w:val="left"/>
        <w:rPr>
          <w:rFonts w:hint="eastAsia" w:ascii="宋体" w:hAnsi="宋体" w:eastAsia="宋体" w:cs="宋体"/>
          <w:b w:val="0"/>
          <w:bCs/>
          <w:color w:val="auto"/>
          <w:sz w:val="20"/>
          <w:szCs w:val="20"/>
          <w:highlight w:val="none"/>
        </w:rPr>
      </w:pPr>
      <w:r>
        <w:rPr>
          <w:rFonts w:hint="eastAsia" w:ascii="宋体" w:hAnsi="宋体" w:eastAsia="宋体" w:cs="宋体"/>
          <w:b w:val="0"/>
          <w:bCs/>
          <w:color w:val="auto"/>
          <w:sz w:val="20"/>
          <w:szCs w:val="20"/>
          <w:highlight w:val="none"/>
          <w:lang w:val="en-US" w:eastAsia="zh-CN"/>
        </w:rPr>
        <w:t>为贯彻落实《西安市残疾人联合会西安市财政局关于印发西安市残疾人托养服务工作实施方案的通知》（市残联发〔2024〕98号）文件精神，进一步完善残疾人社会保障制度和关爱服务体系，切实解决高陵区智力、精神、重度肢体及多重残疾人托养问题，满足残疾人多层次、多元化的托养服务需求，</w:t>
      </w:r>
      <w:r>
        <w:rPr>
          <w:rFonts w:hint="eastAsia" w:ascii="宋体" w:hAnsi="宋体" w:eastAsia="宋体" w:cs="宋体"/>
          <w:b w:val="0"/>
          <w:bCs/>
          <w:color w:val="auto"/>
          <w:sz w:val="20"/>
          <w:szCs w:val="20"/>
          <w:highlight w:val="none"/>
        </w:rPr>
        <w:t>依据《中华人民共和国民法典》和《中华人民共和国政府采购法》有关要求，甲、乙双方遵循平等、自愿、公平和诚信的原则，经双方共同协商，现就</w:t>
      </w:r>
      <w:r>
        <w:rPr>
          <w:rFonts w:hint="default" w:ascii="宋体" w:hAnsi="宋体" w:eastAsia="宋体" w:cs="宋体"/>
          <w:b w:val="0"/>
          <w:bCs/>
          <w:color w:val="auto"/>
          <w:sz w:val="20"/>
          <w:szCs w:val="20"/>
          <w:highlight w:val="none"/>
          <w:lang w:val="en-US" w:eastAsia="zh-CN"/>
        </w:rPr>
        <w:t>202</w:t>
      </w:r>
      <w:r>
        <w:rPr>
          <w:rFonts w:hint="eastAsia" w:ascii="宋体" w:hAnsi="宋体" w:eastAsia="宋体" w:cs="宋体"/>
          <w:b w:val="0"/>
          <w:bCs/>
          <w:color w:val="auto"/>
          <w:sz w:val="20"/>
          <w:szCs w:val="20"/>
          <w:highlight w:val="none"/>
          <w:lang w:val="en-US" w:eastAsia="zh-CN"/>
        </w:rPr>
        <w:t>4年残疾人托养服务</w:t>
      </w:r>
      <w:r>
        <w:rPr>
          <w:rFonts w:hint="eastAsia" w:ascii="宋体" w:hAnsi="宋体" w:eastAsia="宋体" w:cs="宋体"/>
          <w:b w:val="0"/>
          <w:bCs/>
          <w:color w:val="auto"/>
          <w:sz w:val="20"/>
          <w:szCs w:val="20"/>
          <w:highlight w:val="none"/>
        </w:rPr>
        <w:t>有关事宜签订合同如下：</w:t>
      </w:r>
    </w:p>
    <w:p w14:paraId="210BFDB4">
      <w:pPr>
        <w:keepNext w:val="0"/>
        <w:keepLines w:val="0"/>
        <w:pageBreakBefore w:val="0"/>
        <w:kinsoku/>
        <w:wordWrap/>
        <w:overflowPunct/>
        <w:topLinePunct w:val="0"/>
        <w:bidi w:val="0"/>
        <w:adjustRightInd/>
        <w:spacing w:line="360" w:lineRule="auto"/>
        <w:ind w:right="0"/>
        <w:jc w:val="left"/>
        <w:outlineLvl w:val="9"/>
        <w:rPr>
          <w:rFonts w:hint="eastAsia" w:ascii="宋体" w:hAnsi="宋体" w:eastAsia="宋体" w:cs="宋体"/>
          <w:b/>
          <w:bCs w:val="0"/>
          <w:color w:val="auto"/>
          <w:sz w:val="20"/>
          <w:szCs w:val="20"/>
          <w:highlight w:val="none"/>
        </w:rPr>
      </w:pPr>
      <w:r>
        <w:rPr>
          <w:rFonts w:hint="eastAsia" w:ascii="宋体" w:hAnsi="宋体" w:eastAsia="宋体" w:cs="宋体"/>
          <w:b/>
          <w:bCs w:val="0"/>
          <w:color w:val="auto"/>
          <w:sz w:val="20"/>
          <w:szCs w:val="20"/>
          <w:highlight w:val="none"/>
        </w:rPr>
        <w:t>一、服务对象</w:t>
      </w:r>
    </w:p>
    <w:p w14:paraId="0CA55FBB">
      <w:pPr>
        <w:keepNext w:val="0"/>
        <w:keepLines w:val="0"/>
        <w:pageBreakBefore w:val="0"/>
        <w:kinsoku/>
        <w:wordWrap/>
        <w:overflowPunct/>
        <w:topLinePunct w:val="0"/>
        <w:bidi w:val="0"/>
        <w:adjustRightInd/>
        <w:spacing w:line="360" w:lineRule="auto"/>
        <w:ind w:right="0" w:firstLine="400" w:firstLineChars="200"/>
        <w:jc w:val="left"/>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服务对象为高陵区区域内16-59(＜60)周岁的智力残疾人、病情稳定的精神残疾人（指精神障碍已经在精神专科确诊并得到治疗，急性期症状已被控制，目前处于较稳定的状态，并经精神科医师风险评估可以转介托养的精神残疾人）和重度肢体残疾人以及同时存在智力或精神残疾的多重残疾人；</w:t>
      </w:r>
    </w:p>
    <w:p w14:paraId="6C838F0D">
      <w:pPr>
        <w:keepNext w:val="0"/>
        <w:keepLines w:val="0"/>
        <w:pageBreakBefore w:val="0"/>
        <w:kinsoku/>
        <w:wordWrap/>
        <w:overflowPunct/>
        <w:topLinePunct w:val="0"/>
        <w:bidi w:val="0"/>
        <w:adjustRightInd/>
        <w:spacing w:line="360" w:lineRule="auto"/>
        <w:ind w:right="0" w:firstLine="400" w:firstLineChars="200"/>
        <w:jc w:val="left"/>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本人和家庭有托养服务需求，自愿接受托养服务。纳入特困人员救助供养条件的残疾人不再作为托养服务对象。</w:t>
      </w:r>
    </w:p>
    <w:p w14:paraId="71E1FABE">
      <w:pPr>
        <w:keepNext w:val="0"/>
        <w:keepLines w:val="0"/>
        <w:pageBreakBefore w:val="0"/>
        <w:kinsoku/>
        <w:wordWrap/>
        <w:overflowPunct/>
        <w:topLinePunct w:val="0"/>
        <w:bidi w:val="0"/>
        <w:adjustRightInd/>
        <w:spacing w:line="360" w:lineRule="auto"/>
        <w:ind w:right="0"/>
        <w:outlineLvl w:val="9"/>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二、服务内容</w:t>
      </w:r>
    </w:p>
    <w:p w14:paraId="5F928D63">
      <w:pPr>
        <w:keepNext w:val="0"/>
        <w:keepLines w:val="0"/>
        <w:pageBreakBefore w:val="0"/>
        <w:kinsoku/>
        <w:wordWrap/>
        <w:overflowPunct/>
        <w:topLinePunct w:val="0"/>
        <w:bidi w:val="0"/>
        <w:adjustRightInd/>
        <w:spacing w:line="360" w:lineRule="auto"/>
        <w:ind w:right="0" w:firstLine="400" w:firstLineChars="200"/>
        <w:jc w:val="left"/>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集中托养：依据《就业年龄段智力、精神及重度肢体残疾人托养服务规范》（GB/T37516—2019）要求，采用24小时寄宿制集中居住和照料模式，为日常饮食起居需要专人护理而家庭护理有困难的智力、精神和重度肢体及多重残疾人提供基本生活照料和护理、生活自理能力训练、社会适应能力辅导、职业康复和劳动技能训练、运动功能训练等方面的社会服务。</w:t>
      </w:r>
    </w:p>
    <w:p w14:paraId="4FC9D808">
      <w:pPr>
        <w:keepNext w:val="0"/>
        <w:keepLines w:val="0"/>
        <w:pageBreakBefore w:val="0"/>
        <w:kinsoku/>
        <w:wordWrap/>
        <w:overflowPunct/>
        <w:topLinePunct w:val="0"/>
        <w:bidi w:val="0"/>
        <w:adjustRightInd/>
        <w:spacing w:line="360" w:lineRule="auto"/>
        <w:ind w:right="0" w:firstLine="400" w:firstLineChars="200"/>
        <w:jc w:val="left"/>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1.卫生，膳食服务：按时提供符合食品卫生要求、适合托养人员特点和身心健康的膳食；托养人员的饮食应按照食品一生要求操作，做到整洁、卫生；每周有食谱，荤素干稀搭配合理，注意腊食营养；一日三餐适时开饭，保让开水供应；根据托养人员特殊需求或不同饮食习惯，可制作软食，尊重少数民族的饮食习俗。</w:t>
      </w:r>
    </w:p>
    <w:p w14:paraId="0620C748">
      <w:pPr>
        <w:keepNext w:val="0"/>
        <w:keepLines w:val="0"/>
        <w:pageBreakBefore w:val="0"/>
        <w:kinsoku/>
        <w:wordWrap/>
        <w:overflowPunct/>
        <w:topLinePunct w:val="0"/>
        <w:bidi w:val="0"/>
        <w:adjustRightInd/>
        <w:spacing w:line="360" w:lineRule="auto"/>
        <w:ind w:right="0" w:firstLine="400" w:firstLineChars="200"/>
        <w:jc w:val="left"/>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2.护理服务：提供服装、被褥等用品，按季节添置、更换衣被等生活用品，及时提供保洁服务，对托养人员，实行分级护理制度，对能自理的托实行常规护理提倡和促进托养人员自我服务，相互扶助，为行走不便的托养人员配备拐杖、轮椅等辅助器具，对生活不能自理的托养人员提供特殊护理，对重病号实行昼夜值班服务；还应注意托养人员的心理护理，消除其心理障碍，保持其良好心态。</w:t>
      </w:r>
    </w:p>
    <w:p w14:paraId="50D67A00">
      <w:pPr>
        <w:keepNext w:val="0"/>
        <w:keepLines w:val="0"/>
        <w:pageBreakBefore w:val="0"/>
        <w:kinsoku/>
        <w:wordWrap/>
        <w:overflowPunct/>
        <w:topLinePunct w:val="0"/>
        <w:bidi w:val="0"/>
        <w:adjustRightInd/>
        <w:spacing w:line="360" w:lineRule="auto"/>
        <w:ind w:right="0" w:firstLine="400" w:firstLineChars="200"/>
        <w:jc w:val="left"/>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3.医疗保健服务：保障特殊困难服务对象有病及时治疗，根据身体状况按照护理规范和标准给予相应照料和护理服务，及时了解托养人员的健康状况，应定期进行健康查体，建立托养服务对象病历档案，经常组织托养人员进行健康教育和自我保健、自我护理知识的学习，开展健身锻炼和康复活动：做好修养区和院内公共场所的消毒灭菌工作，防止疫病流行，对患病者要及时检查、合理用药、妥善治疗，不明原因的疾病要及时诊治，对患有传染病的应采取特殊保护指施，进行隔离治疗，患大病、重病的要及时送医院治疗。</w:t>
      </w:r>
    </w:p>
    <w:p w14:paraId="70B54575">
      <w:pPr>
        <w:keepNext w:val="0"/>
        <w:keepLines w:val="0"/>
        <w:pageBreakBefore w:val="0"/>
        <w:kinsoku/>
        <w:wordWrap/>
        <w:overflowPunct/>
        <w:topLinePunct w:val="0"/>
        <w:bidi w:val="0"/>
        <w:adjustRightInd/>
        <w:spacing w:line="360" w:lineRule="auto"/>
        <w:ind w:right="0" w:firstLine="400" w:firstLineChars="200"/>
        <w:jc w:val="left"/>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4.供应商应当为托养人员提供精神生活保障，实行亲情服务，给子精神慰藉；组织托养人员开展健身娱乐和学习活动，活跃其精神生活，对病情垂危的托养人员应实施特殊护理和临终关怀。</w:t>
      </w:r>
    </w:p>
    <w:p w14:paraId="2D1196C4">
      <w:pPr>
        <w:keepNext w:val="0"/>
        <w:keepLines w:val="0"/>
        <w:pageBreakBefore w:val="0"/>
        <w:kinsoku/>
        <w:wordWrap/>
        <w:overflowPunct/>
        <w:topLinePunct w:val="0"/>
        <w:bidi w:val="0"/>
        <w:adjustRightInd/>
        <w:spacing w:line="360" w:lineRule="auto"/>
        <w:ind w:right="0" w:firstLine="400" w:firstLineChars="200"/>
        <w:jc w:val="left"/>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5.体检服务：提供每年一次健康体检服务。</w:t>
      </w:r>
    </w:p>
    <w:p w14:paraId="16D5FF10">
      <w:pPr>
        <w:keepNext w:val="0"/>
        <w:keepLines w:val="0"/>
        <w:pageBreakBefore w:val="0"/>
        <w:kinsoku/>
        <w:wordWrap/>
        <w:overflowPunct/>
        <w:topLinePunct w:val="0"/>
        <w:bidi w:val="0"/>
        <w:adjustRightInd/>
        <w:spacing w:line="360" w:lineRule="auto"/>
        <w:ind w:right="0" w:firstLine="400" w:firstLineChars="200"/>
        <w:jc w:val="left"/>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6.提供车辆接送、心理慰藉、送医陪护等其他服务；</w:t>
      </w:r>
    </w:p>
    <w:p w14:paraId="0CB22FB0">
      <w:pPr>
        <w:keepNext w:val="0"/>
        <w:keepLines w:val="0"/>
        <w:pageBreakBefore w:val="0"/>
        <w:kinsoku/>
        <w:wordWrap/>
        <w:overflowPunct/>
        <w:topLinePunct w:val="0"/>
        <w:bidi w:val="0"/>
        <w:adjustRightInd/>
        <w:spacing w:line="360" w:lineRule="auto"/>
        <w:ind w:right="0" w:firstLine="400" w:firstLineChars="200"/>
        <w:jc w:val="left"/>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7.除以上服务内容外，按照符合政策的原则，经双方协商同意，可以根据托养人员和家属需求提供其他服务。如出现紧急情况或者老人有特殊需求等情况，集中托养单位无法满足需要时，购买方有权对集中托养单位进行合理调配。</w:t>
      </w:r>
    </w:p>
    <w:p w14:paraId="3651DC2B">
      <w:pPr>
        <w:keepNext w:val="0"/>
        <w:keepLines w:val="0"/>
        <w:pageBreakBefore w:val="0"/>
        <w:kinsoku/>
        <w:wordWrap/>
        <w:overflowPunct/>
        <w:topLinePunct w:val="0"/>
        <w:bidi w:val="0"/>
        <w:adjustRightInd/>
        <w:spacing w:line="360" w:lineRule="auto"/>
        <w:ind w:right="0"/>
        <w:jc w:val="left"/>
        <w:rPr>
          <w:rFonts w:hint="eastAsia" w:ascii="宋体" w:hAnsi="宋体" w:eastAsia="宋体" w:cs="宋体"/>
          <w:b/>
          <w:bCs w:val="0"/>
          <w:color w:val="auto"/>
          <w:sz w:val="20"/>
          <w:szCs w:val="20"/>
          <w:highlight w:val="none"/>
          <w:lang w:val="en-US" w:eastAsia="zh-CN"/>
        </w:rPr>
      </w:pPr>
      <w:r>
        <w:rPr>
          <w:rFonts w:hint="eastAsia" w:ascii="宋体" w:hAnsi="宋体" w:eastAsia="宋体" w:cs="宋体"/>
          <w:b/>
          <w:bCs w:val="0"/>
          <w:color w:val="auto"/>
          <w:sz w:val="20"/>
          <w:szCs w:val="20"/>
          <w:highlight w:val="none"/>
          <w:lang w:val="en-US" w:eastAsia="zh-CN"/>
        </w:rPr>
        <w:t>四、服务要求</w:t>
      </w:r>
    </w:p>
    <w:p w14:paraId="42E5F850">
      <w:pPr>
        <w:keepNext w:val="0"/>
        <w:keepLines w:val="0"/>
        <w:pageBreakBefore w:val="0"/>
        <w:kinsoku/>
        <w:wordWrap/>
        <w:overflowPunct/>
        <w:topLinePunct w:val="0"/>
        <w:bidi w:val="0"/>
        <w:adjustRightInd/>
        <w:spacing w:line="360" w:lineRule="auto"/>
        <w:ind w:right="0" w:firstLine="400" w:firstLineChars="200"/>
        <w:jc w:val="left"/>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1.各供应商应有稳定的运营资金保障，有完整的管理运行制度；应遵守有关国家法律法规，执行残疾人托养相关规定，并自觉接受社会监督和业务主管部门的管理；应保护服务对象的隐私，妥善保管其个人信息及资料。可以依托符合条件的养老机构开展残疾人托养服务。</w:t>
      </w:r>
    </w:p>
    <w:p w14:paraId="4265262C">
      <w:pPr>
        <w:keepNext w:val="0"/>
        <w:keepLines w:val="0"/>
        <w:pageBreakBefore w:val="0"/>
        <w:kinsoku/>
        <w:wordWrap/>
        <w:overflowPunct/>
        <w:topLinePunct w:val="0"/>
        <w:bidi w:val="0"/>
        <w:adjustRightInd/>
        <w:spacing w:line="360" w:lineRule="auto"/>
        <w:ind w:right="0" w:firstLine="400" w:firstLineChars="200"/>
        <w:jc w:val="left"/>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2.人员配备。机构应当配备专业管理人员、专职或兼职专业技术人员和能满足服务需求的工勤人员;从业人员应持有身份证明、健康证明、对需持证上岗的岗位，应按照有关法律法规规定持有有效的从业资格和职业资格证书；每年参加 1 次以上相关专业培训。日间照料和集中托养机构服务人员与服务对象比例不低于 1:7，同时配备1-2名心理咨询师。</w:t>
      </w:r>
    </w:p>
    <w:p w14:paraId="19847C0D">
      <w:pPr>
        <w:keepNext w:val="0"/>
        <w:keepLines w:val="0"/>
        <w:pageBreakBefore w:val="0"/>
        <w:kinsoku/>
        <w:wordWrap/>
        <w:overflowPunct/>
        <w:topLinePunct w:val="0"/>
        <w:bidi w:val="0"/>
        <w:adjustRightInd/>
        <w:spacing w:line="360" w:lineRule="auto"/>
        <w:ind w:right="0" w:firstLine="400" w:firstLineChars="200"/>
        <w:jc w:val="left"/>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3.场地要求。日间照料机构场所房屋建筑质量安全、消防设施、无障碍环境应符合国家相关规定的要求，接受有关部门的日常消防检查、培训、演练；集中托养服务机构房屋建筑质量安全、消防设施、无障碍环境应符合国家相关规定的要求。单人间使用面积不少于10㎡；合居型室人均可使用面积不小于6㎡。</w:t>
      </w:r>
    </w:p>
    <w:p w14:paraId="09E10FBA">
      <w:pPr>
        <w:keepNext w:val="0"/>
        <w:keepLines w:val="0"/>
        <w:pageBreakBefore w:val="0"/>
        <w:kinsoku/>
        <w:wordWrap/>
        <w:overflowPunct/>
        <w:topLinePunct w:val="0"/>
        <w:bidi w:val="0"/>
        <w:adjustRightInd/>
        <w:spacing w:line="360" w:lineRule="auto"/>
        <w:ind w:right="0" w:firstLine="400" w:firstLineChars="200"/>
        <w:jc w:val="left"/>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4.环境卫生。环境整洁、卫生，空气流通，采光充足;公共标识设置与无障碍设施符合相关规定。</w:t>
      </w:r>
    </w:p>
    <w:p w14:paraId="7CCE5BFC">
      <w:pPr>
        <w:keepNext w:val="0"/>
        <w:keepLines w:val="0"/>
        <w:pageBreakBefore w:val="0"/>
        <w:kinsoku/>
        <w:wordWrap/>
        <w:overflowPunct/>
        <w:topLinePunct w:val="0"/>
        <w:bidi w:val="0"/>
        <w:adjustRightInd/>
        <w:spacing w:line="360" w:lineRule="auto"/>
        <w:ind w:right="0" w:firstLine="400" w:firstLineChars="200"/>
        <w:jc w:val="left"/>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5.设施设备。集中托养机构服务场所应装有空调或其他适用的取暖、降温设备，提供全天候热水供应;配备照明设备，公共区域设置应急照明灯；配备养护起居、护理保健和文体活动等 基本设施，设备完好；配备远程监控安全管理和互联网云考勤管理设备。日间照料托养服务场所应配备基本设备和用具，有电视、棋牌、图书报刊等基本娱乐设施和用品;配置空调或其他合适的室内取暖、降温设备；配置服务成果展示区(柜)；配备急救药箱、轮椅，配置适合存放精神残疾服务对象药品的专柜；配备远程监控安全管理和互联网云考勤管理设备。居家安养服务机构办公场所应通讯设备齐全，通讯畅通，满足移动服务信息化系统的运行需求。</w:t>
      </w:r>
    </w:p>
    <w:p w14:paraId="0A3D89D1">
      <w:pPr>
        <w:keepNext w:val="0"/>
        <w:keepLines w:val="0"/>
        <w:pageBreakBefore w:val="0"/>
        <w:kinsoku/>
        <w:wordWrap/>
        <w:overflowPunct/>
        <w:topLinePunct w:val="0"/>
        <w:bidi w:val="0"/>
        <w:adjustRightInd/>
        <w:spacing w:line="360" w:lineRule="auto"/>
        <w:ind w:right="0" w:firstLine="400" w:firstLineChars="200"/>
        <w:jc w:val="left"/>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6.制度管理。机构应当财务制度健全，凭证、账簿符合财务规定；有项目独立台账,专款专用，有项目经费收支明细清单；有健全的接待、服务、投诉处理机制和服务回访等制度；有档案管理和固定资产管理等制度；有日常安全管理、突发事件处理预案制度；建立服务对象个人档案，包括个人基本情况、托养服务协议书、健康情况、医疗记录、综合评估报告、个别化托养服务方案、服务项目实施情况等基本内容；采取动态管理，建立服务质量跟踪随访登记、服务满意率等档案；应当配合相关部门对资金使用情况进行监督检查与绩效评价；机构应当按照合同约定提供服务，涉及收费的项目，应当向服务对象(或监护人)告知收费标准以及费用支付方式，并将相关收费项目、依据和标准等内容予以公示，不得将服务项目转包给其他主体。</w:t>
      </w:r>
    </w:p>
    <w:p w14:paraId="11FC56EB">
      <w:pPr>
        <w:keepNext w:val="0"/>
        <w:keepLines w:val="0"/>
        <w:pageBreakBefore w:val="0"/>
        <w:kinsoku/>
        <w:wordWrap/>
        <w:overflowPunct/>
        <w:topLinePunct w:val="0"/>
        <w:bidi w:val="0"/>
        <w:adjustRightInd/>
        <w:spacing w:line="360" w:lineRule="auto"/>
        <w:ind w:right="0" w:firstLine="400" w:firstLineChars="200"/>
        <w:jc w:val="left"/>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7.承接机构应该依据《就业年龄段智力、精神及重度肢体残疾人托养服务规范》中的服务规范、服务标准和质量评价标准，提供相应服务。</w:t>
      </w:r>
    </w:p>
    <w:p w14:paraId="05F0EEDD">
      <w:pPr>
        <w:keepNext w:val="0"/>
        <w:keepLines w:val="0"/>
        <w:pageBreakBefore w:val="0"/>
        <w:kinsoku/>
        <w:wordWrap/>
        <w:overflowPunct/>
        <w:topLinePunct w:val="0"/>
        <w:bidi w:val="0"/>
        <w:adjustRightInd/>
        <w:spacing w:line="360" w:lineRule="auto"/>
        <w:ind w:right="0" w:firstLine="400" w:firstLineChars="200"/>
        <w:jc w:val="left"/>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8.托养服务承接机构应建立完善如下制度：</w:t>
      </w:r>
    </w:p>
    <w:p w14:paraId="0AB4F19C">
      <w:pPr>
        <w:keepNext w:val="0"/>
        <w:keepLines w:val="0"/>
        <w:pageBreakBefore w:val="0"/>
        <w:kinsoku/>
        <w:wordWrap/>
        <w:overflowPunct/>
        <w:topLinePunct w:val="0"/>
        <w:bidi w:val="0"/>
        <w:adjustRightInd/>
        <w:spacing w:line="360" w:lineRule="auto"/>
        <w:ind w:right="0" w:firstLine="400" w:firstLineChars="200"/>
        <w:jc w:val="left"/>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1.建立托养服务评估制度。</w:t>
      </w:r>
    </w:p>
    <w:p w14:paraId="6FD83069">
      <w:pPr>
        <w:keepNext w:val="0"/>
        <w:keepLines w:val="0"/>
        <w:pageBreakBefore w:val="0"/>
        <w:kinsoku/>
        <w:wordWrap/>
        <w:overflowPunct/>
        <w:topLinePunct w:val="0"/>
        <w:bidi w:val="0"/>
        <w:adjustRightInd/>
        <w:spacing w:line="360" w:lineRule="auto"/>
        <w:ind w:right="0" w:firstLine="400" w:firstLineChars="200"/>
        <w:jc w:val="left"/>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1）托养服务适宜性评估。申请人初次接受服务前,需由服务提供方依据服务对象的残疾类别和等级证明、专业医疗机构诊断证明和体检报告等对申请人进行托养“适宜性评估”，确定申请人适宜的托养服务方式，并为其建立评估档案。经评估，认定申请人不适宜接受托养服务的，由服务提供方将评估情况分别书面告知服务申请受理方和申请人，并由申请受理方向申请人告知原因，退回申请。</w:t>
      </w:r>
    </w:p>
    <w:p w14:paraId="3CF86168">
      <w:pPr>
        <w:keepNext w:val="0"/>
        <w:keepLines w:val="0"/>
        <w:pageBreakBefore w:val="0"/>
        <w:kinsoku/>
        <w:wordWrap/>
        <w:overflowPunct/>
        <w:topLinePunct w:val="0"/>
        <w:bidi w:val="0"/>
        <w:adjustRightInd/>
        <w:spacing w:line="360" w:lineRule="auto"/>
        <w:ind w:right="0" w:firstLine="400" w:firstLineChars="200"/>
        <w:jc w:val="left"/>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2）精神残疾人医治与托养转介评估。申请集中托养、日间照料服务的精神残疾人，必须先由专业医疗机构精神科医师进行风险评估,并出具托养适宜性评估报告。精神残疾人在接受托养服务期间，因病情复发需转介进入医疗机构住院治疗，在治疗期间停止托养服务。医疗治疗结束后，需重新进行托养服务适宜性评估。</w:t>
      </w:r>
    </w:p>
    <w:p w14:paraId="5D55C1F4">
      <w:pPr>
        <w:keepNext w:val="0"/>
        <w:keepLines w:val="0"/>
        <w:pageBreakBefore w:val="0"/>
        <w:kinsoku/>
        <w:wordWrap/>
        <w:overflowPunct/>
        <w:topLinePunct w:val="0"/>
        <w:bidi w:val="0"/>
        <w:adjustRightInd/>
        <w:spacing w:line="360" w:lineRule="auto"/>
        <w:ind w:right="0" w:firstLine="400" w:firstLineChars="200"/>
        <w:jc w:val="left"/>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2.建立完善服务协议管理制度。机构应与服务对象或其监护人签订具有法律效力、权责明晰的托养服务协议，提供相应服务并进行自查。协议应载明：残疾人服务机构的名称、住所、法定代表人或者主要负责、联系方式；残疾人或者其监护人指定的经常联系人的姓名、地址、身份证明、联系方式；服务内容和服务方式；收费标准以及费用支付方式；服务期限和地点；当事人 的权利和义务；协议变更、解除与终止的条件；违约责任；争议解决方式；当事人协商一致的其他内容；应包括风险告知书、显著提示服务对象或其监护人相关风险,并就保险事项进行约定。</w:t>
      </w:r>
    </w:p>
    <w:p w14:paraId="09491390">
      <w:pPr>
        <w:keepNext w:val="0"/>
        <w:keepLines w:val="0"/>
        <w:pageBreakBefore w:val="0"/>
        <w:kinsoku/>
        <w:wordWrap/>
        <w:overflowPunct/>
        <w:topLinePunct w:val="0"/>
        <w:bidi w:val="0"/>
        <w:adjustRightInd/>
        <w:spacing w:line="360" w:lineRule="auto"/>
        <w:ind w:right="0" w:firstLine="400" w:firstLineChars="200"/>
        <w:jc w:val="left"/>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9.补助标准</w:t>
      </w:r>
    </w:p>
    <w:p w14:paraId="3CD3394A">
      <w:pPr>
        <w:keepNext w:val="0"/>
        <w:keepLines w:val="0"/>
        <w:pageBreakBefore w:val="0"/>
        <w:kinsoku/>
        <w:wordWrap/>
        <w:overflowPunct/>
        <w:topLinePunct w:val="0"/>
        <w:bidi w:val="0"/>
        <w:adjustRightInd/>
        <w:spacing w:line="360" w:lineRule="auto"/>
        <w:ind w:right="0" w:firstLine="400" w:firstLineChars="200"/>
        <w:jc w:val="left"/>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（1）对符合寄宿制集中托养服务条件并接受服务的残疾人采取政府购买服务的形式，每服务3个月为1人次，每人次购买标准6000元。个别服务对象确需长期服务的，按具体服务的时间确定人次。</w:t>
      </w:r>
    </w:p>
    <w:p w14:paraId="642B6397">
      <w:pPr>
        <w:keepNext w:val="0"/>
        <w:keepLines w:val="0"/>
        <w:pageBreakBefore w:val="0"/>
        <w:kinsoku/>
        <w:wordWrap/>
        <w:overflowPunct/>
        <w:topLinePunct w:val="0"/>
        <w:bidi w:val="0"/>
        <w:adjustRightInd/>
        <w:spacing w:line="360" w:lineRule="auto"/>
        <w:ind w:right="0" w:firstLine="400" w:firstLineChars="200"/>
        <w:jc w:val="left"/>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（2）每月托养20天（含20天）以上的按1个月补助，10天（含10天）以上按80%补助，10天以下不予补助。残疾人托养服务机构撤销或托养服务对象退出的，自撤销和退出当月起停拨托养补助资金。</w:t>
      </w:r>
    </w:p>
    <w:p w14:paraId="1336A315">
      <w:pPr>
        <w:keepNext w:val="0"/>
        <w:keepLines w:val="0"/>
        <w:pageBreakBefore w:val="0"/>
        <w:kinsoku/>
        <w:wordWrap/>
        <w:overflowPunct/>
        <w:topLinePunct w:val="0"/>
        <w:bidi w:val="0"/>
        <w:adjustRightInd/>
        <w:spacing w:line="360" w:lineRule="auto"/>
        <w:ind w:right="0"/>
        <w:outlineLvl w:val="9"/>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三、服务时间及服务费用</w:t>
      </w:r>
    </w:p>
    <w:p w14:paraId="5875C3B3">
      <w:pPr>
        <w:keepNext w:val="0"/>
        <w:keepLines w:val="0"/>
        <w:pageBreakBefore w:val="0"/>
        <w:kinsoku/>
        <w:wordWrap/>
        <w:overflowPunct/>
        <w:topLinePunct w:val="0"/>
        <w:bidi w:val="0"/>
        <w:adjustRightInd/>
        <w:spacing w:line="360" w:lineRule="auto"/>
        <w:ind w:right="0" w:firstLine="402" w:firstLineChars="200"/>
        <w:outlineLvl w:val="9"/>
        <w:rPr>
          <w:rFonts w:hint="eastAsia" w:ascii="宋体" w:hAnsi="宋体" w:eastAsia="宋体" w:cs="宋体"/>
          <w:b/>
          <w:color w:val="auto"/>
          <w:sz w:val="20"/>
          <w:szCs w:val="20"/>
          <w:highlight w:val="none"/>
          <w:lang w:eastAsia="zh-CN"/>
        </w:rPr>
      </w:pPr>
      <w:r>
        <w:rPr>
          <w:rFonts w:hint="eastAsia" w:ascii="宋体" w:hAnsi="宋体" w:eastAsia="宋体" w:cs="宋体"/>
          <w:b/>
          <w:bCs/>
          <w:color w:val="auto"/>
          <w:sz w:val="20"/>
          <w:szCs w:val="20"/>
          <w:highlight w:val="none"/>
        </w:rPr>
        <w:t>服务期限</w:t>
      </w:r>
      <w:r>
        <w:rPr>
          <w:rFonts w:hint="eastAsia" w:ascii="宋体" w:hAnsi="宋体" w:eastAsia="宋体" w:cs="宋体"/>
          <w:b w:val="0"/>
          <w:bCs/>
          <w:color w:val="auto"/>
          <w:sz w:val="20"/>
          <w:szCs w:val="20"/>
          <w:highlight w:val="none"/>
        </w:rPr>
        <w:t>：</w:t>
      </w:r>
      <w:r>
        <w:rPr>
          <w:rFonts w:hint="eastAsia" w:ascii="宋体" w:hAnsi="宋体" w:eastAsia="宋体" w:cs="宋体"/>
          <w:color w:val="auto"/>
          <w:sz w:val="20"/>
          <w:szCs w:val="20"/>
          <w:highlight w:val="none"/>
          <w:lang w:val="en-US" w:eastAsia="zh-CN"/>
        </w:rPr>
        <w:t>一年</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eastAsia="zh-CN"/>
        </w:rPr>
        <w:t>（如遇不可抗力因素，视情况协商而定）</w:t>
      </w:r>
    </w:p>
    <w:p w14:paraId="5BA4BE43">
      <w:pPr>
        <w:keepNext w:val="0"/>
        <w:keepLines w:val="0"/>
        <w:pageBreakBefore w:val="0"/>
        <w:kinsoku/>
        <w:wordWrap/>
        <w:overflowPunct/>
        <w:topLinePunct w:val="0"/>
        <w:bidi w:val="0"/>
        <w:adjustRightInd/>
        <w:spacing w:line="360" w:lineRule="auto"/>
        <w:ind w:right="0" w:firstLine="402" w:firstLineChars="200"/>
        <w:outlineLvl w:val="9"/>
        <w:rPr>
          <w:rFonts w:hint="eastAsia" w:ascii="宋体" w:hAnsi="宋体" w:eastAsia="宋体" w:cs="宋体"/>
          <w:b/>
          <w:bCs/>
          <w:color w:val="auto"/>
          <w:sz w:val="20"/>
          <w:szCs w:val="20"/>
          <w:highlight w:val="none"/>
          <w:lang w:val="en-US" w:eastAsia="zh-CN"/>
        </w:rPr>
      </w:pPr>
      <w:r>
        <w:rPr>
          <w:rFonts w:hint="eastAsia" w:ascii="宋体" w:hAnsi="宋体" w:eastAsia="宋体" w:cs="宋体"/>
          <w:b/>
          <w:bCs/>
          <w:color w:val="auto"/>
          <w:sz w:val="20"/>
          <w:szCs w:val="20"/>
          <w:highlight w:val="none"/>
          <w:lang w:val="en-US" w:eastAsia="zh-CN"/>
        </w:rPr>
        <w:t>服务费用</w:t>
      </w:r>
    </w:p>
    <w:p w14:paraId="3E464CBB">
      <w:pPr>
        <w:keepNext w:val="0"/>
        <w:keepLines w:val="0"/>
        <w:pageBreakBefore w:val="0"/>
        <w:kinsoku/>
        <w:wordWrap/>
        <w:overflowPunct/>
        <w:topLinePunct w:val="0"/>
        <w:bidi w:val="0"/>
        <w:adjustRightInd/>
        <w:spacing w:line="360" w:lineRule="auto"/>
        <w:ind w:right="0" w:firstLine="400" w:firstLineChars="200"/>
        <w:jc w:val="left"/>
        <w:rPr>
          <w:rFonts w:hint="default" w:ascii="宋体" w:hAnsi="宋体" w:eastAsia="宋体" w:cs="宋体"/>
          <w:b w:val="0"/>
          <w:bCs/>
          <w:color w:val="auto"/>
          <w:sz w:val="20"/>
          <w:szCs w:val="20"/>
          <w:highlight w:val="none"/>
          <w:u w:val="single"/>
          <w:lang w:val="en-US" w:eastAsia="zh-CN"/>
        </w:rPr>
      </w:pPr>
      <w:r>
        <w:rPr>
          <w:rFonts w:hint="eastAsia" w:ascii="宋体" w:hAnsi="宋体" w:eastAsia="宋体" w:cs="宋体"/>
          <w:b w:val="0"/>
          <w:bCs/>
          <w:color w:val="auto"/>
          <w:sz w:val="20"/>
          <w:szCs w:val="20"/>
          <w:highlight w:val="none"/>
          <w:u w:val="single"/>
          <w:lang w:val="en-US" w:eastAsia="zh-CN"/>
        </w:rPr>
        <w:t>人民币：             （￥       ）</w:t>
      </w:r>
    </w:p>
    <w:p w14:paraId="46A2258B">
      <w:pPr>
        <w:keepNext w:val="0"/>
        <w:keepLines w:val="0"/>
        <w:pageBreakBefore w:val="0"/>
        <w:kinsoku/>
        <w:wordWrap/>
        <w:overflowPunct/>
        <w:topLinePunct w:val="0"/>
        <w:bidi w:val="0"/>
        <w:adjustRightInd/>
        <w:spacing w:line="360" w:lineRule="auto"/>
        <w:ind w:right="0" w:firstLine="400" w:firstLineChars="200"/>
        <w:jc w:val="left"/>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备注：1、服务期内服务对象因自身原因中途放弃享受本项目服务时，乙方需及时报备甲方，经甲方同意后安排其他符合条件服务对象接受剩余次数的服务。</w:t>
      </w:r>
    </w:p>
    <w:p w14:paraId="1F1E4D64">
      <w:pPr>
        <w:keepNext w:val="0"/>
        <w:keepLines w:val="0"/>
        <w:pageBreakBefore w:val="0"/>
        <w:kinsoku/>
        <w:wordWrap/>
        <w:overflowPunct/>
        <w:topLinePunct w:val="0"/>
        <w:bidi w:val="0"/>
        <w:adjustRightInd/>
        <w:spacing w:line="360" w:lineRule="auto"/>
        <w:ind w:right="0" w:firstLine="400" w:firstLineChars="200"/>
        <w:jc w:val="left"/>
        <w:rPr>
          <w:rFonts w:hint="default"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2、最终结算金额不超过采购预算金额。</w:t>
      </w:r>
    </w:p>
    <w:p w14:paraId="63970E40">
      <w:pPr>
        <w:keepNext w:val="0"/>
        <w:keepLines w:val="0"/>
        <w:pageBreakBefore w:val="0"/>
        <w:kinsoku/>
        <w:wordWrap/>
        <w:overflowPunct/>
        <w:topLinePunct w:val="0"/>
        <w:bidi w:val="0"/>
        <w:adjustRightInd/>
        <w:spacing w:line="360" w:lineRule="auto"/>
        <w:ind w:right="0"/>
        <w:outlineLvl w:val="9"/>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lang w:val="en-US" w:eastAsia="zh-CN"/>
        </w:rPr>
        <w:t>四</w:t>
      </w:r>
      <w:r>
        <w:rPr>
          <w:rFonts w:hint="eastAsia" w:ascii="宋体" w:hAnsi="宋体" w:eastAsia="宋体" w:cs="宋体"/>
          <w:b/>
          <w:bCs/>
          <w:color w:val="auto"/>
          <w:sz w:val="20"/>
          <w:szCs w:val="20"/>
          <w:highlight w:val="none"/>
        </w:rPr>
        <w:t>、双方的权利和义务</w:t>
      </w:r>
    </w:p>
    <w:p w14:paraId="5A0F411F">
      <w:pPr>
        <w:keepNext w:val="0"/>
        <w:keepLines w:val="0"/>
        <w:pageBreakBefore w:val="0"/>
        <w:kinsoku/>
        <w:wordWrap/>
        <w:overflowPunct/>
        <w:topLinePunct w:val="0"/>
        <w:bidi w:val="0"/>
        <w:adjustRightInd/>
        <w:spacing w:line="360" w:lineRule="auto"/>
        <w:ind w:right="0"/>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（一）甲方的权力和义务：</w:t>
      </w:r>
    </w:p>
    <w:p w14:paraId="4CB8BE3C">
      <w:pPr>
        <w:keepNext w:val="0"/>
        <w:keepLines w:val="0"/>
        <w:pageBreakBefore w:val="0"/>
        <w:kinsoku/>
        <w:wordWrap/>
        <w:overflowPunct/>
        <w:topLinePunct w:val="0"/>
        <w:bidi w:val="0"/>
        <w:adjustRightInd/>
        <w:spacing w:line="360" w:lineRule="auto"/>
        <w:ind w:right="0" w:firstLine="400" w:firstLineChars="200"/>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1、向乙方提供辖区内享受服务对象的基本情况；</w:t>
      </w:r>
    </w:p>
    <w:p w14:paraId="15B896B6">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2、协调各街道办事处、社区、村委会做好服务员与服务对象的对接工作；</w:t>
      </w:r>
    </w:p>
    <w:p w14:paraId="06CEBD94">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3、指派专人对乙方服务情况进行跟踪检查和监督，保证服务质量，保证居家安养服务对象满意。</w:t>
      </w:r>
    </w:p>
    <w:p w14:paraId="52A4488C">
      <w:pPr>
        <w:keepNext w:val="0"/>
        <w:keepLines w:val="0"/>
        <w:pageBreakBefore w:val="0"/>
        <w:kinsoku/>
        <w:wordWrap/>
        <w:overflowPunct/>
        <w:topLinePunct w:val="0"/>
        <w:bidi w:val="0"/>
        <w:adjustRightInd/>
        <w:spacing w:line="360" w:lineRule="auto"/>
        <w:ind w:right="0"/>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（二）乙方的权力和义务：</w:t>
      </w:r>
    </w:p>
    <w:p w14:paraId="4EE9E38A">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1、按照甲方要求，选拔优秀服务员，为甲方提供的服务对象进行服务；</w:t>
      </w:r>
    </w:p>
    <w:p w14:paraId="68E632E3">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2、教育服务员，树立正确的服务观念，要增强服务意识，要用爱心和专业的技能为居家安养服务对象服好务；</w:t>
      </w:r>
    </w:p>
    <w:p w14:paraId="108D2EFB">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3、在协议履行期间，要及时向甲方汇报服务工作的开展情况，积极认真征求甲方对居家安养服务的建议和意见，不断总结完善提高服务水平，做到：服务对象有需求，服务在身边；</w:t>
      </w:r>
    </w:p>
    <w:p w14:paraId="2E31A646">
      <w:pPr>
        <w:keepNext w:val="0"/>
        <w:keepLines w:val="0"/>
        <w:pageBreakBefore w:val="0"/>
        <w:kinsoku/>
        <w:wordWrap/>
        <w:overflowPunct/>
        <w:topLinePunct w:val="0"/>
        <w:bidi w:val="0"/>
        <w:adjustRightInd/>
        <w:spacing w:line="360" w:lineRule="auto"/>
        <w:ind w:right="0" w:firstLine="400" w:firstLineChars="200"/>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4、服务</w:t>
      </w:r>
      <w:r>
        <w:rPr>
          <w:rFonts w:hint="eastAsia" w:ascii="宋体" w:hAnsi="宋体" w:eastAsia="宋体" w:cs="宋体"/>
          <w:color w:val="auto"/>
          <w:sz w:val="20"/>
          <w:szCs w:val="20"/>
          <w:highlight w:val="none"/>
          <w:lang w:val="en-US" w:eastAsia="zh-CN"/>
        </w:rPr>
        <w:t>人</w:t>
      </w:r>
      <w:r>
        <w:rPr>
          <w:rFonts w:hint="eastAsia" w:ascii="宋体" w:hAnsi="宋体" w:eastAsia="宋体" w:cs="宋体"/>
          <w:color w:val="auto"/>
          <w:sz w:val="20"/>
          <w:szCs w:val="20"/>
          <w:highlight w:val="none"/>
        </w:rPr>
        <w:t>员标准：</w:t>
      </w:r>
    </w:p>
    <w:p w14:paraId="120A2095">
      <w:pPr>
        <w:keepNext w:val="0"/>
        <w:keepLines w:val="0"/>
        <w:pageBreakBefore w:val="0"/>
        <w:kinsoku/>
        <w:wordWrap/>
        <w:overflowPunct/>
        <w:topLinePunct w:val="0"/>
        <w:bidi w:val="0"/>
        <w:adjustRightInd/>
        <w:spacing w:line="360" w:lineRule="auto"/>
        <w:ind w:right="0" w:firstLine="400" w:firstLineChars="200"/>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--热爱服务工作，遵守职业道德，讲文明、讲礼貌；</w:t>
      </w:r>
    </w:p>
    <w:p w14:paraId="466A0B2E">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--诚实守信，不怕苦、不怕脏、不怕累，对残疾人有爱心、有耐心，奉献精神强；</w:t>
      </w:r>
    </w:p>
    <w:p w14:paraId="6A348F10">
      <w:pPr>
        <w:keepNext w:val="0"/>
        <w:keepLines w:val="0"/>
        <w:pageBreakBefore w:val="0"/>
        <w:kinsoku/>
        <w:wordWrap/>
        <w:overflowPunct/>
        <w:topLinePunct w:val="0"/>
        <w:bidi w:val="0"/>
        <w:adjustRightInd/>
        <w:spacing w:line="360" w:lineRule="auto"/>
        <w:ind w:right="0" w:firstLine="400" w:firstLineChars="200"/>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--性格温和、善良贤惠、心胸豁达、善解人意、勤俭节约、沟通能力强；</w:t>
      </w:r>
    </w:p>
    <w:p w14:paraId="27280EFB">
      <w:pPr>
        <w:keepNext w:val="0"/>
        <w:keepLines w:val="0"/>
        <w:pageBreakBefore w:val="0"/>
        <w:kinsoku/>
        <w:wordWrap/>
        <w:overflowPunct/>
        <w:topLinePunct w:val="0"/>
        <w:bidi w:val="0"/>
        <w:adjustRightInd/>
        <w:spacing w:line="360" w:lineRule="auto"/>
        <w:ind w:right="0" w:firstLine="400" w:firstLineChars="200"/>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--尊重残疾人的生活习惯和饮食习惯，尊重残疾人的隐私权、名誉权；</w:t>
      </w:r>
    </w:p>
    <w:p w14:paraId="7D244436">
      <w:pPr>
        <w:keepNext w:val="0"/>
        <w:keepLines w:val="0"/>
        <w:pageBreakBefore w:val="0"/>
        <w:kinsoku/>
        <w:wordWrap/>
        <w:overflowPunct/>
        <w:topLinePunct w:val="0"/>
        <w:bidi w:val="0"/>
        <w:adjustRightInd/>
        <w:spacing w:line="360" w:lineRule="auto"/>
        <w:ind w:right="0" w:firstLine="400" w:firstLineChars="200"/>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--勤奋敬业、善于学习、技能精湛、服务意识强、服务能力强； </w:t>
      </w:r>
    </w:p>
    <w:p w14:paraId="5EF6A0B5">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--女性年龄在18至52周岁，男性年龄在18至56周岁，初中以上文化程度，持身份证、资格证、健康证、上岗证；--服从安排，服从分配，积极热情地开展为残疾人服务的各项工作。</w:t>
      </w:r>
    </w:p>
    <w:p w14:paraId="22AB4644">
      <w:pPr>
        <w:keepNext w:val="0"/>
        <w:keepLines w:val="0"/>
        <w:pageBreakBefore w:val="0"/>
        <w:kinsoku/>
        <w:wordWrap/>
        <w:overflowPunct/>
        <w:topLinePunct w:val="0"/>
        <w:bidi w:val="0"/>
        <w:adjustRightInd/>
        <w:spacing w:line="360" w:lineRule="auto"/>
        <w:ind w:right="0"/>
        <w:outlineLvl w:val="9"/>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lang w:val="en-US" w:eastAsia="zh-CN"/>
        </w:rPr>
        <w:t>五</w:t>
      </w:r>
      <w:r>
        <w:rPr>
          <w:rFonts w:hint="eastAsia" w:ascii="宋体" w:hAnsi="宋体" w:eastAsia="宋体" w:cs="宋体"/>
          <w:b/>
          <w:bCs/>
          <w:color w:val="auto"/>
          <w:sz w:val="20"/>
          <w:szCs w:val="20"/>
          <w:highlight w:val="none"/>
        </w:rPr>
        <w:t>、结算办法和服务费支付方式</w:t>
      </w:r>
    </w:p>
    <w:p w14:paraId="34B2C62C">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1.</w:t>
      </w:r>
      <w:r>
        <w:rPr>
          <w:rFonts w:hint="eastAsia" w:ascii="宋体" w:hAnsi="宋体" w:eastAsia="宋体" w:cs="宋体"/>
          <w:color w:val="auto"/>
          <w:sz w:val="20"/>
          <w:szCs w:val="20"/>
          <w:highlight w:val="none"/>
        </w:rPr>
        <w:t>每半年根据成交单价及实际服务人次据实结算，达到付款条件起30日内，支付合同总金额的50.00%。</w:t>
      </w:r>
    </w:p>
    <w:p w14:paraId="72651B11">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2.</w:t>
      </w:r>
      <w:r>
        <w:rPr>
          <w:rFonts w:hint="eastAsia" w:ascii="宋体" w:hAnsi="宋体" w:eastAsia="宋体" w:cs="宋体"/>
          <w:color w:val="auto"/>
          <w:sz w:val="20"/>
          <w:szCs w:val="20"/>
          <w:highlight w:val="none"/>
        </w:rPr>
        <w:t>成交供应商完成全部工作，经采购人验收合格后，据实结算，最终结算金额不得超过采购预算，达到付款条件起30日内，支付合同总金额的 50.00%。</w:t>
      </w:r>
    </w:p>
    <w:p w14:paraId="39FD5DC5">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1）结算方式：银行转账。</w:t>
      </w:r>
    </w:p>
    <w:p w14:paraId="1C24C9EF">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2）结算单位：由甲方负责结算，乙方开具合同总价数的全额发票交甲方。</w:t>
      </w:r>
    </w:p>
    <w:p w14:paraId="0508920C">
      <w:pPr>
        <w:keepNext w:val="0"/>
        <w:keepLines w:val="0"/>
        <w:pageBreakBefore w:val="0"/>
        <w:kinsoku/>
        <w:wordWrap/>
        <w:overflowPunct/>
        <w:topLinePunct w:val="0"/>
        <w:bidi w:val="0"/>
        <w:adjustRightInd/>
        <w:spacing w:line="360" w:lineRule="auto"/>
        <w:ind w:right="0"/>
        <w:outlineLvl w:val="9"/>
        <w:rPr>
          <w:rFonts w:hint="eastAsia" w:ascii="宋体" w:hAnsi="宋体" w:eastAsia="宋体" w:cs="宋体"/>
          <w:b/>
          <w:bCs/>
          <w:color w:val="auto"/>
          <w:sz w:val="20"/>
          <w:szCs w:val="20"/>
          <w:highlight w:val="none"/>
          <w:lang w:val="en-US" w:eastAsia="zh-CN"/>
        </w:rPr>
      </w:pPr>
      <w:r>
        <w:rPr>
          <w:rFonts w:hint="eastAsia" w:ascii="宋体" w:hAnsi="宋体" w:eastAsia="宋体" w:cs="宋体"/>
          <w:b/>
          <w:bCs/>
          <w:color w:val="auto"/>
          <w:sz w:val="20"/>
          <w:szCs w:val="20"/>
          <w:highlight w:val="none"/>
          <w:lang w:val="en-US" w:eastAsia="zh-CN"/>
        </w:rPr>
        <w:t>六、验收标准和依据</w:t>
      </w:r>
    </w:p>
    <w:p w14:paraId="37563CB6">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1.验收依据</w:t>
      </w:r>
    </w:p>
    <w:p w14:paraId="3955FC4D">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法律法规与政策文件</w:t>
      </w:r>
      <w:r>
        <w:rPr>
          <w:rFonts w:hint="eastAsia" w:ascii="宋体" w:hAnsi="宋体" w:eastAsia="宋体" w:cs="宋体"/>
          <w:color w:val="auto"/>
          <w:sz w:val="20"/>
          <w:szCs w:val="20"/>
          <w:highlight w:val="none"/>
          <w:lang w:eastAsia="zh-CN"/>
        </w:rPr>
        <w:t>：</w:t>
      </w:r>
      <w:bookmarkStart w:id="16" w:name="_GoBack"/>
      <w:bookmarkEnd w:id="16"/>
      <w:r>
        <w:rPr>
          <w:rFonts w:hint="eastAsia" w:ascii="宋体" w:hAnsi="宋体" w:eastAsia="宋体" w:cs="宋体"/>
          <w:color w:val="auto"/>
          <w:sz w:val="20"/>
          <w:szCs w:val="20"/>
          <w:highlight w:val="none"/>
        </w:rPr>
        <w:t>《中华人民共和国残疾人保障法》《残疾人托养服务机构建设标准》；（2）《残疾人集中托养服务规范》《养老护理员国家职业标准》《医疗机构管理条例》；（3）省、市、区残疾人事业发展、残疾人托养相关实施细则、民生服务保障文件。</w:t>
      </w:r>
    </w:p>
    <w:p w14:paraId="71D7C756">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项目合同资料</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项目采购文件、成交供应商响应文件、正式服务采购合同、补充协议、服务实施方案。</w:t>
      </w:r>
    </w:p>
    <w:p w14:paraId="36C5986C">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日常运营台账</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服务记录、人员排班、康复护理档案、安全巡查、财务耗材、应急处置、回访记录等全过程台账</w:t>
      </w:r>
    </w:p>
    <w:p w14:paraId="1A0B68C2">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2.验收标准</w:t>
      </w:r>
    </w:p>
    <w:p w14:paraId="6ECD82AF">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供应商须完整履行合同全部服务条款，具备合规场地、齐全资质、稳定专业队伍，24小时常态化集中托养服务规范、安全无事故，残疾人照护、康复、医疗、心理服务全覆盖，服务对象及家属满意度达标，运营管理体系完整可持续。</w:t>
      </w:r>
    </w:p>
    <w:p w14:paraId="104E5DE1">
      <w:pPr>
        <w:keepNext w:val="0"/>
        <w:keepLines w:val="0"/>
        <w:pageBreakBefore w:val="0"/>
        <w:kinsoku/>
        <w:wordWrap/>
        <w:overflowPunct/>
        <w:topLinePunct w:val="0"/>
        <w:bidi w:val="0"/>
        <w:adjustRightInd/>
        <w:spacing w:line="360" w:lineRule="auto"/>
        <w:ind w:right="0"/>
        <w:outlineLvl w:val="9"/>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lang w:val="en-US" w:eastAsia="zh-CN"/>
        </w:rPr>
        <w:t>七</w:t>
      </w:r>
      <w:r>
        <w:rPr>
          <w:rFonts w:hint="eastAsia" w:ascii="宋体" w:hAnsi="宋体" w:eastAsia="宋体" w:cs="宋体"/>
          <w:b/>
          <w:bCs/>
          <w:color w:val="auto"/>
          <w:sz w:val="20"/>
          <w:szCs w:val="20"/>
          <w:highlight w:val="none"/>
        </w:rPr>
        <w:t>、相关责任</w:t>
      </w:r>
    </w:p>
    <w:p w14:paraId="73A903C4">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1、乙方提供服务期间，与服务对象发生涉及法律等方面的纠纷，如服务人员或服务对象发生人身意外伤害、财产丢失等相关责任，均由乙方承担，甲方不承担法律责任。</w:t>
      </w:r>
    </w:p>
    <w:p w14:paraId="730E6EC9">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2、乙方派出的服务人员不符合服务标准，甲方有权要求其予以整改，整改仍达不到甲方要求的服务标准时，甲方有权要求其更换服务员，因此产生的相应损失由乙方自行承担。</w:t>
      </w:r>
    </w:p>
    <w:p w14:paraId="0B140C8F">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3、如乙方有未如期进行服务，服务严重达不到服务标准，影响本合同继续履行的，甲方有权解除合同，并要求其承担应付服务费用20%的违约金。</w:t>
      </w:r>
    </w:p>
    <w:p w14:paraId="724AC64F">
      <w:pPr>
        <w:keepNext w:val="0"/>
        <w:keepLines w:val="0"/>
        <w:pageBreakBefore w:val="0"/>
        <w:kinsoku/>
        <w:wordWrap/>
        <w:overflowPunct/>
        <w:topLinePunct w:val="0"/>
        <w:bidi w:val="0"/>
        <w:adjustRightInd/>
        <w:spacing w:line="360" w:lineRule="auto"/>
        <w:ind w:right="0"/>
        <w:outlineLvl w:val="9"/>
        <w:rPr>
          <w:rFonts w:hint="eastAsia" w:ascii="宋体" w:hAnsi="宋体" w:eastAsia="宋体" w:cs="宋体"/>
          <w:b/>
          <w:bCs/>
          <w:color w:val="auto"/>
          <w:sz w:val="20"/>
          <w:szCs w:val="20"/>
          <w:highlight w:val="none"/>
          <w:lang w:val="en-US" w:eastAsia="zh-CN"/>
        </w:rPr>
      </w:pPr>
      <w:r>
        <w:rPr>
          <w:rFonts w:hint="eastAsia" w:ascii="宋体" w:hAnsi="宋体" w:eastAsia="宋体" w:cs="宋体"/>
          <w:b/>
          <w:bCs/>
          <w:color w:val="auto"/>
          <w:sz w:val="20"/>
          <w:szCs w:val="20"/>
          <w:highlight w:val="none"/>
          <w:lang w:val="en-US" w:eastAsia="zh-CN"/>
        </w:rPr>
        <w:t>八、合同生效及其他</w:t>
      </w:r>
    </w:p>
    <w:p w14:paraId="6EDEA556">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1、合同未尽事宜由甲、乙双方协商，作为合同补充，与原合同具有同等法律效力。</w:t>
      </w:r>
    </w:p>
    <w:p w14:paraId="76D475FA">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2、合同正本一式</w:t>
      </w:r>
      <w:r>
        <w:rPr>
          <w:rFonts w:hint="eastAsia" w:ascii="宋体" w:hAnsi="宋体" w:eastAsia="宋体" w:cs="宋体"/>
          <w:color w:val="auto"/>
          <w:sz w:val="20"/>
          <w:szCs w:val="20"/>
          <w:highlight w:val="none"/>
          <w:u w:val="single"/>
          <w:lang w:val="en-US" w:eastAsia="zh-CN"/>
        </w:rPr>
        <w:t xml:space="preserve"> 4 </w:t>
      </w:r>
      <w:r>
        <w:rPr>
          <w:rFonts w:hint="eastAsia" w:ascii="宋体" w:hAnsi="宋体" w:eastAsia="宋体" w:cs="宋体"/>
          <w:color w:val="auto"/>
          <w:sz w:val="20"/>
          <w:szCs w:val="20"/>
          <w:highlight w:val="none"/>
          <w:lang w:val="en-US" w:eastAsia="zh-CN"/>
        </w:rPr>
        <w:t>份，甲方、乙方双方各执</w:t>
      </w:r>
      <w:r>
        <w:rPr>
          <w:rFonts w:hint="eastAsia" w:ascii="宋体" w:hAnsi="宋体" w:eastAsia="宋体" w:cs="宋体"/>
          <w:color w:val="auto"/>
          <w:sz w:val="20"/>
          <w:szCs w:val="20"/>
          <w:highlight w:val="none"/>
          <w:u w:val="single"/>
          <w:lang w:val="en-US" w:eastAsia="zh-CN"/>
        </w:rPr>
        <w:t xml:space="preserve"> 2 </w:t>
      </w:r>
      <w:r>
        <w:rPr>
          <w:rFonts w:hint="eastAsia" w:ascii="宋体" w:hAnsi="宋体" w:eastAsia="宋体" w:cs="宋体"/>
          <w:color w:val="auto"/>
          <w:sz w:val="20"/>
          <w:szCs w:val="20"/>
          <w:highlight w:val="none"/>
          <w:lang w:val="en-US" w:eastAsia="zh-CN"/>
        </w:rPr>
        <w:t>份。</w:t>
      </w:r>
    </w:p>
    <w:p w14:paraId="78A404FA">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3、合同经甲乙双方盖章、签字后生效。</w:t>
      </w:r>
    </w:p>
    <w:p w14:paraId="3B325FEC">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4、合同签订地点为：</w:t>
      </w:r>
      <w:r>
        <w:rPr>
          <w:rFonts w:hint="eastAsia" w:ascii="宋体" w:hAnsi="宋体" w:eastAsia="宋体" w:cs="宋体"/>
          <w:color w:val="auto"/>
          <w:sz w:val="20"/>
          <w:szCs w:val="20"/>
          <w:highlight w:val="none"/>
          <w:u w:val="single"/>
          <w:lang w:val="en-US" w:eastAsia="zh-CN"/>
        </w:rPr>
        <w:t xml:space="preserve"> 西安市高陵区残疾人联合会 </w:t>
      </w:r>
      <w:r>
        <w:rPr>
          <w:rFonts w:hint="eastAsia" w:ascii="宋体" w:hAnsi="宋体" w:eastAsia="宋体" w:cs="宋体"/>
          <w:color w:val="auto"/>
          <w:sz w:val="20"/>
          <w:szCs w:val="20"/>
          <w:highlight w:val="none"/>
          <w:lang w:val="en-US" w:eastAsia="zh-CN"/>
        </w:rPr>
        <w:t>。</w:t>
      </w:r>
    </w:p>
    <w:p w14:paraId="565CC573">
      <w:pPr>
        <w:keepNext w:val="0"/>
        <w:keepLines w:val="0"/>
        <w:pageBreakBefore w:val="0"/>
        <w:kinsoku/>
        <w:wordWrap/>
        <w:overflowPunct/>
        <w:topLinePunct w:val="0"/>
        <w:bidi w:val="0"/>
        <w:adjustRightInd/>
        <w:spacing w:line="360" w:lineRule="auto"/>
        <w:ind w:right="0"/>
        <w:outlineLvl w:val="9"/>
        <w:rPr>
          <w:rFonts w:hint="eastAsia" w:ascii="宋体" w:hAnsi="宋体" w:eastAsia="宋体" w:cs="宋体"/>
          <w:b/>
          <w:bCs/>
          <w:color w:val="auto"/>
          <w:sz w:val="20"/>
          <w:szCs w:val="20"/>
          <w:highlight w:val="none"/>
          <w:lang w:val="en-US" w:eastAsia="zh-CN"/>
        </w:rPr>
      </w:pPr>
      <w:r>
        <w:rPr>
          <w:rFonts w:hint="eastAsia" w:ascii="宋体" w:hAnsi="宋体" w:eastAsia="宋体" w:cs="宋体"/>
          <w:b/>
          <w:bCs/>
          <w:color w:val="auto"/>
          <w:sz w:val="20"/>
          <w:szCs w:val="20"/>
          <w:highlight w:val="none"/>
          <w:lang w:val="en-US" w:eastAsia="zh-CN"/>
        </w:rPr>
        <w:t>九、争议与解决途径</w:t>
      </w:r>
    </w:p>
    <w:p w14:paraId="6E7E3D18">
      <w:pPr>
        <w:keepNext w:val="0"/>
        <w:keepLines w:val="0"/>
        <w:pageBreakBefore w:val="0"/>
        <w:kinsoku/>
        <w:wordWrap/>
        <w:overflowPunct/>
        <w:topLinePunct w:val="0"/>
        <w:bidi w:val="0"/>
        <w:adjustRightInd/>
        <w:spacing w:line="360" w:lineRule="auto"/>
        <w:ind w:right="0" w:firstLine="400" w:firstLineChars="200"/>
        <w:outlineLvl w:val="9"/>
        <w:rPr>
          <w:rFonts w:hint="eastAsia" w:ascii="宋体" w:hAnsi="宋体" w:eastAsia="宋体" w:cs="宋体"/>
          <w:color w:val="auto"/>
          <w:sz w:val="20"/>
          <w:szCs w:val="20"/>
          <w:highlight w:val="none"/>
          <w:lang w:val="en-US" w:eastAsia="zh-CN"/>
        </w:rPr>
      </w:pPr>
      <w:r>
        <w:rPr>
          <w:rFonts w:hint="default" w:ascii="宋体" w:hAnsi="宋体" w:eastAsia="宋体" w:cs="宋体"/>
          <w:color w:val="auto"/>
          <w:sz w:val="20"/>
          <w:szCs w:val="20"/>
          <w:highlight w:val="none"/>
          <w:lang w:val="en-US" w:eastAsia="zh-CN"/>
        </w:rPr>
        <w:t>向有管辖权的人民法院提起诉讼</w:t>
      </w:r>
      <w:r>
        <w:rPr>
          <w:rFonts w:hint="eastAsia" w:ascii="宋体" w:hAnsi="宋体" w:eastAsia="宋体" w:cs="宋体"/>
          <w:color w:val="auto"/>
          <w:sz w:val="20"/>
          <w:szCs w:val="20"/>
          <w:highlight w:val="none"/>
          <w:lang w:val="en-US" w:eastAsia="zh-CN"/>
        </w:rPr>
        <w:t>。</w:t>
      </w:r>
    </w:p>
    <w:p w14:paraId="534F754B">
      <w:pPr>
        <w:keepNext w:val="0"/>
        <w:keepLines w:val="0"/>
        <w:pageBreakBefore w:val="0"/>
        <w:kinsoku/>
        <w:wordWrap/>
        <w:overflowPunct/>
        <w:topLinePunct w:val="0"/>
        <w:bidi w:val="0"/>
        <w:adjustRightInd/>
        <w:spacing w:line="360" w:lineRule="auto"/>
        <w:ind w:right="0"/>
        <w:outlineLvl w:val="9"/>
        <w:rPr>
          <w:rFonts w:hint="default" w:ascii="宋体" w:hAnsi="宋体" w:eastAsia="宋体" w:cs="宋体"/>
          <w:color w:val="auto"/>
          <w:sz w:val="20"/>
          <w:szCs w:val="20"/>
          <w:highlight w:val="none"/>
          <w:lang w:val="en-US" w:eastAsia="zh-CN"/>
        </w:rPr>
      </w:pPr>
    </w:p>
    <w:p w14:paraId="3F391380">
      <w:pPr>
        <w:keepNext w:val="0"/>
        <w:keepLines w:val="0"/>
        <w:pageBreakBefore w:val="0"/>
        <w:kinsoku/>
        <w:wordWrap/>
        <w:overflowPunct/>
        <w:topLinePunct w:val="0"/>
        <w:bidi w:val="0"/>
        <w:adjustRightInd/>
        <w:spacing w:line="360" w:lineRule="auto"/>
        <w:ind w:right="0"/>
        <w:outlineLvl w:val="9"/>
        <w:rPr>
          <w:rFonts w:hint="default" w:ascii="宋体" w:hAnsi="宋体" w:eastAsia="宋体" w:cs="宋体"/>
          <w:color w:val="auto"/>
          <w:sz w:val="20"/>
          <w:szCs w:val="20"/>
          <w:highlight w:val="none"/>
          <w:lang w:val="en-US" w:eastAsia="zh-CN"/>
        </w:rPr>
      </w:pPr>
    </w:p>
    <w:p w14:paraId="57C50284">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甲方：                   （盖章）             乙方：          （盖章）</w:t>
      </w:r>
    </w:p>
    <w:p w14:paraId="25938270">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 xml:space="preserve">地址：                                       地址：                  </w:t>
      </w:r>
    </w:p>
    <w:p w14:paraId="24FE4E07">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法人或授权代表签字或盖章：                    法人或授权代表签字或盖章：</w:t>
      </w:r>
    </w:p>
    <w:p w14:paraId="402A198B">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电话：                                        电话：</w:t>
      </w:r>
    </w:p>
    <w:p w14:paraId="461A06D7">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开户银行：                                    开户银行：</w:t>
      </w:r>
    </w:p>
    <w:p w14:paraId="42CD2D84">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 xml:space="preserve">帐号：                                        帐号： </w:t>
      </w:r>
    </w:p>
    <w:p w14:paraId="4D09EB88">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项目联系人：                                  项目联系人：</w:t>
      </w:r>
    </w:p>
    <w:p w14:paraId="3FD625CC">
      <w:pPr>
        <w:keepNext w:val="0"/>
        <w:keepLines w:val="0"/>
        <w:pageBreakBefore w:val="0"/>
        <w:kinsoku/>
        <w:wordWrap/>
        <w:overflowPunct/>
        <w:topLinePunct w:val="0"/>
        <w:bidi w:val="0"/>
        <w:adjustRightInd/>
        <w:spacing w:line="360" w:lineRule="auto"/>
        <w:ind w:right="0" w:firstLine="400" w:firstLineChars="200"/>
        <w:jc w:val="left"/>
        <w:outlineLvl w:val="9"/>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联系电话：                                    联系电话：</w:t>
      </w:r>
    </w:p>
    <w:p w14:paraId="2297B5B3">
      <w:pPr>
        <w:keepNext w:val="0"/>
        <w:keepLines w:val="0"/>
        <w:pageBreakBefore w:val="0"/>
        <w:kinsoku/>
        <w:wordWrap/>
        <w:overflowPunct/>
        <w:topLinePunct w:val="0"/>
        <w:bidi w:val="0"/>
        <w:adjustRightInd/>
        <w:spacing w:line="360" w:lineRule="auto"/>
        <w:ind w:right="0" w:firstLine="400" w:firstLineChars="200"/>
        <w:jc w:val="left"/>
        <w:outlineLvl w:val="9"/>
        <w:rPr>
          <w:sz w:val="20"/>
          <w:szCs w:val="20"/>
        </w:rPr>
      </w:pPr>
      <w:r>
        <w:rPr>
          <w:rFonts w:hint="eastAsia" w:ascii="宋体" w:hAnsi="宋体" w:eastAsia="宋体" w:cs="宋体"/>
          <w:color w:val="auto"/>
          <w:sz w:val="20"/>
          <w:szCs w:val="20"/>
          <w:highlight w:val="none"/>
          <w:lang w:val="en-US" w:eastAsia="zh-CN"/>
        </w:rPr>
        <w:t>签订日期：                                    签订日期：</w:t>
      </w: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D4E15600-30DF-4E54-927E-91ECF8FD9EC3}"/>
  </w:font>
  <w:font w:name="方正小标宋简体">
    <w:panose1 w:val="02000000000000000000"/>
    <w:charset w:val="86"/>
    <w:family w:val="auto"/>
    <w:pitch w:val="default"/>
    <w:sig w:usb0="00000001" w:usb1="08000000" w:usb2="00000000" w:usb3="00000000" w:csb0="00040000" w:csb1="00000000"/>
    <w:embedRegular r:id="rId2" w:fontKey="{626DD269-1442-481F-BC0C-DEFF8920154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6CCDE">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BAF4BA">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0BAF4BA">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D76D3">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B1C5DD">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7B1C5DD">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325564"/>
    <w:multiLevelType w:val="singleLevel"/>
    <w:tmpl w:val="82325564"/>
    <w:lvl w:ilvl="0" w:tentative="0">
      <w:start w:val="1"/>
      <w:numFmt w:val="chineseCounting"/>
      <w:pStyle w:val="2"/>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4MTgyMjY0OGIyZTQxYzdjNDlmOWI4NWUwMDYyMzQifQ=="/>
  </w:docVars>
  <w:rsids>
    <w:rsidRoot w:val="73D75B4A"/>
    <w:rsid w:val="18A17255"/>
    <w:rsid w:val="1C823FD5"/>
    <w:rsid w:val="2AC65F73"/>
    <w:rsid w:val="38575906"/>
    <w:rsid w:val="46AF2D26"/>
    <w:rsid w:val="4B013800"/>
    <w:rsid w:val="4B456E14"/>
    <w:rsid w:val="59486BBD"/>
    <w:rsid w:val="5B9A792E"/>
    <w:rsid w:val="616671EC"/>
    <w:rsid w:val="72061886"/>
    <w:rsid w:val="73145131"/>
    <w:rsid w:val="73D75B4A"/>
    <w:rsid w:val="777B36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1"/>
    <w:qFormat/>
    <w:uiPriority w:val="0"/>
    <w:pPr>
      <w:keepNext/>
      <w:keepLines/>
      <w:numPr>
        <w:ilvl w:val="0"/>
        <w:numId w:val="1"/>
      </w:numPr>
      <w:spacing w:before="340" w:beforeLines="0" w:beforeAutospacing="0" w:after="330" w:afterLines="0" w:afterAutospacing="0" w:line="576" w:lineRule="auto"/>
      <w:outlineLvl w:val="0"/>
    </w:pPr>
    <w:rPr>
      <w:rFonts w:ascii="Calibri" w:hAnsi="Calibri" w:eastAsia="宋体" w:cs="Times New Roman"/>
      <w:b/>
      <w:kern w:val="44"/>
      <w:sz w:val="44"/>
    </w:rPr>
  </w:style>
  <w:style w:type="paragraph" w:styleId="3">
    <w:name w:val="heading 3"/>
    <w:basedOn w:val="1"/>
    <w:next w:val="1"/>
    <w:link w:val="10"/>
    <w:semiHidden/>
    <w:unhideWhenUsed/>
    <w:qFormat/>
    <w:uiPriority w:val="0"/>
    <w:pPr>
      <w:keepNext/>
      <w:keepLines/>
      <w:spacing w:before="200" w:beforeLines="0" w:beforeAutospacing="0" w:after="160" w:afterLines="0" w:afterAutospacing="0" w:line="240" w:lineRule="auto"/>
      <w:outlineLvl w:val="2"/>
    </w:pPr>
    <w:rPr>
      <w:rFonts w:eastAsia="宋体" w:cs="Times New Roman"/>
      <w:b/>
      <w:sz w:val="32"/>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 w:val="21"/>
    </w:rPr>
  </w:style>
  <w:style w:type="paragraph" w:styleId="5">
    <w:name w:val="Body Text"/>
    <w:basedOn w:val="1"/>
    <w:next w:val="1"/>
    <w:qFormat/>
    <w:uiPriority w:val="0"/>
    <w:pPr>
      <w:spacing w:after="120"/>
    </w:pPr>
    <w:rPr>
      <w:kern w:val="0"/>
      <w:sz w:val="20"/>
      <w:szCs w:val="24"/>
    </w:rPr>
  </w:style>
  <w:style w:type="paragraph" w:styleId="6">
    <w:name w:val="footer"/>
    <w:basedOn w:val="1"/>
    <w:next w:val="5"/>
    <w:qFormat/>
    <w:uiPriority w:val="0"/>
    <w:pPr>
      <w:tabs>
        <w:tab w:val="center" w:pos="4153"/>
        <w:tab w:val="right" w:pos="8306"/>
      </w:tabs>
      <w:snapToGrid w:val="0"/>
      <w:jc w:val="left"/>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标题 3 Char"/>
    <w:link w:val="3"/>
    <w:uiPriority w:val="0"/>
    <w:rPr>
      <w:rFonts w:eastAsia="宋体" w:cs="Times New Roman"/>
      <w:b/>
      <w:sz w:val="32"/>
    </w:rPr>
  </w:style>
  <w:style w:type="character" w:customStyle="1" w:styleId="11">
    <w:name w:val="标题 1 Char"/>
    <w:link w:val="2"/>
    <w:qFormat/>
    <w:uiPriority w:val="0"/>
    <w:rPr>
      <w:rFonts w:ascii="Calibri" w:hAnsi="Calibri" w:eastAsia="宋体" w:cs="Times New Roman"/>
      <w:b/>
      <w:kern w:val="44"/>
      <w:sz w:val="44"/>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4943</Words>
  <Characters>5032</Characters>
  <Lines>0</Lines>
  <Paragraphs>0</Paragraphs>
  <TotalTime>3</TotalTime>
  <ScaleCrop>false</ScaleCrop>
  <LinksUpToDate>false</LinksUpToDate>
  <CharactersWithSpaces>5623</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2024-07-18T06:31:00Z</dcterms:created>
  <dc:creator>lyo00o0</dc:creator>
  <cp:lastModifiedBy>向风而行</cp:lastModifiedBy>
  <dcterms:modified xsi:type="dcterms:W3CDTF">2026-07-07T04:49:16Z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ICV">
    <vt:lpwstr>CEE6F79FE2CC4B16ADFD9819010C1CA8_11</vt:lpwstr>
  </property>
  <property fmtid="{D5CDD505-2E9C-101B-9397-08002B2CF9AE}" pid="4" name="KSOTemplateDocerSaveRecord">
    <vt:lpwstr>eyJoZGlkIjoiMWQyYWRiNTUyZWUyNGUzY2JhOTg0NzhkOGM3YjczYWEiLCJ1c2VySWQiOiIzNzk1NzM3ODkifQ==</vt:lpwstr>
  </property>
</Properties>
</file>