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9D803">
      <w:pPr>
        <w:spacing w:line="480" w:lineRule="auto"/>
        <w:jc w:val="center"/>
        <w:rPr>
          <w:rFonts w:hint="eastAsia" w:ascii="仿宋" w:hAnsi="仿宋" w:eastAsia="仿宋" w:cs="仿宋"/>
          <w:b/>
          <w:snapToGrid w:val="0"/>
          <w:color w:val="auto"/>
          <w:sz w:val="56"/>
          <w:szCs w:val="56"/>
          <w:highlight w:val="none"/>
          <w:u w:val="single"/>
        </w:rPr>
      </w:pPr>
      <w:r>
        <w:rPr>
          <w:rFonts w:hint="eastAsia" w:ascii="仿宋" w:hAnsi="仿宋" w:eastAsia="仿宋" w:cs="仿宋"/>
          <w:b/>
          <w:snapToGrid w:val="0"/>
          <w:color w:val="auto"/>
          <w:sz w:val="56"/>
          <w:szCs w:val="56"/>
          <w:highlight w:val="none"/>
          <w:u w:val="single"/>
        </w:rPr>
        <w:t>服 务 合 同</w:t>
      </w:r>
    </w:p>
    <w:p w14:paraId="611FD5F8">
      <w:pPr>
        <w:jc w:val="center"/>
        <w:rPr>
          <w:rFonts w:hint="eastAsia" w:ascii="仿宋" w:hAnsi="仿宋" w:eastAsia="仿宋" w:cs="仿宋"/>
          <w:color w:val="auto"/>
          <w:sz w:val="40"/>
          <w:szCs w:val="40"/>
          <w:highlight w:val="none"/>
        </w:rPr>
      </w:pPr>
    </w:p>
    <w:p w14:paraId="3528C975">
      <w:pPr>
        <w:jc w:val="center"/>
        <w:rPr>
          <w:rFonts w:hint="eastAsia" w:ascii="仿宋" w:hAnsi="仿宋" w:eastAsia="仿宋" w:cs="仿宋"/>
          <w:color w:val="auto"/>
          <w:sz w:val="40"/>
          <w:szCs w:val="40"/>
          <w:highlight w:val="none"/>
        </w:rPr>
      </w:pPr>
    </w:p>
    <w:p w14:paraId="6574B3ED">
      <w:pPr>
        <w:jc w:val="center"/>
        <w:rPr>
          <w:rFonts w:hint="eastAsia" w:ascii="仿宋" w:hAnsi="仿宋" w:eastAsia="仿宋" w:cs="仿宋"/>
          <w:color w:val="auto"/>
          <w:sz w:val="40"/>
          <w:szCs w:val="40"/>
          <w:highlight w:val="none"/>
        </w:rPr>
      </w:pPr>
    </w:p>
    <w:p w14:paraId="397B51A0">
      <w:pPr>
        <w:jc w:val="both"/>
        <w:rPr>
          <w:rFonts w:hint="eastAsia" w:ascii="仿宋" w:hAnsi="仿宋" w:eastAsia="仿宋" w:cs="仿宋"/>
          <w:color w:val="auto"/>
          <w:sz w:val="40"/>
          <w:szCs w:val="40"/>
          <w:highlight w:val="none"/>
        </w:rPr>
      </w:pPr>
    </w:p>
    <w:p w14:paraId="461E039E">
      <w:pPr>
        <w:jc w:val="center"/>
        <w:rPr>
          <w:rFonts w:hint="eastAsia" w:ascii="仿宋" w:hAnsi="仿宋" w:eastAsia="仿宋" w:cs="仿宋"/>
          <w:color w:val="auto"/>
          <w:sz w:val="40"/>
          <w:szCs w:val="40"/>
          <w:highlight w:val="none"/>
        </w:rPr>
      </w:pPr>
    </w:p>
    <w:p w14:paraId="66AADE2E">
      <w:pPr>
        <w:jc w:val="center"/>
        <w:rPr>
          <w:rFonts w:hint="eastAsia" w:ascii="仿宋" w:hAnsi="仿宋" w:eastAsia="仿宋" w:cs="仿宋"/>
          <w:color w:val="auto"/>
          <w:sz w:val="40"/>
          <w:szCs w:val="40"/>
          <w:highlight w:val="none"/>
        </w:rPr>
      </w:pPr>
    </w:p>
    <w:p w14:paraId="50F4C512">
      <w:pPr>
        <w:jc w:val="center"/>
        <w:rPr>
          <w:rFonts w:hint="eastAsia" w:ascii="仿宋" w:hAnsi="仿宋" w:eastAsia="仿宋" w:cs="仿宋"/>
          <w:color w:val="auto"/>
          <w:sz w:val="40"/>
          <w:szCs w:val="40"/>
          <w:highlight w:val="none"/>
        </w:rPr>
      </w:pPr>
      <w:r>
        <w:rPr>
          <w:rFonts w:hint="eastAsia" w:ascii="仿宋" w:hAnsi="仿宋" w:eastAsia="仿宋" w:cs="仿宋"/>
          <w:color w:val="auto"/>
          <w:sz w:val="40"/>
          <w:szCs w:val="40"/>
          <w:highlight w:val="none"/>
        </w:rPr>
        <w:t>甲  方：</w:t>
      </w:r>
      <w:r>
        <w:rPr>
          <w:rFonts w:hint="eastAsia" w:ascii="仿宋" w:hAnsi="仿宋" w:eastAsia="仿宋" w:cs="仿宋"/>
          <w:color w:val="auto"/>
          <w:sz w:val="40"/>
          <w:szCs w:val="40"/>
          <w:highlight w:val="none"/>
          <w:lang w:val="en-US" w:eastAsia="zh-CN"/>
        </w:rPr>
        <w:t xml:space="preserve">  </w:t>
      </w:r>
    </w:p>
    <w:p w14:paraId="57A8A288">
      <w:pPr>
        <w:keepNext w:val="0"/>
        <w:keepLines w:val="0"/>
        <w:pageBreakBefore w:val="0"/>
        <w:widowControl w:val="0"/>
        <w:tabs>
          <w:tab w:val="left" w:pos="480"/>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color w:val="auto"/>
          <w:sz w:val="40"/>
          <w:szCs w:val="40"/>
          <w:highlight w:val="none"/>
        </w:rPr>
      </w:pPr>
      <w:r>
        <w:rPr>
          <w:rFonts w:hint="eastAsia" w:ascii="仿宋" w:hAnsi="仿宋" w:eastAsia="仿宋" w:cs="仿宋"/>
          <w:color w:val="auto"/>
          <w:sz w:val="40"/>
          <w:szCs w:val="40"/>
          <w:highlight w:val="none"/>
        </w:rPr>
        <w:t>乙  方：</w:t>
      </w:r>
    </w:p>
    <w:p w14:paraId="0A73FDAE">
      <w:pPr>
        <w:keepNext w:val="0"/>
        <w:keepLines w:val="0"/>
        <w:pageBreakBefore w:val="0"/>
        <w:widowControl w:val="0"/>
        <w:tabs>
          <w:tab w:val="left" w:pos="480"/>
        </w:tabs>
        <w:kinsoku/>
        <w:wordWrap/>
        <w:overflowPunct/>
        <w:topLinePunct w:val="0"/>
        <w:autoSpaceDE/>
        <w:autoSpaceDN/>
        <w:bidi w:val="0"/>
        <w:adjustRightInd/>
        <w:snapToGrid/>
        <w:ind w:firstLine="0" w:firstLineChars="0"/>
        <w:jc w:val="both"/>
        <w:textAlignment w:val="auto"/>
        <w:rPr>
          <w:rFonts w:hint="eastAsia" w:ascii="仿宋" w:hAnsi="仿宋" w:eastAsia="仿宋" w:cs="仿宋"/>
          <w:color w:val="auto"/>
          <w:sz w:val="40"/>
          <w:szCs w:val="40"/>
          <w:highlight w:val="none"/>
        </w:rPr>
      </w:pPr>
    </w:p>
    <w:p w14:paraId="4A2DB98E">
      <w:pPr>
        <w:keepNext w:val="0"/>
        <w:keepLines w:val="0"/>
        <w:pageBreakBefore w:val="0"/>
        <w:widowControl w:val="0"/>
        <w:tabs>
          <w:tab w:val="left" w:pos="480"/>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color w:val="auto"/>
          <w:sz w:val="40"/>
          <w:szCs w:val="40"/>
          <w:highlight w:val="none"/>
          <w:lang w:eastAsia="zh-CN"/>
        </w:rPr>
      </w:pPr>
    </w:p>
    <w:p w14:paraId="3A80A85B">
      <w:pPr>
        <w:jc w:val="center"/>
        <w:rPr>
          <w:rFonts w:hint="eastAsia" w:ascii="仿宋" w:hAnsi="仿宋" w:eastAsia="仿宋" w:cs="仿宋"/>
          <w:color w:val="auto"/>
          <w:sz w:val="40"/>
          <w:szCs w:val="40"/>
          <w:highlight w:val="none"/>
        </w:rPr>
      </w:pPr>
    </w:p>
    <w:p w14:paraId="5980094C">
      <w:pPr>
        <w:jc w:val="center"/>
        <w:rPr>
          <w:rFonts w:hint="eastAsia" w:ascii="仿宋" w:hAnsi="仿宋" w:eastAsia="仿宋" w:cs="仿宋"/>
          <w:color w:val="auto"/>
          <w:sz w:val="40"/>
          <w:szCs w:val="40"/>
          <w:highlight w:val="none"/>
        </w:rPr>
      </w:pPr>
      <w:r>
        <w:rPr>
          <w:rFonts w:hint="eastAsia" w:ascii="仿宋" w:hAnsi="仿宋" w:eastAsia="仿宋" w:cs="仿宋"/>
          <w:color w:val="auto"/>
          <w:sz w:val="40"/>
          <w:szCs w:val="40"/>
          <w:highlight w:val="none"/>
        </w:rPr>
        <w:t xml:space="preserve"> </w:t>
      </w:r>
      <w:r>
        <w:rPr>
          <w:rFonts w:hint="eastAsia" w:ascii="仿宋" w:hAnsi="仿宋" w:eastAsia="仿宋" w:cs="仿宋"/>
          <w:color w:val="auto"/>
          <w:sz w:val="40"/>
          <w:szCs w:val="40"/>
          <w:highlight w:val="none"/>
          <w:lang w:val="en-US" w:eastAsia="zh-CN"/>
        </w:rPr>
        <w:t>2026</w:t>
      </w:r>
      <w:r>
        <w:rPr>
          <w:rFonts w:hint="eastAsia" w:ascii="仿宋" w:hAnsi="仿宋" w:eastAsia="仿宋" w:cs="仿宋"/>
          <w:color w:val="auto"/>
          <w:sz w:val="40"/>
          <w:szCs w:val="40"/>
          <w:highlight w:val="none"/>
        </w:rPr>
        <w:t>年</w:t>
      </w:r>
      <w:r>
        <w:rPr>
          <w:rFonts w:hint="eastAsia" w:ascii="仿宋" w:hAnsi="仿宋" w:eastAsia="仿宋" w:cs="仿宋"/>
          <w:color w:val="auto"/>
          <w:sz w:val="40"/>
          <w:szCs w:val="40"/>
          <w:highlight w:val="none"/>
          <w:lang w:val="en-US" w:eastAsia="zh-CN"/>
        </w:rPr>
        <w:t>**</w:t>
      </w:r>
      <w:r>
        <w:rPr>
          <w:rFonts w:hint="eastAsia" w:ascii="仿宋" w:hAnsi="仿宋" w:eastAsia="仿宋" w:cs="仿宋"/>
          <w:color w:val="auto"/>
          <w:sz w:val="40"/>
          <w:szCs w:val="40"/>
          <w:highlight w:val="none"/>
        </w:rPr>
        <w:t>月</w:t>
      </w:r>
    </w:p>
    <w:p w14:paraId="6EF336A2">
      <w:pPr>
        <w:jc w:val="center"/>
        <w:rPr>
          <w:rFonts w:hint="eastAsia" w:ascii="仿宋" w:hAnsi="仿宋" w:eastAsia="仿宋" w:cs="仿宋"/>
          <w:color w:val="auto"/>
          <w:sz w:val="60"/>
          <w:szCs w:val="60"/>
          <w:highlight w:val="none"/>
        </w:rPr>
      </w:pPr>
    </w:p>
    <w:p w14:paraId="3B8F7D5A">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rPr>
          <w:rFonts w:hint="eastAsia"/>
          <w:b/>
          <w:bCs/>
          <w:sz w:val="22"/>
          <w:szCs w:val="28"/>
        </w:rPr>
      </w:pPr>
      <w:bookmarkStart w:id="65" w:name="_GoBack"/>
      <w:bookmarkEnd w:id="65"/>
      <w:r>
        <w:rPr>
          <w:rFonts w:hint="eastAsia" w:ascii="仿宋" w:hAnsi="仿宋" w:eastAsia="仿宋" w:cs="仿宋"/>
          <w:b/>
          <w:color w:val="auto"/>
          <w:szCs w:val="21"/>
          <w:highlight w:val="none"/>
        </w:rPr>
        <w:br w:type="page"/>
      </w:r>
      <w:r>
        <w:rPr>
          <w:rFonts w:hint="eastAsia"/>
          <w:b/>
          <w:bCs/>
          <w:sz w:val="28"/>
          <w:szCs w:val="36"/>
        </w:rPr>
        <w:t>服 务 合 同</w:t>
      </w:r>
    </w:p>
    <w:p w14:paraId="34E3A4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甲方： </w:t>
      </w:r>
      <w:r>
        <w:rPr>
          <w:rFonts w:hint="eastAsia" w:ascii="仿宋" w:hAnsi="仿宋" w:eastAsia="仿宋" w:cs="仿宋"/>
          <w:lang w:val="en-US" w:eastAsia="zh-CN"/>
        </w:rPr>
        <w:t xml:space="preserve">               </w:t>
      </w:r>
      <w:r>
        <w:rPr>
          <w:rFonts w:hint="eastAsia" w:ascii="仿宋" w:hAnsi="仿宋" w:eastAsia="仿宋" w:cs="仿宋"/>
        </w:rPr>
        <w:t xml:space="preserve"> </w:t>
      </w:r>
    </w:p>
    <w:p w14:paraId="3365C5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乙方： </w:t>
      </w:r>
      <w:r>
        <w:rPr>
          <w:rFonts w:hint="eastAsia" w:ascii="仿宋" w:hAnsi="仿宋" w:eastAsia="仿宋" w:cs="仿宋"/>
          <w:lang w:eastAsia="zh-CN"/>
        </w:rPr>
        <w:t xml:space="preserve">   </w:t>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 xml:space="preserve">   </w:t>
      </w:r>
    </w:p>
    <w:p w14:paraId="143F178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根据《中华人民共和国民法典》、《中华人民共和国政府采购法》与项目行业有关的法律法规，以及本项目（</w:t>
      </w:r>
      <w:r>
        <w:rPr>
          <w:rFonts w:hint="eastAsia" w:ascii="仿宋" w:hAnsi="仿宋" w:eastAsia="仿宋" w:cs="仿宋"/>
          <w:lang w:eastAsia="zh-CN"/>
        </w:rPr>
        <w:t>赋能共创·聚力未来——网络主播牵手行动</w:t>
      </w:r>
      <w:r>
        <w:rPr>
          <w:rFonts w:hint="eastAsia" w:ascii="仿宋" w:hAnsi="仿宋" w:eastAsia="仿宋" w:cs="仿宋"/>
        </w:rPr>
        <w:t>）相关采购要求的规定，合同双方就乙方向</w:t>
      </w:r>
      <w:r>
        <w:rPr>
          <w:rFonts w:hint="eastAsia" w:ascii="仿宋" w:hAnsi="仿宋" w:eastAsia="仿宋" w:cs="仿宋"/>
          <w:lang w:val="en-US" w:eastAsia="zh-CN"/>
        </w:rPr>
        <w:t>甲方</w:t>
      </w:r>
      <w:r>
        <w:rPr>
          <w:rFonts w:hint="eastAsia" w:ascii="仿宋" w:hAnsi="仿宋" w:eastAsia="仿宋" w:cs="仿宋"/>
        </w:rPr>
        <w:t>提供</w:t>
      </w:r>
      <w:r>
        <w:rPr>
          <w:rFonts w:hint="eastAsia" w:ascii="仿宋" w:hAnsi="仿宋" w:eastAsia="仿宋" w:cs="仿宋"/>
          <w:lang w:eastAsia="zh-CN"/>
        </w:rPr>
        <w:t>赋能共创·聚力未来——网络主播牵手行动</w:t>
      </w:r>
      <w:r>
        <w:rPr>
          <w:rFonts w:hint="eastAsia" w:ascii="仿宋" w:hAnsi="仿宋" w:eastAsia="仿宋" w:cs="仿宋"/>
        </w:rPr>
        <w:t>协商达成一致，确立本合同。</w:t>
      </w:r>
    </w:p>
    <w:p w14:paraId="36DA041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u w:val="none"/>
        </w:rPr>
      </w:pPr>
      <w:bookmarkStart w:id="0" w:name="_Toc12769"/>
      <w:bookmarkStart w:id="1" w:name="_Toc15362"/>
      <w:bookmarkStart w:id="2" w:name="_Toc21236"/>
      <w:bookmarkStart w:id="3" w:name="_Toc8841"/>
      <w:bookmarkStart w:id="4" w:name="_Toc30883"/>
      <w:r>
        <w:rPr>
          <w:rFonts w:hint="eastAsia" w:ascii="仿宋" w:hAnsi="仿宋" w:eastAsia="仿宋" w:cs="仿宋"/>
          <w:b/>
          <w:bCs/>
          <w:u w:val="none"/>
          <w:lang w:val="en-US" w:eastAsia="zh-CN"/>
        </w:rPr>
        <w:t>一、</w:t>
      </w:r>
      <w:r>
        <w:rPr>
          <w:rFonts w:hint="eastAsia" w:ascii="仿宋" w:hAnsi="仿宋" w:eastAsia="仿宋" w:cs="仿宋"/>
          <w:b/>
          <w:bCs/>
          <w:u w:val="none"/>
        </w:rPr>
        <w:t>合同标的物内容、数量及单价</w:t>
      </w:r>
      <w:bookmarkEnd w:id="0"/>
      <w:bookmarkEnd w:id="1"/>
      <w:bookmarkEnd w:id="2"/>
      <w:bookmarkEnd w:id="3"/>
      <w:bookmarkEnd w:id="4"/>
      <w:bookmarkStart w:id="5" w:name="_Toc18749"/>
      <w:bookmarkStart w:id="6" w:name="_Toc4137"/>
      <w:bookmarkStart w:id="7" w:name="_Toc30369"/>
      <w:bookmarkStart w:id="8" w:name="_Toc29331"/>
      <w:bookmarkStart w:id="9" w:name="_Toc8887"/>
      <w:bookmarkStart w:id="10" w:name="_Toc3926"/>
    </w:p>
    <w:p w14:paraId="54C8752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服务内容：</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w:t>
      </w:r>
    </w:p>
    <w:p w14:paraId="00FB54E1">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rPr>
      </w:pPr>
      <w:r>
        <w:rPr>
          <w:rFonts w:hint="eastAsia" w:ascii="仿宋" w:hAnsi="仿宋" w:eastAsia="仿宋" w:cs="仿宋"/>
          <w:b/>
          <w:bCs/>
        </w:rPr>
        <w:t>二、合同价款</w:t>
      </w:r>
      <w:bookmarkEnd w:id="5"/>
      <w:bookmarkEnd w:id="6"/>
      <w:bookmarkEnd w:id="7"/>
      <w:bookmarkEnd w:id="8"/>
      <w:bookmarkEnd w:id="9"/>
      <w:bookmarkEnd w:id="10"/>
    </w:p>
    <w:p w14:paraId="7FF0E8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（一）本合同为</w:t>
      </w:r>
      <w:r>
        <w:rPr>
          <w:rFonts w:hint="eastAsia" w:ascii="仿宋" w:hAnsi="仿宋" w:eastAsia="仿宋" w:cs="仿宋"/>
          <w:lang w:val="en-US" w:eastAsia="zh-CN"/>
        </w:rPr>
        <w:t>固定</w:t>
      </w:r>
      <w:r>
        <w:rPr>
          <w:rFonts w:hint="eastAsia" w:ascii="仿宋" w:hAnsi="仿宋" w:eastAsia="仿宋" w:cs="仿宋"/>
        </w:rPr>
        <w:t>总价</w:t>
      </w:r>
      <w:r>
        <w:rPr>
          <w:rFonts w:hint="eastAsia" w:ascii="仿宋" w:hAnsi="仿宋" w:eastAsia="仿宋" w:cs="仿宋"/>
          <w:lang w:val="en-US" w:eastAsia="zh-CN"/>
        </w:rPr>
        <w:t>包干</w:t>
      </w:r>
      <w:r>
        <w:rPr>
          <w:rFonts w:hint="eastAsia" w:ascii="仿宋" w:hAnsi="仿宋" w:eastAsia="仿宋" w:cs="仿宋"/>
        </w:rPr>
        <w:t>合同，各项服务的合同总价为其磋商最终报价。</w:t>
      </w:r>
    </w:p>
    <w:p w14:paraId="419D208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eastAsia="zh-CN"/>
        </w:rPr>
      </w:pPr>
      <w:r>
        <w:rPr>
          <w:rFonts w:hint="eastAsia" w:ascii="仿宋" w:hAnsi="仿宋" w:eastAsia="仿宋" w:cs="仿宋"/>
        </w:rPr>
        <w:t>（二）合同价包括：乙方提供服务所发生的一切费用</w:t>
      </w:r>
      <w:r>
        <w:rPr>
          <w:rFonts w:hint="eastAsia" w:ascii="仿宋" w:hAnsi="仿宋" w:eastAsia="仿宋" w:cs="仿宋"/>
          <w:lang w:eastAsia="zh-CN"/>
        </w:rPr>
        <w:t>，</w:t>
      </w:r>
      <w:r>
        <w:rPr>
          <w:rFonts w:hint="eastAsia" w:ascii="仿宋" w:hAnsi="仿宋" w:eastAsia="仿宋" w:cs="仿宋"/>
          <w:lang w:val="en-US" w:eastAsia="zh-CN"/>
        </w:rPr>
        <w:t>即</w:t>
      </w:r>
      <w:r>
        <w:rPr>
          <w:rFonts w:hint="eastAsia" w:ascii="仿宋" w:hAnsi="仿宋" w:eastAsia="仿宋" w:cs="仿宋"/>
          <w:lang w:eastAsia="zh-CN"/>
        </w:rPr>
        <w:t xml:space="preserve">人民币（大写）： </w:t>
      </w:r>
      <w:r>
        <w:rPr>
          <w:rFonts w:hint="eastAsia" w:ascii="仿宋" w:hAnsi="仿宋" w:eastAsia="仿宋" w:cs="仿宋"/>
          <w:lang w:val="en-US" w:eastAsia="zh-CN"/>
        </w:rPr>
        <w:t xml:space="preserve"> </w:t>
      </w:r>
      <w:r>
        <w:rPr>
          <w:rFonts w:hint="eastAsia" w:ascii="仿宋" w:hAnsi="仿宋" w:eastAsia="仿宋" w:cs="仿宋"/>
          <w:lang w:eastAsia="zh-CN"/>
        </w:rPr>
        <w:t xml:space="preserve">  (小写¥</w:t>
      </w:r>
      <w:r>
        <w:rPr>
          <w:rFonts w:hint="eastAsia" w:ascii="仿宋" w:hAnsi="仿宋" w:eastAsia="仿宋" w:cs="仿宋"/>
          <w:lang w:val="en-US" w:eastAsia="zh-CN"/>
        </w:rPr>
        <w:t xml:space="preserve"> </w:t>
      </w:r>
      <w:r>
        <w:rPr>
          <w:rFonts w:hint="eastAsia" w:ascii="仿宋" w:hAnsi="仿宋" w:eastAsia="仿宋" w:cs="仿宋"/>
          <w:lang w:eastAsia="zh-CN"/>
        </w:rPr>
        <w:t xml:space="preserve"> )。</w:t>
      </w:r>
    </w:p>
    <w:p w14:paraId="3E9C29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本合同总价已包含了购买产品、服务的价格及售后服务等伴随费用、其他相关费用及所需缴纳的一切相关税费。甲方无需向乙方另行支付除本合同价款以外的任何费用。本合同总价系固定不变价格，且不受市场价格变化因素的影响。税费由乙方承担。税收政策变动、成本上涨、工作量测算偏差等全部风险由乙方自行承担，乙方不得主张加价。</w:t>
      </w:r>
    </w:p>
    <w:p w14:paraId="587962E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highlight w:val="none"/>
        </w:rPr>
      </w:pPr>
      <w:bookmarkStart w:id="11" w:name="_Toc22511"/>
      <w:bookmarkStart w:id="12" w:name="_Toc23247"/>
      <w:bookmarkStart w:id="13" w:name="_Toc28664"/>
      <w:bookmarkStart w:id="14" w:name="_Toc9765"/>
      <w:bookmarkStart w:id="15" w:name="_Toc16299"/>
      <w:bookmarkStart w:id="16" w:name="_Toc6296"/>
      <w:r>
        <w:rPr>
          <w:rFonts w:hint="eastAsia" w:ascii="仿宋" w:hAnsi="仿宋" w:eastAsia="仿宋" w:cs="仿宋"/>
          <w:b/>
          <w:bCs/>
          <w:highlight w:val="none"/>
        </w:rPr>
        <w:t>三、款项结算</w:t>
      </w:r>
      <w:bookmarkEnd w:id="11"/>
      <w:bookmarkEnd w:id="12"/>
      <w:bookmarkEnd w:id="13"/>
      <w:bookmarkEnd w:id="14"/>
      <w:bookmarkEnd w:id="15"/>
      <w:bookmarkEnd w:id="16"/>
    </w:p>
    <w:p w14:paraId="0EDC42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（一）付款方式和程序：</w:t>
      </w:r>
    </w:p>
    <w:p w14:paraId="615062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由</w:t>
      </w:r>
      <w:r>
        <w:rPr>
          <w:rFonts w:hint="eastAsia" w:ascii="仿宋" w:hAnsi="仿宋" w:eastAsia="仿宋" w:cs="仿宋"/>
          <w:lang w:val="en-US" w:eastAsia="zh-CN"/>
        </w:rPr>
        <w:t>甲方</w:t>
      </w:r>
      <w:r>
        <w:rPr>
          <w:rFonts w:hint="eastAsia" w:ascii="仿宋" w:hAnsi="仿宋" w:eastAsia="仿宋" w:cs="仿宋"/>
        </w:rPr>
        <w:t>负责结算，在付款前，乙方应先开具等金额发票提供给甲方。</w:t>
      </w:r>
    </w:p>
    <w:p w14:paraId="589B39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（二）付款方式：</w:t>
      </w:r>
    </w:p>
    <w:p w14:paraId="4CF820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服务费用分叁次支付，合同签订完毕并收到供应商开具的等额合法有效的增值税正式发票之日起10个工作日内，以银行转账形式向其支付本合同总费用的50%；完成第1场活动和第2场活动的准备工作后，收到供应商开具的等金额合法有效的增值税正式发票之日起10个工作日内，以银行转账形式向其支付本合同总费用的30%；项目全部履约完成后，绩效目标已完成并出具验收报告，收到供应商开具的等金额合法有效的增值税正式发票之日起30个工作日内，支付合同总费用的的20%。</w:t>
      </w:r>
    </w:p>
    <w:p w14:paraId="20E48A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rPr>
        <w:t>项目经验收不合格，甲方通知乙方限期整改；乙方经两次整改仍无法达标，甲方有权扣除相应尾款、主张全部损失并追究乙方违约责任。乙方应按本合同约定税率、服务项目开具合规发票，确保发票真实有效。因开票迟延、发票不合规、异常、虚开等致使甲方产生入账障碍、税务补缴、罚款、滞纳金及维权费用的，全部损失均由乙方承担并应于3日内重开合规发票；甲方有权暂缓付款且不承担违约责任，逾期乙方仍无法补开合规发票的，甲方有权解约并全额追偿已付费用及损失。乙方应自收到甲方解除通知之日起3日内全额退还已收款项，并按合同总价的20%支付违约金，若不足以弥补甲方损失则乙方应当一次性足额补足。</w:t>
      </w:r>
      <w:r>
        <w:rPr>
          <w:rFonts w:hint="eastAsia" w:ascii="仿宋" w:hAnsi="仿宋" w:eastAsia="仿宋" w:cs="仿宋"/>
          <w:lang w:val="en-US" w:eastAsia="zh-CN"/>
        </w:rPr>
        <w:t xml:space="preserve">    </w:t>
      </w:r>
    </w:p>
    <w:p w14:paraId="75EC4A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三</w:t>
      </w:r>
      <w:r>
        <w:rPr>
          <w:rFonts w:hint="eastAsia" w:ascii="仿宋" w:hAnsi="仿宋" w:eastAsia="仿宋" w:cs="仿宋"/>
        </w:rPr>
        <w:t>）支付方式：银行转账</w:t>
      </w:r>
    </w:p>
    <w:p w14:paraId="48EC33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1.乙方指定收款账户：</w:t>
      </w:r>
    </w:p>
    <w:p w14:paraId="29C1DB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账户名称：</w:t>
      </w:r>
      <w:r>
        <w:rPr>
          <w:rFonts w:hint="eastAsia" w:ascii="仿宋" w:hAnsi="仿宋" w:eastAsia="仿宋" w:cs="仿宋"/>
          <w:lang w:eastAsia="zh-CN"/>
        </w:rPr>
        <w:t xml:space="preserve">   </w:t>
      </w:r>
      <w:r>
        <w:rPr>
          <w:rFonts w:hint="eastAsia" w:ascii="仿宋" w:hAnsi="仿宋" w:eastAsia="仿宋" w:cs="仿宋"/>
        </w:rPr>
        <w:t xml:space="preserve">              </w:t>
      </w:r>
    </w:p>
    <w:p w14:paraId="44EBC6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eastAsia="zh-CN"/>
        </w:rPr>
      </w:pPr>
      <w:r>
        <w:rPr>
          <w:rFonts w:hint="eastAsia" w:ascii="仿宋" w:hAnsi="仿宋" w:eastAsia="仿宋" w:cs="仿宋"/>
        </w:rPr>
        <w:t>开户银行：</w:t>
      </w:r>
      <w:r>
        <w:rPr>
          <w:rFonts w:hint="eastAsia" w:ascii="仿宋" w:hAnsi="仿宋" w:eastAsia="仿宋" w:cs="仿宋"/>
          <w:lang w:eastAsia="zh-CN"/>
        </w:rPr>
        <w:t xml:space="preserve">     </w:t>
      </w:r>
    </w:p>
    <w:p w14:paraId="3BB43D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银行账号：</w:t>
      </w:r>
      <w:r>
        <w:rPr>
          <w:rFonts w:hint="eastAsia" w:ascii="仿宋" w:hAnsi="仿宋" w:eastAsia="仿宋" w:cs="仿宋"/>
          <w:lang w:eastAsia="zh-CN"/>
        </w:rPr>
        <w:t xml:space="preserve">      </w:t>
      </w:r>
      <w:r>
        <w:rPr>
          <w:rFonts w:hint="eastAsia" w:ascii="仿宋" w:hAnsi="仿宋" w:eastAsia="仿宋" w:cs="仿宋"/>
        </w:rPr>
        <w:t xml:space="preserve"> </w:t>
      </w:r>
    </w:p>
    <w:p w14:paraId="649E45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乙方保证上述账户为本合同指定收款账户，确保该账户信息合法、准确有效；若乙方变更账户信息的，则乙方应当至少在变更生效日前10个工作日以书面形式(须加盖乙方公章或合同专用章)通知甲方，并确保该通知于变更生效日前送达甲方。如因乙方未及时书面通知或通知无效或迟延通知甲方导致甲方向上述指定账号付款的，视为甲方已按约履行支付义务，乙方对此不得持有任何异议，若因此产生任何法律责任及经济纠纷的，均由乙方独自承担，因此给甲方造成损失的，乙方应当赔偿甲方全部损失(包括但不限于资金损失、诉讼费、律师费等)。</w:t>
      </w:r>
    </w:p>
    <w:p w14:paraId="0817F5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2.甲方开票信息：</w:t>
      </w:r>
    </w:p>
    <w:p w14:paraId="3C4859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eastAsia="zh-CN"/>
        </w:rPr>
      </w:pPr>
      <w:r>
        <w:rPr>
          <w:rFonts w:hint="eastAsia" w:ascii="仿宋" w:hAnsi="仿宋" w:eastAsia="仿宋" w:cs="仿宋"/>
        </w:rPr>
        <w:t>单位名称：</w:t>
      </w:r>
      <w:r>
        <w:rPr>
          <w:rFonts w:hint="eastAsia" w:ascii="仿宋" w:hAnsi="仿宋" w:eastAsia="仿宋" w:cs="仿宋"/>
          <w:lang w:eastAsia="zh-CN"/>
        </w:rPr>
        <w:t xml:space="preserve">  </w:t>
      </w:r>
    </w:p>
    <w:p w14:paraId="5824AA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地</w:t>
      </w:r>
      <w:r>
        <w:rPr>
          <w:rFonts w:hint="eastAsia" w:ascii="仿宋" w:hAnsi="仿宋" w:eastAsia="仿宋" w:cs="仿宋"/>
        </w:rPr>
        <w:tab/>
      </w:r>
      <w:r>
        <w:rPr>
          <w:rFonts w:hint="eastAsia" w:ascii="仿宋" w:hAnsi="仿宋" w:eastAsia="仿宋" w:cs="仿宋"/>
        </w:rPr>
        <w:t>址：西安市未央区凤城八路99号</w:t>
      </w:r>
    </w:p>
    <w:p w14:paraId="58FAB9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开户银行：中国建设银行股份有限公司西安凤城八路支行</w:t>
      </w:r>
    </w:p>
    <w:p w14:paraId="09E30C6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账</w:t>
      </w:r>
      <w:r>
        <w:rPr>
          <w:rFonts w:hint="eastAsia" w:ascii="仿宋" w:hAnsi="仿宋" w:eastAsia="仿宋" w:cs="仿宋"/>
        </w:rPr>
        <w:tab/>
      </w:r>
      <w:r>
        <w:rPr>
          <w:rFonts w:hint="eastAsia" w:ascii="仿宋" w:hAnsi="仿宋" w:eastAsia="仿宋" w:cs="仿宋"/>
        </w:rPr>
        <w:t>号：61050171780000000515</w:t>
      </w:r>
    </w:p>
    <w:p w14:paraId="0E96D2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纳税人识别号：11610100MB2990757E</w:t>
      </w:r>
    </w:p>
    <w:p w14:paraId="6BE896D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甲方付款前乙方应按规定及时开具合规等额增值税发票，否则甲方有权拒绝付款而不承担任何违约责任。因财政性拨款及乙方原因导致的付款迟延甲方不承担任何违约责任。</w:t>
      </w:r>
    </w:p>
    <w:p w14:paraId="419B97B3">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rPr>
      </w:pPr>
      <w:bookmarkStart w:id="17" w:name="_Toc21171"/>
      <w:bookmarkStart w:id="18" w:name="_Toc9555"/>
      <w:bookmarkStart w:id="19" w:name="_Toc21714"/>
      <w:bookmarkStart w:id="20" w:name="_Toc21110"/>
      <w:bookmarkStart w:id="21" w:name="_Toc24406"/>
      <w:bookmarkStart w:id="22" w:name="_Toc26249"/>
      <w:r>
        <w:rPr>
          <w:rFonts w:hint="eastAsia" w:ascii="仿宋" w:hAnsi="仿宋" w:eastAsia="仿宋" w:cs="仿宋"/>
          <w:b/>
          <w:bCs/>
        </w:rPr>
        <w:t>四、服务条件</w:t>
      </w:r>
      <w:bookmarkEnd w:id="17"/>
      <w:bookmarkEnd w:id="18"/>
      <w:bookmarkEnd w:id="19"/>
      <w:bookmarkEnd w:id="20"/>
      <w:bookmarkEnd w:id="21"/>
      <w:bookmarkEnd w:id="22"/>
    </w:p>
    <w:p w14:paraId="6BE503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（一）服务地点：甲方指定地点。</w:t>
      </w:r>
    </w:p>
    <w:p w14:paraId="228D6F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highlight w:val="yellow"/>
        </w:rPr>
      </w:pPr>
      <w:bookmarkStart w:id="23" w:name="_Toc20848"/>
      <w:bookmarkStart w:id="24" w:name="_Toc27382"/>
      <w:bookmarkStart w:id="25" w:name="_Toc15947"/>
      <w:bookmarkStart w:id="26" w:name="_Toc7966"/>
      <w:bookmarkStart w:id="27" w:name="_Toc32459"/>
      <w:bookmarkStart w:id="28" w:name="_Toc15118"/>
      <w:r>
        <w:rPr>
          <w:rFonts w:hint="eastAsia" w:ascii="仿宋" w:hAnsi="仿宋" w:eastAsia="仿宋" w:cs="仿宋"/>
        </w:rPr>
        <w:t>（二）服</w:t>
      </w:r>
      <w:r>
        <w:rPr>
          <w:rFonts w:hint="eastAsia" w:ascii="仿宋" w:hAnsi="仿宋" w:eastAsia="仿宋" w:cs="仿宋"/>
          <w:highlight w:val="none"/>
        </w:rPr>
        <w:t>务期限：自本合同签订之日起至2026年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lang w:val="en-US" w:eastAsia="zh-CN"/>
        </w:rPr>
        <w:t>31</w:t>
      </w:r>
      <w:r>
        <w:rPr>
          <w:rFonts w:hint="eastAsia" w:ascii="仿宋" w:hAnsi="仿宋" w:eastAsia="仿宋" w:cs="仿宋"/>
          <w:highlight w:val="none"/>
        </w:rPr>
        <w:t>日止（具体以甲方通知为准）</w:t>
      </w:r>
    </w:p>
    <w:p w14:paraId="7921D73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rPr>
      </w:pPr>
      <w:r>
        <w:rPr>
          <w:rFonts w:hint="eastAsia" w:ascii="仿宋" w:hAnsi="仿宋" w:eastAsia="仿宋" w:cs="仿宋"/>
          <w:b/>
          <w:bCs/>
        </w:rPr>
        <w:t>五、质量保证</w:t>
      </w:r>
      <w:bookmarkEnd w:id="23"/>
      <w:bookmarkEnd w:id="24"/>
      <w:bookmarkEnd w:id="25"/>
      <w:bookmarkEnd w:id="26"/>
      <w:bookmarkEnd w:id="27"/>
      <w:bookmarkEnd w:id="28"/>
    </w:p>
    <w:p w14:paraId="4DF95C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（一）乙方应当保证所提供货物和服务保证技术指标符合要求、质量性能可靠、必须符合国家相关法律法规的要求。</w:t>
      </w:r>
    </w:p>
    <w:p w14:paraId="0768F3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（二）乙方应当保证其具有完成本项目所要求的货物和服务所必须具备的专业设备和服务能力。</w:t>
      </w:r>
    </w:p>
    <w:p w14:paraId="481E687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rPr>
      </w:pPr>
      <w:bookmarkStart w:id="29" w:name="_Toc9903"/>
      <w:bookmarkStart w:id="30" w:name="_Toc23868"/>
      <w:bookmarkStart w:id="31" w:name="_Toc490"/>
      <w:bookmarkStart w:id="32" w:name="_Toc21314"/>
      <w:bookmarkStart w:id="33" w:name="_Toc13959"/>
      <w:bookmarkStart w:id="34" w:name="_Toc12558"/>
      <w:r>
        <w:rPr>
          <w:rFonts w:hint="eastAsia" w:ascii="仿宋" w:hAnsi="仿宋" w:eastAsia="仿宋" w:cs="仿宋"/>
          <w:b/>
          <w:bCs/>
        </w:rPr>
        <w:t>六、技术与服务</w:t>
      </w:r>
      <w:bookmarkEnd w:id="29"/>
      <w:bookmarkEnd w:id="30"/>
      <w:bookmarkEnd w:id="31"/>
      <w:bookmarkEnd w:id="32"/>
      <w:bookmarkEnd w:id="33"/>
      <w:bookmarkEnd w:id="34"/>
    </w:p>
    <w:p w14:paraId="0F7561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（一）技术资料：乙方应随同服务提供相应的中文技术文件。</w:t>
      </w:r>
    </w:p>
    <w:p w14:paraId="22FAC4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（二）服务承诺：以竞争性磋商响应文件、澄清表（函）、合同和随货物的相关文件为准。</w:t>
      </w:r>
    </w:p>
    <w:p w14:paraId="3307652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rPr>
      </w:pPr>
      <w:bookmarkStart w:id="35" w:name="_Toc11742"/>
      <w:bookmarkStart w:id="36" w:name="_Toc13572"/>
      <w:bookmarkStart w:id="37" w:name="_Toc12975"/>
      <w:bookmarkStart w:id="38" w:name="_Toc22161"/>
      <w:bookmarkStart w:id="39" w:name="_Toc28855"/>
      <w:bookmarkStart w:id="40" w:name="_Toc14409"/>
      <w:r>
        <w:rPr>
          <w:rFonts w:hint="eastAsia" w:ascii="仿宋" w:hAnsi="仿宋" w:eastAsia="仿宋" w:cs="仿宋"/>
          <w:b/>
          <w:bCs/>
        </w:rPr>
        <w:t>七、双方的权利和义务</w:t>
      </w:r>
    </w:p>
    <w:p w14:paraId="0DD3AF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（一）甲方有权监督乙方履约，对乙方服务成果出具书面审核意见，乙方须遵照审核意见整改。甲方对成果提出修改意见的，乙方应当限期整改重报，乙方逾期未完成整改的，甲方有权暂缓付款、扣除对应费用。</w:t>
      </w:r>
    </w:p>
    <w:p w14:paraId="6528E9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（二）甲方保证提供资料真实合法；乙方自收到资料之日起3个工作日内完成核验，逾期未提书面异议视为资料无误。</w:t>
      </w:r>
    </w:p>
    <w:p w14:paraId="033F80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（三）乙方保证依本合同为甲方提供的全部服务及本项目成果均符合国家相关法律、法规的规定，不存在任何权利瑕疵或侵犯任何第三方合法权益的情形，否则全部赔偿责任由乙方承担。</w:t>
      </w:r>
    </w:p>
    <w:p w14:paraId="075238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四）乙方应对甲方全部商业资料承担永久保密义务，非经甲方书面许可，不得向任何第三方泄露、披露甲方提供的资料及文件内容。乙方须返还、销毁全部涉密文件，乙方相关工作人员泄密的由乙方承担连带责任。乙方违反保密约定，甲方有权要求乙方退还甲方全部已付款项，并赔偿由此给甲方造成的全部损失。本合同终止、解除后保密义务持续有效，保密信息已合法公开的除外。</w:t>
      </w:r>
    </w:p>
    <w:p w14:paraId="04DF5D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（五）乙方为甲方提供的视频、活动策划文案及现场布置等所有细节，经甲方书面确认后方可实施，乙方不得私自变更。</w:t>
      </w:r>
    </w:p>
    <w:p w14:paraId="34E3441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六）乙方应保证为本项目配备充足的人力物力，在本合同履行过程中应及时向甲方汇报工作进展情况，做好多方沟通与协调工作，对遇到的问题及时予以解决，以保障服务项目顺利进行。乙方为本项目配备的全部工作人员、外包合作人员，自进场筹备至全部工作撤场完毕全过程的人身、财产安全责任、保险费用均由乙方独立全部承担。若因乙方人员操作不当、管理疏漏造成自身、第三方人身伤害或财产损毁，所有赔偿、行政处罚、维权成本均由乙方全额承担；如甲方因此先行垫付、对外赔付的，甲方有权全额向乙方追偿，并有权从应付合同款项中直接抵扣。乙方应为本项目工作人员足额购买人身意外伤害险及第三者责任险。</w:t>
      </w:r>
    </w:p>
    <w:p w14:paraId="162404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七）乙方保证具备签订及履行本合同的资格和能力，其已经就签订及履行本合同取得相关手续及权利人的合法授权或许可，所需费用已经包含在本合同约定的价款中，甲方无需额外支付任何费用。乙方应根据确定的方案按时完成委托事项，确保活动如期开展。非经甲方书面同意，乙方不得擅自将本合同所涉事项全部或部分转委托给第三人。</w:t>
      </w:r>
    </w:p>
    <w:p w14:paraId="1DD5F5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八）乙方负责全部己方人员薪资及安全管理，乙方提供的材料物资、场景搭建、活动方案及宣传物料制作、安装等，均应确保符合安全条件，凡因乙方造成任何一方或其他第三方人身伤害或财产损失的，由乙方承担全部责任，导致甲方承担责任或遭受损失的，甲方有权向乙方全额追偿或索赔，包括但不限于相关损失、赔偿金、补偿金、罚款、诉讼费、律师费等。</w:t>
      </w:r>
    </w:p>
    <w:p w14:paraId="493F1F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（九）乙方设备、物资应自行负责保管，甲方不承担保管责任。活动结束后，乙方应及时完成撤场、清理义务，逾期遗留物品甲方有权自行处置，相关费用由乙方承担，甲方不承担任何相关责任。</w:t>
      </w:r>
    </w:p>
    <w:p w14:paraId="00DD96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十）甲方组织验收时乙方应积极予以配合，向甲方报送达标相关资料，对甲方提出的问题，乙方需耐心专业地予以解释配合甲方的工作。按要求补充资料、答疑整改。乙方拒不配合或逾期整改的，甲方有权暂缓付款并追责。</w:t>
      </w:r>
    </w:p>
    <w:p w14:paraId="64A6985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rPr>
      </w:pPr>
      <w:r>
        <w:rPr>
          <w:rFonts w:hint="eastAsia" w:ascii="仿宋" w:hAnsi="仿宋" w:eastAsia="仿宋" w:cs="仿宋"/>
          <w:b/>
          <w:bCs/>
          <w:lang w:val="en-US" w:eastAsia="zh-CN"/>
        </w:rPr>
        <w:t>八</w:t>
      </w:r>
      <w:r>
        <w:rPr>
          <w:rFonts w:hint="eastAsia" w:ascii="仿宋" w:hAnsi="仿宋" w:eastAsia="仿宋" w:cs="仿宋"/>
          <w:b/>
          <w:bCs/>
        </w:rPr>
        <w:t>、验收</w:t>
      </w:r>
      <w:bookmarkEnd w:id="35"/>
      <w:bookmarkEnd w:id="36"/>
      <w:bookmarkEnd w:id="37"/>
      <w:bookmarkEnd w:id="38"/>
      <w:bookmarkEnd w:id="39"/>
      <w:bookmarkEnd w:id="40"/>
    </w:p>
    <w:p w14:paraId="090CE5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所验服务最终验收达不到磋商文件要求和磋商响应文件承诺及国家或行业标准的，或在使用中发现甲方不能容忍的缺陷等，将视为验收不合格，乙方应在甲方要求的时间内无条件完善或要求赔付甲方损失。乙方应按照甲方指定时限无条件整改至验收合格，整改成本与延误后果由乙方自负。因乙方原因造成甲方全部损失（含维权费用等）均由乙方全额赔付；逾期拒不整改的，乙方需全额承担赔偿责任，甲方有权扣款并追责。</w:t>
      </w:r>
    </w:p>
    <w:p w14:paraId="5650C7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二）若发现乙方有弄虚作假的，及在项目实施阶段故意或随意夸大服务，甲方有权解除本合同，乙方应全额退还甲方已支付全部款项，并赔偿甲方因此遭受的全部经济损失、商誉损失及维权开支（律师费、诉讼费、第三方赔偿等），同时乙方按合同总额承担对应违约金。</w:t>
      </w:r>
    </w:p>
    <w:p w14:paraId="7BA74F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（三）验收标准：按磋商文件、磋商响应文件及磋商记录表等技术指标进行逐项验收。各项指标均应符合验收标准及要求。</w:t>
      </w:r>
    </w:p>
    <w:p w14:paraId="053B18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四）乙方应按甲方指定时限完成全部服务交付，并通过甲方验收，验收全部合格后，双方签署项目验收单，验收单作为项目结算、履约完成的有效依据。若乙方无正当理由拒不配合签署验收文件，甲方单方出具的验收确认文件同样具备结算效力。乙方提交资料缺失、成果不达标的，须限期补齐整改，相关成本、延误损失由乙方自行承担。</w:t>
      </w:r>
    </w:p>
    <w:p w14:paraId="74C959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bookmarkStart w:id="41" w:name="_Toc9858"/>
      <w:bookmarkStart w:id="42" w:name="_Toc31076"/>
      <w:bookmarkStart w:id="43" w:name="_Toc32526"/>
      <w:bookmarkStart w:id="44" w:name="_Toc7598"/>
      <w:bookmarkStart w:id="45" w:name="_Toc30681"/>
      <w:bookmarkStart w:id="46" w:name="_Toc20026"/>
      <w:r>
        <w:rPr>
          <w:rFonts w:hint="eastAsia" w:ascii="仿宋" w:hAnsi="仿宋" w:eastAsia="仿宋" w:cs="仿宋"/>
          <w:lang w:val="en-US" w:eastAsia="zh-CN"/>
        </w:rPr>
        <w:t>九、</w:t>
      </w:r>
      <w:r>
        <w:rPr>
          <w:rFonts w:hint="eastAsia" w:ascii="仿宋" w:hAnsi="仿宋" w:eastAsia="仿宋" w:cs="仿宋"/>
        </w:rPr>
        <w:t>违约责任</w:t>
      </w:r>
      <w:bookmarkEnd w:id="41"/>
      <w:bookmarkEnd w:id="42"/>
      <w:bookmarkEnd w:id="43"/>
      <w:bookmarkEnd w:id="44"/>
      <w:bookmarkEnd w:id="45"/>
      <w:bookmarkEnd w:id="46"/>
    </w:p>
    <w:p w14:paraId="1E3FEF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（一）按《中华人民共和国民法典》中的相关条款执行。</w:t>
      </w:r>
    </w:p>
    <w:p w14:paraId="4C5215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二）乙方未按合同要求提供服务或服务不能满足合同要求，甲方应当将乙方违约的情况以及拟采取的措施以书面形式报政府采购监管部门，政府采购监管部门有权依据《中华人民共和国政府采购法》及相关法律法规对乙方的违法行为进行相应的处罚。</w:t>
      </w:r>
    </w:p>
    <w:p w14:paraId="0A4281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三）乙方构成根本违约的，甲方有权单方书面通知解除本合同，乙方应全额退还甲方已支付款项，乙方自收到甲方解除通知当日应当向甲方一次性全额退还已付款项。乙方应按合同约定承担违约金、赔偿甲方全部损失（含另行采购差价、检测费、律师费、诉讼费等）。甲方有权直接从尾款中全额抵扣，若尾款不足以抵扣全部赔偿款项，甲方有权就差额部分继续向乙方追偿。甲方行使前述合同解除权，无需以政府采购监管部门处理意见为前置条件。</w:t>
      </w:r>
    </w:p>
    <w:p w14:paraId="769341D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四）乙方存在弄虚作假、虚假履约、恶意违约等违反政府采购法律法规行为的，甲方有权在作出解除合同、追责决定后，将乙方违约事实、相关佐证材料书面报送政府采购监管部门备案；政府采购监管部门有权依据《中华人民共和国政府采购法》及其实施条例，对乙方的违法违规行为独立作出行政处罚，该行政处理不影响甲方依据本合同及《民法典》向乙方主张民事赔偿。</w:t>
      </w:r>
    </w:p>
    <w:p w14:paraId="38978F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rPr>
      </w:pPr>
      <w:bookmarkStart w:id="47" w:name="_Toc27523"/>
      <w:bookmarkStart w:id="48" w:name="_Toc29958"/>
      <w:bookmarkStart w:id="49" w:name="_Toc15856"/>
      <w:bookmarkStart w:id="50" w:name="_Toc30630"/>
      <w:bookmarkStart w:id="51" w:name="_Toc9419"/>
      <w:bookmarkStart w:id="52" w:name="_Toc13662"/>
      <w:r>
        <w:rPr>
          <w:rFonts w:hint="eastAsia" w:ascii="仿宋" w:hAnsi="仿宋" w:eastAsia="仿宋" w:cs="仿宋"/>
          <w:b/>
          <w:bCs/>
          <w:lang w:val="en-US" w:eastAsia="zh-CN"/>
        </w:rPr>
        <w:t>十</w:t>
      </w:r>
      <w:r>
        <w:rPr>
          <w:rFonts w:hint="eastAsia" w:ascii="仿宋" w:hAnsi="仿宋" w:eastAsia="仿宋" w:cs="仿宋"/>
          <w:b/>
          <w:bCs/>
        </w:rPr>
        <w:t>、合同争议解决的方式</w:t>
      </w:r>
      <w:bookmarkEnd w:id="47"/>
      <w:bookmarkEnd w:id="48"/>
      <w:bookmarkEnd w:id="49"/>
      <w:bookmarkEnd w:id="50"/>
      <w:bookmarkEnd w:id="51"/>
      <w:bookmarkEnd w:id="52"/>
    </w:p>
    <w:p w14:paraId="712C77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bookmarkStart w:id="53" w:name="_Toc2858"/>
      <w:bookmarkStart w:id="54" w:name="_Toc25612"/>
      <w:bookmarkStart w:id="55" w:name="_Toc11478"/>
      <w:bookmarkStart w:id="56" w:name="_Toc18389"/>
      <w:bookmarkStart w:id="57" w:name="_Toc7342"/>
      <w:bookmarkStart w:id="58" w:name="_Toc24154"/>
      <w:r>
        <w:rPr>
          <w:rFonts w:hint="eastAsia" w:ascii="仿宋" w:hAnsi="仿宋" w:eastAsia="仿宋" w:cs="仿宋"/>
        </w:rPr>
        <w:t xml:space="preserve">本合同在履行过程中发生的争议，由甲、乙双方当事人协商解决，协商不成的按下列第  </w:t>
      </w:r>
      <w:r>
        <w:rPr>
          <w:rFonts w:hint="eastAsia" w:ascii="仿宋" w:hAnsi="仿宋" w:eastAsia="仿宋" w:cs="仿宋"/>
          <w:u w:val="single"/>
          <w:lang w:eastAsia="zh-CN"/>
        </w:rPr>
        <w:t>（</w:t>
      </w:r>
      <w:r>
        <w:rPr>
          <w:rFonts w:hint="eastAsia" w:ascii="仿宋" w:hAnsi="仿宋" w:eastAsia="仿宋" w:cs="仿宋"/>
          <w:u w:val="single"/>
          <w:lang w:val="en-US" w:eastAsia="zh-CN"/>
        </w:rPr>
        <w:t>二</w:t>
      </w:r>
      <w:r>
        <w:rPr>
          <w:rFonts w:hint="eastAsia" w:ascii="仿宋" w:hAnsi="仿宋" w:eastAsia="仿宋" w:cs="仿宋"/>
          <w:u w:val="single"/>
          <w:lang w:eastAsia="zh-CN"/>
        </w:rPr>
        <w:t>）</w:t>
      </w:r>
      <w:r>
        <w:rPr>
          <w:rFonts w:hint="eastAsia" w:ascii="仿宋" w:hAnsi="仿宋" w:eastAsia="仿宋" w:cs="仿宋"/>
          <w:u w:val="single"/>
        </w:rPr>
        <w:t xml:space="preserve">  </w:t>
      </w:r>
      <w:r>
        <w:rPr>
          <w:rFonts w:hint="eastAsia" w:ascii="仿宋" w:hAnsi="仿宋" w:eastAsia="仿宋" w:cs="仿宋"/>
        </w:rPr>
        <w:t>种方式解决：</w:t>
      </w:r>
    </w:p>
    <w:p w14:paraId="799703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（一）提交</w:t>
      </w:r>
      <w:r>
        <w:rPr>
          <w:rFonts w:hint="eastAsia" w:ascii="仿宋" w:hAnsi="仿宋" w:eastAsia="仿宋" w:cs="仿宋"/>
          <w:lang w:val="en-US" w:eastAsia="zh-CN"/>
        </w:rPr>
        <w:t>西安</w:t>
      </w:r>
      <w:r>
        <w:rPr>
          <w:rFonts w:hint="eastAsia" w:ascii="仿宋" w:hAnsi="仿宋" w:eastAsia="仿宋" w:cs="仿宋"/>
        </w:rPr>
        <w:t>仲裁委员会仲裁；</w:t>
      </w:r>
    </w:p>
    <w:p w14:paraId="33D04A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（二）依法向  </w:t>
      </w:r>
      <w:r>
        <w:rPr>
          <w:rFonts w:hint="eastAsia" w:ascii="仿宋" w:hAnsi="仿宋" w:eastAsia="仿宋" w:cs="仿宋"/>
          <w:lang w:val="en-US" w:eastAsia="zh-CN"/>
        </w:rPr>
        <w:t>甲方</w:t>
      </w:r>
      <w:r>
        <w:rPr>
          <w:rFonts w:hint="eastAsia" w:ascii="仿宋" w:hAnsi="仿宋" w:eastAsia="仿宋" w:cs="仿宋"/>
        </w:rPr>
        <w:t xml:space="preserve"> 所在地人民法院起诉。</w:t>
      </w:r>
    </w:p>
    <w:p w14:paraId="30BF5D5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rPr>
      </w:pPr>
      <w:r>
        <w:rPr>
          <w:rFonts w:hint="eastAsia" w:ascii="仿宋" w:hAnsi="仿宋" w:eastAsia="仿宋" w:cs="仿宋"/>
          <w:b/>
          <w:bCs/>
        </w:rPr>
        <w:t>十</w:t>
      </w:r>
      <w:r>
        <w:rPr>
          <w:rFonts w:hint="eastAsia" w:ascii="仿宋" w:hAnsi="仿宋" w:eastAsia="仿宋" w:cs="仿宋"/>
          <w:b/>
          <w:bCs/>
          <w:lang w:val="en-US" w:eastAsia="zh-CN"/>
        </w:rPr>
        <w:t>一</w:t>
      </w:r>
      <w:r>
        <w:rPr>
          <w:rFonts w:hint="eastAsia" w:ascii="仿宋" w:hAnsi="仿宋" w:eastAsia="仿宋" w:cs="仿宋"/>
          <w:b/>
          <w:bCs/>
        </w:rPr>
        <w:t>、合同生效</w:t>
      </w:r>
      <w:bookmarkEnd w:id="53"/>
      <w:bookmarkEnd w:id="54"/>
      <w:bookmarkEnd w:id="55"/>
      <w:bookmarkEnd w:id="56"/>
      <w:bookmarkEnd w:id="57"/>
      <w:bookmarkEnd w:id="58"/>
    </w:p>
    <w:p w14:paraId="6D137C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本合同一式</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陆</w:t>
      </w:r>
      <w:r>
        <w:rPr>
          <w:rFonts w:hint="eastAsia" w:ascii="仿宋" w:hAnsi="仿宋" w:eastAsia="仿宋" w:cs="仿宋"/>
          <w:u w:val="single"/>
        </w:rPr>
        <w:t xml:space="preserve">  </w:t>
      </w:r>
      <w:r>
        <w:rPr>
          <w:rFonts w:hint="eastAsia" w:ascii="仿宋" w:hAnsi="仿宋" w:eastAsia="仿宋" w:cs="仿宋"/>
        </w:rPr>
        <w:t>份，甲方执</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肆 </w:t>
      </w:r>
      <w:r>
        <w:rPr>
          <w:rFonts w:hint="eastAsia" w:ascii="仿宋" w:hAnsi="仿宋" w:eastAsia="仿宋" w:cs="仿宋"/>
          <w:u w:val="single"/>
        </w:rPr>
        <w:t xml:space="preserve"> </w:t>
      </w:r>
      <w:r>
        <w:rPr>
          <w:rFonts w:hint="eastAsia" w:ascii="仿宋" w:hAnsi="仿宋" w:eastAsia="仿宋" w:cs="仿宋"/>
        </w:rPr>
        <w:t>份，乙方执</w:t>
      </w:r>
      <w:r>
        <w:rPr>
          <w:rFonts w:hint="eastAsia" w:ascii="仿宋" w:hAnsi="仿宋" w:eastAsia="仿宋" w:cs="仿宋"/>
          <w:u w:val="single"/>
        </w:rPr>
        <w:t xml:space="preserve">  </w:t>
      </w:r>
      <w:r>
        <w:rPr>
          <w:rFonts w:hint="eastAsia" w:ascii="仿宋" w:hAnsi="仿宋" w:eastAsia="仿宋" w:cs="仿宋"/>
          <w:u w:val="single"/>
          <w:lang w:val="en-US" w:eastAsia="zh-CN"/>
        </w:rPr>
        <w:t>贰</w:t>
      </w:r>
      <w:r>
        <w:rPr>
          <w:rFonts w:hint="eastAsia" w:ascii="仿宋" w:hAnsi="仿宋" w:eastAsia="仿宋" w:cs="仿宋"/>
          <w:u w:val="single"/>
        </w:rPr>
        <w:t xml:space="preserve">  </w:t>
      </w:r>
      <w:r>
        <w:rPr>
          <w:rFonts w:hint="eastAsia" w:ascii="仿宋" w:hAnsi="仿宋" w:eastAsia="仿宋" w:cs="仿宋"/>
        </w:rPr>
        <w:t>份，本合同甲、乙、确认各方签字盖章后生效，合同执行完毕后，自动失效（合同的服务承诺则长期有效）。本合同全部服务验收合格、款项付清，合同主要履行义务终止；本合同终止不影响乙方就本合同作出的质量、售后、无虚假履约等全部服务承诺，相关承诺、违约责任、保密、争议解决等条款持续长期有效。</w:t>
      </w:r>
    </w:p>
    <w:p w14:paraId="7AE4AE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bookmarkStart w:id="59" w:name="_Toc21232"/>
      <w:bookmarkStart w:id="60" w:name="_Toc3403"/>
      <w:bookmarkStart w:id="61" w:name="_Toc18381"/>
      <w:bookmarkStart w:id="62" w:name="_Toc31909"/>
      <w:bookmarkStart w:id="63" w:name="_Toc18225"/>
      <w:bookmarkStart w:id="64" w:name="_Toc823"/>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、其他事项</w:t>
      </w:r>
      <w:bookmarkEnd w:id="59"/>
      <w:bookmarkEnd w:id="60"/>
      <w:bookmarkEnd w:id="61"/>
      <w:bookmarkEnd w:id="62"/>
      <w:bookmarkEnd w:id="63"/>
      <w:bookmarkEnd w:id="64"/>
    </w:p>
    <w:p w14:paraId="42A986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（一）竞争性磋商文件、竞争性磋商响应文件、澄清表（函）、成交通知书、合同附件均成为合同不可分割的部分。</w:t>
      </w:r>
    </w:p>
    <w:p w14:paraId="1F8396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（二）合同未尽事宜，由甲、乙双方协商，另行签订补充协议，补充协议与原合同具有同等法律效力。</w:t>
      </w:r>
    </w:p>
    <w:p w14:paraId="2DFBF3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（三）合同一经签订，不得擅自变更、中止或终止合同。但若与甲方的上级管理机关的政策性行为或其他规定发生冲突，甲方有权与乙方协商调整本合同内容或终止本合同执行。</w:t>
      </w:r>
    </w:p>
    <w:p w14:paraId="5E8AA1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（四）执行本合同过程中发生争议，由当事人双方协商解决。协商不成，应向甲方所在地人民法院提起诉讼。</w:t>
      </w:r>
    </w:p>
    <w:p w14:paraId="789F17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3392D9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（六）本合同按照中华人民共和国的现行法律进行解释。</w:t>
      </w:r>
    </w:p>
    <w:p w14:paraId="0705A1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（以下无正文）</w:t>
      </w:r>
    </w:p>
    <w:p w14:paraId="010CB0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p>
    <w:p w14:paraId="01F973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甲  方：（盖章）                          乙  方：（盖章）</w:t>
      </w:r>
    </w:p>
    <w:p w14:paraId="55F665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rPr>
        <w:t>单位名称：中共西安市委网络安全</w:t>
      </w:r>
      <w:r>
        <w:rPr>
          <w:rFonts w:hint="eastAsia" w:ascii="仿宋" w:hAnsi="仿宋" w:eastAsia="仿宋" w:cs="仿宋"/>
          <w:lang w:val="en-US" w:eastAsia="zh-CN"/>
        </w:rPr>
        <w:t xml:space="preserve">            </w:t>
      </w:r>
      <w:r>
        <w:rPr>
          <w:rFonts w:hint="eastAsia" w:ascii="仿宋" w:hAnsi="仿宋" w:eastAsia="仿宋" w:cs="仿宋"/>
        </w:rPr>
        <w:t>单位名称：</w:t>
      </w:r>
      <w:r>
        <w:rPr>
          <w:rFonts w:hint="eastAsia" w:ascii="仿宋" w:hAnsi="仿宋" w:eastAsia="仿宋" w:cs="仿宋"/>
          <w:lang w:val="en-US" w:eastAsia="zh-CN"/>
        </w:rPr>
        <w:t xml:space="preserve"> </w:t>
      </w:r>
    </w:p>
    <w:p w14:paraId="78BAF1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eastAsia="zh-CN"/>
        </w:rPr>
      </w:pPr>
      <w:r>
        <w:rPr>
          <w:rFonts w:hint="eastAsia" w:ascii="仿宋" w:hAnsi="仿宋" w:eastAsia="仿宋" w:cs="仿宋"/>
        </w:rPr>
        <w:t>和信息化委员会办公室</w:t>
      </w:r>
      <w:r>
        <w:rPr>
          <w:rFonts w:hint="eastAsia" w:ascii="仿宋" w:hAnsi="仿宋" w:eastAsia="仿宋" w:cs="仿宋"/>
          <w:lang w:val="en-US" w:eastAsia="zh-CN"/>
        </w:rPr>
        <w:t xml:space="preserve">                      </w:t>
      </w:r>
    </w:p>
    <w:p w14:paraId="2196C5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法定代表人                                法定代表人</w:t>
      </w:r>
    </w:p>
    <w:p w14:paraId="0E7C89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或委托代理人：                            或委托代理人：</w:t>
      </w:r>
    </w:p>
    <w:p w14:paraId="11CB43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                                          </w:t>
      </w:r>
    </w:p>
    <w:p w14:paraId="577265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p>
    <w:p w14:paraId="72B5B7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     </w:t>
      </w:r>
    </w:p>
    <w:p w14:paraId="0C0BF0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rPr>
        <w:t xml:space="preserve">签订日期：    年    月    日     </w:t>
      </w:r>
      <w:r>
        <w:rPr>
          <w:rFonts w:hint="eastAsia" w:ascii="仿宋" w:hAnsi="仿宋" w:eastAsia="仿宋" w:cs="仿宋"/>
          <w:lang w:val="en-US" w:eastAsia="zh-CN"/>
        </w:rPr>
        <w:t xml:space="preserve">  </w:t>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 xml:space="preserve"> 签订日期：    年   月   </w:t>
      </w:r>
      <w:r>
        <w:rPr>
          <w:rFonts w:hint="eastAsia" w:ascii="仿宋" w:hAnsi="仿宋" w:eastAsia="仿宋" w:cs="仿宋"/>
          <w:lang w:val="en-US" w:eastAsia="zh-CN"/>
        </w:rPr>
        <w:t>日</w:t>
      </w:r>
    </w:p>
    <w:p w14:paraId="6CF975DE"/>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D7313">
    <w:pPr>
      <w:pStyle w:val="5"/>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394DAA"/>
    <w:rsid w:val="331A616A"/>
    <w:rsid w:val="378253CB"/>
    <w:rsid w:val="452024EE"/>
    <w:rsid w:val="50103EED"/>
    <w:rsid w:val="6396607D"/>
    <w:rsid w:val="6843096F"/>
    <w:rsid w:val="6D56099A"/>
    <w:rsid w:val="761E0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5"/>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880" w:firstLineChars="200"/>
    </w:pPr>
  </w:style>
  <w:style w:type="paragraph" w:styleId="5">
    <w:name w:val="Body Text"/>
    <w:basedOn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toc 1"/>
    <w:basedOn w:val="1"/>
    <w:next w:val="1"/>
    <w:qFormat/>
    <w:uiPriority w:val="39"/>
  </w:style>
  <w:style w:type="paragraph" w:styleId="10">
    <w:name w:val="Body Text First Indent"/>
    <w:basedOn w:val="5"/>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1">
    <w:name w:val="Body Text First Indent 2"/>
    <w:basedOn w:val="6"/>
    <w:next w:val="1"/>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2 字符"/>
    <w:link w:val="3"/>
    <w:qFormat/>
    <w:uiPriority w:val="0"/>
    <w:rPr>
      <w:rFonts w:ascii="仿宋" w:hAnsi="仿宋" w:eastAsia="仿宋" w:cs="仿宋"/>
      <w:b/>
      <w:bCs/>
      <w:color w:val="auto"/>
      <w:sz w:val="24"/>
      <w:highlight w:val="none"/>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character" w:customStyle="1" w:styleId="17">
    <w:name w:val="font21"/>
    <w:basedOn w:val="14"/>
    <w:qFormat/>
    <w:uiPriority w:val="0"/>
    <w:rPr>
      <w:rFonts w:hint="eastAsia" w:ascii="仿宋" w:hAnsi="仿宋" w:eastAsia="仿宋" w:cs="仿宋"/>
      <w:color w:val="C00000"/>
      <w:sz w:val="24"/>
      <w:szCs w:val="24"/>
      <w:u w:val="none"/>
    </w:rPr>
  </w:style>
  <w:style w:type="character" w:customStyle="1" w:styleId="18">
    <w:name w:val="font31"/>
    <w:basedOn w:val="14"/>
    <w:qFormat/>
    <w:uiPriority w:val="0"/>
    <w:rPr>
      <w:rFonts w:hint="eastAsia" w:ascii="宋体" w:hAnsi="宋体" w:eastAsia="宋体" w:cs="宋体"/>
      <w:color w:val="000000"/>
      <w:sz w:val="21"/>
      <w:szCs w:val="21"/>
      <w:u w:val="none"/>
    </w:rPr>
  </w:style>
  <w:style w:type="character" w:customStyle="1" w:styleId="19">
    <w:name w:val="font41"/>
    <w:basedOn w:val="14"/>
    <w:qFormat/>
    <w:uiPriority w:val="0"/>
    <w:rPr>
      <w:rFonts w:hint="eastAsia" w:ascii="宋体" w:hAnsi="宋体" w:eastAsia="宋体" w:cs="宋体"/>
      <w:b/>
      <w:bCs/>
      <w:color w:val="000000"/>
      <w:sz w:val="21"/>
      <w:szCs w:val="21"/>
      <w:u w:val="none"/>
    </w:rPr>
  </w:style>
  <w:style w:type="character" w:customStyle="1" w:styleId="20">
    <w:name w:val="font51"/>
    <w:basedOn w:val="14"/>
    <w:qFormat/>
    <w:uiPriority w:val="0"/>
    <w:rPr>
      <w:rFonts w:ascii="宋体" w:hAnsi="宋体" w:eastAsia="宋体" w:cs="宋体"/>
      <w:color w:val="000000"/>
      <w:sz w:val="20"/>
      <w:szCs w:val="20"/>
      <w:u w:val="none"/>
    </w:rPr>
  </w:style>
  <w:style w:type="character" w:customStyle="1" w:styleId="21">
    <w:name w:val="font61"/>
    <w:basedOn w:val="14"/>
    <w:qFormat/>
    <w:uiPriority w:val="0"/>
    <w:rPr>
      <w:rFonts w:hint="default" w:ascii="Arial" w:hAnsi="Arial" w:cs="Arial"/>
      <w:color w:val="000000"/>
      <w:sz w:val="10"/>
      <w:szCs w:val="10"/>
      <w:u w:val="none"/>
    </w:rPr>
  </w:style>
  <w:style w:type="paragraph" w:customStyle="1" w:styleId="22">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23">
    <w:name w:val="样式 首行缩进:  2 字符"/>
    <w:basedOn w:val="1"/>
    <w:qFormat/>
    <w:uiPriority w:val="0"/>
    <w:pPr>
      <w:spacing w:line="400" w:lineRule="exact"/>
      <w:ind w:firstLine="200" w:firstLineChars="200"/>
    </w:pPr>
    <w:rPr>
      <w:rFonts w:cs="宋体"/>
      <w:sz w:val="24"/>
    </w:rPr>
  </w:style>
  <w:style w:type="paragraph" w:styleId="24">
    <w:name w:val="List Paragraph"/>
    <w:basedOn w:val="1"/>
    <w:qFormat/>
    <w:uiPriority w:val="99"/>
    <w:pPr>
      <w:ind w:firstLine="420" w:firstLineChars="200"/>
    </w:p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2498</Words>
  <Characters>2523</Characters>
  <Lines>0</Lines>
  <Paragraphs>0</Paragraphs>
  <TotalTime>0</TotalTime>
  <ScaleCrop>false</ScaleCrop>
  <LinksUpToDate>false</LinksUpToDate>
  <CharactersWithSpaces>2561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2026-07-10T07:15:53Z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350A0181A42E4F5584E829A6F056B162_13</vt:lpwstr>
  </property>
</Properties>
</file>