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版本号：SCZB2026-CS-0586-00620260708001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长安校区3号楼和11号楼改造工程项目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SCZB2026-CS-0586-006</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长安校区3号楼和11号楼改造工程项目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SCZB2026-CS-0586-006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长安校区3号楼和11号楼改造工程项目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青年职业学院长安校区3号楼和11号楼增加轻质隔墙、墙面粉刷；增加卫生间和盥洗室，改造上下水；土建、暖气（中央空调）、消防、强弱电系统等局部改造，3#楼增加壁挂分体空调。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采购包1（长安校区3号楼和11号楼改造工程项目）：属于专门面向中小企业采购。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3、企业资质：供应商具有建设行政主管部门颁发的建筑工程施工总承包三级及以上资质，同时具有有效的安全生产许可证。</w:t>
      </w:r>
    </w:p>
    <w:p>
      <w:pPr>
        <w:pStyle w:val="null3"/>
      </w:pPr>
      <w:r>
        <w:rPr>
          <w:rFonts w:ascii="仿宋_GB2312" w:hAnsi="仿宋_GB2312" w:cs="仿宋_GB2312" w:eastAsia="仿宋_GB2312"/>
        </w:rPr>
        <w:t>4、拟派项目负责人资质及专业要求：供应商拟派项目经理具备建筑工程专业二级及以上注册建造师执业资格及有效的安全生产考核合格证书（B证）且在本单位注册，同时提供无在建工程承诺书。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陕西青年职业学院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029-61289691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采购包1：3,861,812.00元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银行账号：103661558270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号)收费标准下浮40%收取。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3,861,812.00</w:t>
      </w:r>
    </w:p>
    <w:p>
      <w:pPr>
        <w:pStyle w:val="null3"/>
      </w:pPr>
      <w:r>
        <w:rPr>
          <w:rFonts w:ascii="仿宋_GB2312" w:hAnsi="仿宋_GB2312" w:cs="仿宋_GB2312" w:eastAsia="仿宋_GB2312"/>
        </w:rPr>
        <w:t>采购包最高限价（元）: 3,861,812.00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3,861,812.00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1.建设单位：陕西青年职业学院；</w:t>
            </w:r>
          </w:p>
          <w:p>
            <w:pPr>
              <w:pStyle w:val="null3"/>
            </w:pPr>
            <w:r>
              <w:rPr>
                <w:rFonts w:ascii="仿宋_GB2312" w:hAnsi="仿宋_GB2312" w:cs="仿宋_GB2312" w:eastAsia="仿宋_GB2312"/>
              </w:rPr>
              <w:t>2.建设地点：陕西省西安市长安区常宁新区鱼包头街123号；</w:t>
            </w:r>
          </w:p>
          <w:p>
            <w:pPr>
              <w:pStyle w:val="null3"/>
            </w:pPr>
            <w:r>
              <w:rPr>
                <w:rFonts w:ascii="仿宋_GB2312" w:hAnsi="仿宋_GB2312" w:cs="仿宋_GB2312" w:eastAsia="仿宋_GB2312"/>
              </w:rPr>
              <w:t>3.工程概况：3# 和11#楼增加轻质隔墙、墙面粉刷；增加卫生间和盥洗室，改造上下水；土建、暖气（中央空调）、消防、强弱电系统等局部改造，3#楼增加壁挂分体空调。</w:t>
            </w:r>
          </w:p>
          <w:p>
            <w:pPr>
              <w:pStyle w:val="null3"/>
            </w:pPr>
            <w:r>
              <w:rPr>
                <w:rFonts w:ascii="仿宋_GB2312" w:hAnsi="仿宋_GB2312" w:cs="仿宋_GB2312" w:eastAsia="仿宋_GB2312"/>
              </w:rPr>
              <w:t>4.工期：工期为30日历天。</w:t>
            </w:r>
          </w:p>
          <w:p>
            <w:pPr>
              <w:pStyle w:val="null3"/>
            </w:pPr>
            <w:r>
              <w:rPr>
                <w:rFonts w:ascii="仿宋_GB2312" w:hAnsi="仿宋_GB2312" w:cs="仿宋_GB2312" w:eastAsia="仿宋_GB2312"/>
              </w:rPr>
              <w:t>二、招标范围</w:t>
            </w:r>
          </w:p>
          <w:p>
            <w:pPr>
              <w:pStyle w:val="null3"/>
            </w:pPr>
            <w:r>
              <w:rPr>
                <w:rFonts w:ascii="仿宋_GB2312" w:hAnsi="仿宋_GB2312" w:cs="仿宋_GB2312" w:eastAsia="仿宋_GB2312"/>
              </w:rPr>
              <w:t>本项目设计图纸和工程量清单范围内的全部内容。</w:t>
            </w:r>
          </w:p>
          <w:p>
            <w:pPr>
              <w:pStyle w:val="null3"/>
            </w:pPr>
            <w:r>
              <w:rPr>
                <w:rFonts w:ascii="仿宋_GB2312" w:hAnsi="仿宋_GB2312" w:cs="仿宋_GB2312" w:eastAsia="仿宋_GB2312"/>
              </w:rPr>
              <w:t>三、工程量清单编制说明</w:t>
            </w:r>
          </w:p>
          <w:p>
            <w:pPr>
              <w:pStyle w:val="null3"/>
              <w:jc w:val="both"/>
            </w:pPr>
            <w:r>
              <w:rPr>
                <w:rFonts w:ascii="仿宋_GB2312" w:hAnsi="仿宋_GB2312" w:cs="仿宋_GB2312" w:eastAsia="仿宋_GB2312"/>
              </w:rPr>
              <w:t>工程量清单及编制说明另附。</w:t>
            </w:r>
          </w:p>
          <w:p>
            <w:pPr>
              <w:pStyle w:val="null3"/>
            </w:pPr>
            <w:r>
              <w:rPr>
                <w:rFonts w:ascii="仿宋_GB2312" w:hAnsi="仿宋_GB2312" w:cs="仿宋_GB2312" w:eastAsia="仿宋_GB2312"/>
              </w:rPr>
              <w:t>四、图纸：电子版另附。</w:t>
            </w:r>
          </w:p>
          <w:p>
            <w:pPr>
              <w:pStyle w:val="null3"/>
            </w:pPr>
            <w:r>
              <w:rPr>
                <w:rFonts w:ascii="仿宋_GB2312" w:hAnsi="仿宋_GB2312" w:cs="仿宋_GB2312" w:eastAsia="仿宋_GB2312"/>
              </w:rPr>
              <w:t>五、施工要求</w:t>
            </w:r>
          </w:p>
          <w:p>
            <w:pPr>
              <w:pStyle w:val="null3"/>
            </w:pPr>
            <w:r>
              <w:rPr>
                <w:rFonts w:ascii="仿宋_GB2312" w:hAnsi="仿宋_GB2312" w:cs="仿宋_GB2312" w:eastAsia="仿宋_GB2312"/>
              </w:rPr>
              <w:t>1、成交供应商必须配备足够的人员和充足的机械设备进入实施，确保按时保质保量完成任务。</w:t>
            </w:r>
          </w:p>
          <w:p>
            <w:pPr>
              <w:pStyle w:val="null3"/>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pPr>
            <w:r>
              <w:rPr>
                <w:rFonts w:ascii="仿宋_GB2312" w:hAnsi="仿宋_GB2312" w:cs="仿宋_GB2312" w:eastAsia="仿宋_GB2312"/>
              </w:rPr>
              <w:t>3、严格遵守西安市关于控制扬尘污染、治污减霾的相关规定，并承担一切安全事故或违规处罚所带来的经济及法律责任。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仿宋_GB2312" w:hAnsi="仿宋_GB2312" w:cs="仿宋_GB2312" w:eastAsia="仿宋_GB2312"/>
              </w:rPr>
              <w:t>承包方在垃圾外运中应严格遵守长安区关于治污减霾相关规定，服从采购人相关部门管理，严格做好治污减霾工作。</w:t>
            </w:r>
          </w:p>
          <w:p>
            <w:pPr>
              <w:pStyle w:val="null3"/>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（一）付款方式：</w:t>
            </w:r>
          </w:p>
          <w:p>
            <w:pPr>
              <w:pStyle w:val="null3"/>
            </w:pPr>
            <w:r>
              <w:rPr>
                <w:rFonts w:ascii="仿宋_GB2312" w:hAnsi="仿宋_GB2312" w:cs="仿宋_GB2312" w:eastAsia="仿宋_GB2312"/>
              </w:rPr>
              <w:t>（1）预付款，承包人进场后，达到付款条件起10个工作日内，支付合同总金额的40.0%</w:t>
            </w:r>
            <w:r>
              <w:br/>
            </w:r>
            <w:r>
              <w:rPr>
                <w:rFonts w:ascii="仿宋_GB2312" w:hAnsi="仿宋_GB2312" w:cs="仿宋_GB2312" w:eastAsia="仿宋_GB2312"/>
              </w:rPr>
              <w:t xml:space="preserve"> （2）进度款，工程竣工验收合格后，达到付款条件起30个工作日内，支付合同总金额的40.0%</w:t>
            </w:r>
            <w:r>
              <w:br/>
            </w:r>
            <w:r>
              <w:rPr>
                <w:rFonts w:ascii="仿宋_GB2312" w:hAnsi="仿宋_GB2312" w:cs="仿宋_GB2312" w:eastAsia="仿宋_GB2312"/>
              </w:rPr>
              <w:t xml:space="preserve"> （3）其他，竣工结算审计完成后，达到付款条件起30个工作日内，支付合同总金额的20.0%</w:t>
            </w:r>
          </w:p>
          <w:p>
            <w:pPr>
              <w:pStyle w:val="null3"/>
            </w:pPr>
            <w:r>
              <w:rPr>
                <w:rFonts w:ascii="仿宋_GB2312" w:hAnsi="仿宋_GB2312" w:cs="仿宋_GB2312" w:eastAsia="仿宋_GB2312"/>
              </w:rPr>
              <w:t>（二）结算方式：付款之前，乙方开全额合规发票至甲方。</w:t>
            </w:r>
          </w:p>
          <w:p>
            <w:pPr>
              <w:pStyle w:val="null3"/>
            </w:pPr>
            <w:r>
              <w:rPr>
                <w:rFonts w:ascii="仿宋_GB2312" w:hAnsi="仿宋_GB2312" w:cs="仿宋_GB2312" w:eastAsia="仿宋_GB2312"/>
              </w:rPr>
              <w:t>（三）支付方式：银行转账。</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（五）质量保修期：</w:t>
            </w:r>
          </w:p>
          <w:p>
            <w:pPr>
              <w:pStyle w:val="null3"/>
            </w:pPr>
            <w:r>
              <w:rPr>
                <w:rFonts w:ascii="仿宋_GB2312" w:hAnsi="仿宋_GB2312" w:cs="仿宋_GB2312" w:eastAsia="仿宋_GB2312"/>
              </w:rPr>
              <w:t>质量保修期其他工程为二年，防水工程为五年。</w:t>
            </w:r>
          </w:p>
          <w:p>
            <w:pPr>
              <w:pStyle w:val="null3"/>
            </w:pPr>
            <w:r>
              <w:rPr>
                <w:rFonts w:ascii="仿宋_GB2312" w:hAnsi="仿宋_GB2312" w:cs="仿宋_GB2312" w:eastAsia="仿宋_GB2312"/>
              </w:rPr>
              <w:t>（六）售后质保及响应时效</w:t>
            </w:r>
          </w:p>
          <w:p>
            <w:pPr>
              <w:pStyle w:val="null3"/>
            </w:pPr>
            <w:r>
              <w:rPr>
                <w:rFonts w:ascii="仿宋_GB2312" w:hAnsi="仿宋_GB2312" w:cs="仿宋_GB2312" w:eastAsia="仿宋_GB2312"/>
              </w:rPr>
              <w:t>①质保期：验收合格后24个月。</w:t>
            </w:r>
          </w:p>
          <w:p>
            <w:pPr>
              <w:pStyle w:val="null3"/>
            </w:pPr>
            <w:r>
              <w:rPr>
                <w:rFonts w:ascii="仿宋_GB2312" w:hAnsi="仿宋_GB2312" w:cs="仿宋_GB2312" w:eastAsia="仿宋_GB2312"/>
              </w:rPr>
              <w:t>②响应时效：即时响应(包括电话响应)；电话响应无法解决 24小时内到达现场。修复时间 48 小时内解决;如 48 小时内无法修复，应提供相应解决方案。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报价汇总表中的价格必须是完成本项目的所有费用的报价；报价明细表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1553545171@qq.com（邮件命名：项目名称-项目编号-单位名称），并将保函原件在开标前递交至代理机构；供应商应在响应文件中附保函复印件。3.3.2.项目成交后，成交供应商须无偿提供最终报价的已标价工程量清单。 3.3.3本项目不组织统一踏勘，供应商可进行自行踏勘，自行踏勘时间为2026年7月17日-2026年7月18日每日上午09:00-12:00，下午14:00-17:00，联系人：皇甫端端，联系电话：13991996288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供应商拟派项目经理具备建筑工程专业二级及以上注册建造师执业资格及有效的安全生产考核合格证书（B证）且在本单位注册，同时提供无在建工程承诺书。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 磋商保证金支付凭证或担保函.docx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 磋商保证金支付凭证或担保函.docx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磋商保证金已按竞争性磋商文件规定提交且金额、形式符合竞争性磋商文件要求。</w:t>
            </w:r>
          </w:p>
        </w:tc>
        <w:tc>
          <w:tcPr>
            <w:tcW w:type="dxa" w:w="1661"/>
          </w:tcPr>
          <w:p>
            <w:pPr>
              <w:pStyle w:val="null3"/>
            </w:pPr>
            <w:r>
              <w:rPr>
                <w:rFonts w:ascii="仿宋_GB2312" w:hAnsi="仿宋_GB2312" w:cs="仿宋_GB2312" w:eastAsia="仿宋_GB2312"/>
              </w:rPr>
              <w:t>磋商保证金支付凭证或担保函.docx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 磋商保证金支付凭证或担保函.docx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①措施完整全面，能够从多方面保证安全生产，且合理性、可行性强的得8分； ②措施基本完整全面，能从多个方面确保安全生产，基本合理、可行的得5分； ③措施不完整、全面，但有一定的可行性的得2分；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①进度安排合理、可行、科学、符合项目实施需求，施工进度表或网络图表达清晰、合理的得5分； ②进度安排较合理、较可行、较符合项目实施需求，施工进度表或网络图表达较不明确、较不清晰的得3分； ③进度安排合理和可行较差的，施工进度表或网络图表达不明确、不清晰、较混乱的得1分；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供应商提供2022年1月1日至今类似项目业绩，每提供一个有效业绩得3分，最高得15分。（业绩以合同或中标通知书为准，时间以合同签订时间或中标通知书时间为准）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①针对本项目拟派的项目负责人具备建筑工程专业高级及以上职称得2分，中级职称得1分。 注：须提供合格有效的相关证书及供应商近半年内任意一个月为其缴纳社保的证明材料复印件并加盖公章，未提供不得分。 ②项目负责人具有丰富的工作经验，提供近三年（2022年1月1日至响应文件递交截止之日，以合同签订时间为准）的类似业绩，每提供一份得2分，最高4分。 注：以供应商加盖公章的合同复印件为准，合同中须体现项目负责人的姓名。项目负责人业绩与企业业绩不可重复计算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详见附件：磋商保证金支付凭证或担保函.docx</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详见附件：拟签订合同-陕西青年职业学院长安校区3号楼和11号楼改造工程项目.docx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