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7595B">
      <w:pPr>
        <w:pStyle w:val="8"/>
        <w:jc w:val="center"/>
        <w:outlineLvl w:val="1"/>
        <w:rPr>
          <w:rFonts w:hint="eastAsia" w:eastAsia="仿宋_GB2312"/>
          <w:lang w:eastAsia="zh-CN"/>
        </w:rPr>
      </w:pPr>
      <w:r>
        <w:rPr>
          <w:rFonts w:ascii="仿宋_GB2312" w:hAnsi="仿宋_GB2312" w:eastAsia="仿宋_GB2312" w:cs="仿宋_GB2312"/>
          <w:b/>
          <w:sz w:val="36"/>
        </w:rPr>
        <w:t>拟签订采购合同文本</w:t>
      </w:r>
      <w:r>
        <w:rPr>
          <w:rFonts w:hint="eastAsia" w:ascii="仿宋_GB2312" w:hAnsi="仿宋_GB2312" w:eastAsia="仿宋_GB2312" w:cs="仿宋_GB2312"/>
          <w:b/>
          <w:sz w:val="36"/>
          <w:lang w:eastAsia="zh-CN"/>
        </w:rPr>
        <w:t>（</w:t>
      </w:r>
      <w:r>
        <w:rPr>
          <w:rFonts w:hint="eastAsia" w:ascii="仿宋_GB2312" w:hAnsi="仿宋_GB2312" w:eastAsia="仿宋_GB2312" w:cs="仿宋_GB2312"/>
          <w:b/>
          <w:sz w:val="36"/>
          <w:lang w:val="en-US" w:eastAsia="zh-CN"/>
        </w:rPr>
        <w:t>参考合同</w:t>
      </w:r>
      <w:bookmarkStart w:id="0" w:name="_GoBack"/>
      <w:bookmarkEnd w:id="0"/>
      <w:r>
        <w:rPr>
          <w:rFonts w:hint="eastAsia" w:ascii="仿宋_GB2312" w:hAnsi="仿宋_GB2312" w:eastAsia="仿宋_GB2312" w:cs="仿宋_GB2312"/>
          <w:b/>
          <w:sz w:val="36"/>
          <w:lang w:eastAsia="zh-CN"/>
        </w:rPr>
        <w:t>）</w:t>
      </w:r>
    </w:p>
    <w:p w14:paraId="3802B2A7">
      <w:pPr>
        <w:kinsoku w:val="0"/>
        <w:spacing w:line="360" w:lineRule="auto"/>
        <w:ind w:firstLine="400" w:firstLineChars="200"/>
        <w:rPr>
          <w:rFonts w:hint="eastAsia" w:ascii="方正仿宋_GB2312" w:hAnsi="方正仿宋_GB2312" w:eastAsia="方正仿宋_GB2312" w:cs="方正仿宋_GB2312"/>
          <w:sz w:val="20"/>
          <w:szCs w:val="20"/>
          <w:highlight w:val="none"/>
          <w:u w:val="single"/>
          <w:lang w:val="en-US" w:eastAsia="zh-CN"/>
        </w:rPr>
      </w:pPr>
      <w:r>
        <w:rPr>
          <w:rFonts w:hint="eastAsia" w:ascii="方正仿宋_GB2312" w:hAnsi="方正仿宋_GB2312" w:eastAsia="方正仿宋_GB2312" w:cs="方正仿宋_GB2312"/>
          <w:sz w:val="20"/>
          <w:szCs w:val="20"/>
          <w:highlight w:val="none"/>
        </w:rPr>
        <w:t>甲方：</w:t>
      </w:r>
      <w:r>
        <w:rPr>
          <w:rFonts w:hint="eastAsia" w:ascii="方正仿宋_GB2312" w:hAnsi="方正仿宋_GB2312" w:eastAsia="方正仿宋_GB2312" w:cs="方正仿宋_GB2312"/>
          <w:sz w:val="20"/>
          <w:szCs w:val="20"/>
          <w:highlight w:val="none"/>
          <w:lang w:val="en-US" w:eastAsia="zh-CN"/>
        </w:rPr>
        <w:t>陕西省人民医院</w:t>
      </w:r>
    </w:p>
    <w:p w14:paraId="1A3630A6">
      <w:pPr>
        <w:kinsoku w:val="0"/>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乙方：</w:t>
      </w:r>
      <w:r>
        <w:rPr>
          <w:rFonts w:hint="eastAsia" w:ascii="方正仿宋_GB2312" w:hAnsi="方正仿宋_GB2312" w:eastAsia="方正仿宋_GB2312" w:cs="方正仿宋_GB2312"/>
          <w:sz w:val="20"/>
          <w:szCs w:val="20"/>
          <w:highlight w:val="none"/>
          <w:u w:val="single"/>
        </w:rPr>
        <w:t xml:space="preserve">          </w:t>
      </w:r>
    </w:p>
    <w:p w14:paraId="2D273FF6">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根据《中华人民共和国政府采购法》、《中华人民共和国</w:t>
      </w:r>
      <w:r>
        <w:rPr>
          <w:rFonts w:hint="eastAsia" w:ascii="方正仿宋_GB2312" w:hAnsi="方正仿宋_GB2312" w:eastAsia="方正仿宋_GB2312" w:cs="方正仿宋_GB2312"/>
          <w:sz w:val="20"/>
          <w:szCs w:val="20"/>
          <w:highlight w:val="none"/>
          <w:lang w:eastAsia="zh-CN"/>
        </w:rPr>
        <w:t>民法典</w:t>
      </w:r>
      <w:r>
        <w:rPr>
          <w:rFonts w:hint="eastAsia" w:ascii="方正仿宋_GB2312" w:hAnsi="方正仿宋_GB2312" w:eastAsia="方正仿宋_GB2312" w:cs="方正仿宋_GB2312"/>
          <w:sz w:val="20"/>
          <w:szCs w:val="20"/>
          <w:highlight w:val="none"/>
        </w:rPr>
        <w:t>》等法律法规，甲方通过</w:t>
      </w:r>
      <w:r>
        <w:rPr>
          <w:rFonts w:hint="eastAsia" w:ascii="方正仿宋_GB2312" w:hAnsi="方正仿宋_GB2312" w:eastAsia="方正仿宋_GB2312" w:cs="方正仿宋_GB2312"/>
          <w:b w:val="0"/>
          <w:bCs w:val="0"/>
          <w:sz w:val="20"/>
          <w:szCs w:val="20"/>
          <w:highlight w:val="none"/>
          <w:lang w:val="en-US" w:eastAsia="zh-CN"/>
        </w:rPr>
        <w:t>公开</w:t>
      </w:r>
      <w:r>
        <w:rPr>
          <w:rFonts w:hint="eastAsia" w:ascii="方正仿宋_GB2312" w:hAnsi="方正仿宋_GB2312" w:eastAsia="方正仿宋_GB2312" w:cs="方正仿宋_GB2312"/>
          <w:sz w:val="20"/>
          <w:szCs w:val="20"/>
          <w:highlight w:val="none"/>
        </w:rPr>
        <w:t>招标，选定乙方为中标单位。甲、乙双方在平等基础上协商一致，达成如下合同条款：</w:t>
      </w:r>
    </w:p>
    <w:p w14:paraId="5960E087">
      <w:pPr>
        <w:kinsoku w:val="0"/>
        <w:spacing w:line="360" w:lineRule="auto"/>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一、</w:t>
      </w:r>
      <w:r>
        <w:rPr>
          <w:rFonts w:hint="eastAsia" w:ascii="方正仿宋_GB2312" w:hAnsi="方正仿宋_GB2312" w:eastAsia="方正仿宋_GB2312" w:cs="方正仿宋_GB2312"/>
          <w:b/>
          <w:bCs/>
          <w:sz w:val="20"/>
          <w:szCs w:val="20"/>
          <w:highlight w:val="none"/>
        </w:rPr>
        <w:t>合同内容</w:t>
      </w:r>
    </w:p>
    <w:tbl>
      <w:tblPr>
        <w:tblStyle w:val="6"/>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720"/>
        <w:gridCol w:w="1635"/>
        <w:gridCol w:w="1613"/>
        <w:gridCol w:w="1605"/>
        <w:gridCol w:w="1189"/>
      </w:tblGrid>
      <w:tr w14:paraId="027A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14:paraId="1692CB46">
            <w:pPr>
              <w:spacing w:line="360" w:lineRule="auto"/>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序号</w:t>
            </w:r>
          </w:p>
        </w:tc>
        <w:tc>
          <w:tcPr>
            <w:tcW w:w="1720" w:type="dxa"/>
            <w:tcBorders>
              <w:top w:val="single" w:color="auto" w:sz="4" w:space="0"/>
              <w:left w:val="single" w:color="auto" w:sz="4" w:space="0"/>
              <w:bottom w:val="single" w:color="auto" w:sz="4" w:space="0"/>
              <w:right w:val="single" w:color="auto" w:sz="4" w:space="0"/>
            </w:tcBorders>
            <w:noWrap w:val="0"/>
            <w:vAlign w:val="center"/>
          </w:tcPr>
          <w:p w14:paraId="7603BE2B">
            <w:pPr>
              <w:spacing w:line="360" w:lineRule="auto"/>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产品名称</w:t>
            </w:r>
          </w:p>
        </w:tc>
        <w:tc>
          <w:tcPr>
            <w:tcW w:w="1635" w:type="dxa"/>
            <w:tcBorders>
              <w:top w:val="single" w:color="auto" w:sz="4" w:space="0"/>
              <w:left w:val="single" w:color="auto" w:sz="4" w:space="0"/>
              <w:bottom w:val="single" w:color="auto" w:sz="4" w:space="0"/>
              <w:right w:val="single" w:color="auto" w:sz="4" w:space="0"/>
            </w:tcBorders>
            <w:noWrap w:val="0"/>
            <w:vAlign w:val="center"/>
          </w:tcPr>
          <w:p w14:paraId="450D661E">
            <w:pPr>
              <w:spacing w:line="360" w:lineRule="auto"/>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型号</w:t>
            </w:r>
          </w:p>
        </w:tc>
        <w:tc>
          <w:tcPr>
            <w:tcW w:w="1613" w:type="dxa"/>
            <w:tcBorders>
              <w:top w:val="single" w:color="auto" w:sz="4" w:space="0"/>
              <w:left w:val="single" w:color="auto" w:sz="4" w:space="0"/>
              <w:bottom w:val="single" w:color="auto" w:sz="4" w:space="0"/>
              <w:right w:val="single" w:color="auto" w:sz="4" w:space="0"/>
            </w:tcBorders>
            <w:noWrap w:val="0"/>
            <w:vAlign w:val="center"/>
          </w:tcPr>
          <w:p w14:paraId="1AB178BC">
            <w:pPr>
              <w:spacing w:line="360" w:lineRule="auto"/>
              <w:jc w:val="center"/>
              <w:rPr>
                <w:rFonts w:hint="eastAsia" w:ascii="方正仿宋_GB2312" w:hAnsi="方正仿宋_GB2312" w:eastAsia="方正仿宋_GB2312" w:cs="方正仿宋_GB2312"/>
                <w:b/>
                <w:strike/>
                <w:color w:val="auto"/>
                <w:sz w:val="20"/>
                <w:szCs w:val="20"/>
                <w:highlight w:val="yellow"/>
              </w:rPr>
            </w:pPr>
            <w:r>
              <w:rPr>
                <w:rFonts w:hint="eastAsia" w:ascii="方正仿宋_GB2312" w:hAnsi="方正仿宋_GB2312" w:eastAsia="方正仿宋_GB2312" w:cs="方正仿宋_GB2312"/>
                <w:b/>
                <w:color w:val="auto"/>
                <w:sz w:val="20"/>
                <w:szCs w:val="20"/>
                <w:highlight w:val="none"/>
              </w:rPr>
              <w:t>生产厂家</w:t>
            </w:r>
          </w:p>
        </w:tc>
        <w:tc>
          <w:tcPr>
            <w:tcW w:w="1605" w:type="dxa"/>
            <w:tcBorders>
              <w:top w:val="single" w:color="auto" w:sz="4" w:space="0"/>
              <w:left w:val="single" w:color="auto" w:sz="4" w:space="0"/>
              <w:bottom w:val="single" w:color="auto" w:sz="4" w:space="0"/>
              <w:right w:val="single" w:color="auto" w:sz="4" w:space="0"/>
            </w:tcBorders>
            <w:noWrap w:val="0"/>
            <w:vAlign w:val="center"/>
          </w:tcPr>
          <w:p w14:paraId="2ADC4C01">
            <w:pPr>
              <w:spacing w:line="360" w:lineRule="auto"/>
              <w:jc w:val="center"/>
              <w:rPr>
                <w:rFonts w:hint="eastAsia" w:ascii="方正仿宋_GB2312" w:hAnsi="方正仿宋_GB2312" w:eastAsia="方正仿宋_GB2312" w:cs="方正仿宋_GB2312"/>
                <w:b/>
                <w:strike/>
                <w:color w:val="auto"/>
                <w:sz w:val="20"/>
                <w:szCs w:val="20"/>
                <w:highlight w:val="yellow"/>
              </w:rPr>
            </w:pPr>
            <w:r>
              <w:rPr>
                <w:rFonts w:hint="eastAsia" w:ascii="方正仿宋_GB2312" w:hAnsi="方正仿宋_GB2312" w:eastAsia="方正仿宋_GB2312" w:cs="方正仿宋_GB2312"/>
                <w:b/>
                <w:color w:val="auto"/>
                <w:sz w:val="20"/>
                <w:szCs w:val="20"/>
                <w:highlight w:val="none"/>
              </w:rPr>
              <w:t>单价</w:t>
            </w:r>
          </w:p>
        </w:tc>
        <w:tc>
          <w:tcPr>
            <w:tcW w:w="1189" w:type="dxa"/>
            <w:tcBorders>
              <w:top w:val="single" w:color="auto" w:sz="4" w:space="0"/>
              <w:left w:val="single" w:color="auto" w:sz="4" w:space="0"/>
              <w:bottom w:val="single" w:color="auto" w:sz="4" w:space="0"/>
              <w:right w:val="single" w:color="auto" w:sz="4" w:space="0"/>
            </w:tcBorders>
            <w:noWrap w:val="0"/>
            <w:vAlign w:val="center"/>
          </w:tcPr>
          <w:p w14:paraId="4AE57CF2">
            <w:pPr>
              <w:spacing w:line="360" w:lineRule="auto"/>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备注</w:t>
            </w:r>
          </w:p>
        </w:tc>
      </w:tr>
      <w:tr w14:paraId="1AF8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exac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14:paraId="431E2868">
            <w:pPr>
              <w:adjustRightInd w:val="0"/>
              <w:snapToGrid w:val="0"/>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w:t>
            </w:r>
          </w:p>
        </w:tc>
        <w:tc>
          <w:tcPr>
            <w:tcW w:w="1720" w:type="dxa"/>
            <w:tcBorders>
              <w:top w:val="single" w:color="auto" w:sz="4" w:space="0"/>
              <w:left w:val="single" w:color="auto" w:sz="4" w:space="0"/>
              <w:bottom w:val="single" w:color="auto" w:sz="4" w:space="0"/>
              <w:right w:val="single" w:color="auto" w:sz="4" w:space="0"/>
            </w:tcBorders>
            <w:noWrap w:val="0"/>
            <w:vAlign w:val="center"/>
          </w:tcPr>
          <w:p w14:paraId="6F31F5A7">
            <w:pPr>
              <w:adjustRightInd w:val="0"/>
              <w:snapToGrid w:val="0"/>
              <w:spacing w:line="360" w:lineRule="auto"/>
              <w:jc w:val="center"/>
              <w:rPr>
                <w:rFonts w:hint="eastAsia" w:ascii="方正仿宋_GB2312" w:hAnsi="方正仿宋_GB2312" w:eastAsia="方正仿宋_GB2312" w:cs="方正仿宋_GB2312"/>
                <w:color w:val="auto"/>
                <w:sz w:val="20"/>
                <w:szCs w:val="20"/>
                <w:highlight w:val="none"/>
              </w:rPr>
            </w:pPr>
          </w:p>
        </w:tc>
        <w:tc>
          <w:tcPr>
            <w:tcW w:w="1635" w:type="dxa"/>
            <w:tcBorders>
              <w:top w:val="single" w:color="auto" w:sz="4" w:space="0"/>
              <w:left w:val="single" w:color="auto" w:sz="4" w:space="0"/>
              <w:bottom w:val="single" w:color="auto" w:sz="4" w:space="0"/>
              <w:right w:val="single" w:color="auto" w:sz="4" w:space="0"/>
            </w:tcBorders>
            <w:noWrap w:val="0"/>
            <w:vAlign w:val="center"/>
          </w:tcPr>
          <w:p w14:paraId="171332DD">
            <w:pPr>
              <w:spacing w:line="360" w:lineRule="auto"/>
              <w:jc w:val="center"/>
              <w:rPr>
                <w:rFonts w:hint="eastAsia" w:ascii="方正仿宋_GB2312" w:hAnsi="方正仿宋_GB2312" w:eastAsia="方正仿宋_GB2312" w:cs="方正仿宋_GB2312"/>
                <w:color w:val="auto"/>
                <w:sz w:val="20"/>
                <w:szCs w:val="20"/>
                <w:highlight w:val="none"/>
              </w:rPr>
            </w:pPr>
          </w:p>
        </w:tc>
        <w:tc>
          <w:tcPr>
            <w:tcW w:w="1613" w:type="dxa"/>
            <w:tcBorders>
              <w:top w:val="single" w:color="auto" w:sz="4" w:space="0"/>
              <w:left w:val="single" w:color="auto" w:sz="4" w:space="0"/>
              <w:bottom w:val="single" w:color="auto" w:sz="4" w:space="0"/>
              <w:right w:val="single" w:color="auto" w:sz="4" w:space="0"/>
            </w:tcBorders>
            <w:noWrap w:val="0"/>
            <w:vAlign w:val="center"/>
          </w:tcPr>
          <w:p w14:paraId="6F8EE5EA">
            <w:pPr>
              <w:adjustRightInd w:val="0"/>
              <w:snapToGrid w:val="0"/>
              <w:spacing w:line="360" w:lineRule="auto"/>
              <w:jc w:val="center"/>
              <w:rPr>
                <w:rFonts w:hint="eastAsia" w:ascii="方正仿宋_GB2312" w:hAnsi="方正仿宋_GB2312" w:eastAsia="方正仿宋_GB2312" w:cs="方正仿宋_GB2312"/>
                <w:strike/>
                <w:color w:val="auto"/>
                <w:sz w:val="20"/>
                <w:szCs w:val="20"/>
                <w:highlight w:val="yellow"/>
              </w:rPr>
            </w:pPr>
          </w:p>
        </w:tc>
        <w:tc>
          <w:tcPr>
            <w:tcW w:w="1605" w:type="dxa"/>
            <w:tcBorders>
              <w:top w:val="single" w:color="auto" w:sz="4" w:space="0"/>
              <w:left w:val="single" w:color="auto" w:sz="4" w:space="0"/>
              <w:bottom w:val="single" w:color="auto" w:sz="4" w:space="0"/>
              <w:right w:val="single" w:color="auto" w:sz="4" w:space="0"/>
            </w:tcBorders>
            <w:noWrap w:val="0"/>
            <w:vAlign w:val="center"/>
          </w:tcPr>
          <w:p w14:paraId="47CF0D25">
            <w:pPr>
              <w:spacing w:line="360" w:lineRule="auto"/>
              <w:jc w:val="center"/>
              <w:textAlignment w:val="center"/>
              <w:rPr>
                <w:rFonts w:hint="eastAsia" w:ascii="方正仿宋_GB2312" w:hAnsi="方正仿宋_GB2312" w:eastAsia="方正仿宋_GB2312" w:cs="方正仿宋_GB2312"/>
                <w:strike/>
                <w:color w:val="auto"/>
                <w:sz w:val="20"/>
                <w:szCs w:val="20"/>
                <w:highlight w:val="yellow"/>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4B37B8B6">
            <w:pPr>
              <w:spacing w:line="360" w:lineRule="auto"/>
              <w:jc w:val="center"/>
              <w:textAlignment w:val="center"/>
              <w:rPr>
                <w:rFonts w:hint="eastAsia" w:ascii="方正仿宋_GB2312" w:hAnsi="方正仿宋_GB2312" w:eastAsia="方正仿宋_GB2312" w:cs="方正仿宋_GB2312"/>
                <w:color w:val="auto"/>
                <w:sz w:val="20"/>
                <w:szCs w:val="20"/>
                <w:highlight w:val="none"/>
              </w:rPr>
            </w:pPr>
          </w:p>
        </w:tc>
      </w:tr>
      <w:tr w14:paraId="2673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exac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14:paraId="6C5F61F7">
            <w:pPr>
              <w:adjustRightInd w:val="0"/>
              <w:snapToGrid w:val="0"/>
              <w:spacing w:line="360" w:lineRule="auto"/>
              <w:jc w:val="center"/>
              <w:rPr>
                <w:rFonts w:hint="eastAsia" w:ascii="方正仿宋_GB2312" w:hAnsi="方正仿宋_GB2312" w:eastAsia="方正仿宋_GB2312" w:cs="方正仿宋_GB2312"/>
                <w:color w:val="auto"/>
                <w:sz w:val="20"/>
                <w:szCs w:val="20"/>
                <w:highlight w:val="none"/>
              </w:rPr>
            </w:pPr>
          </w:p>
        </w:tc>
        <w:tc>
          <w:tcPr>
            <w:tcW w:w="1720" w:type="dxa"/>
            <w:tcBorders>
              <w:top w:val="single" w:color="auto" w:sz="4" w:space="0"/>
              <w:left w:val="single" w:color="auto" w:sz="4" w:space="0"/>
              <w:bottom w:val="single" w:color="auto" w:sz="4" w:space="0"/>
              <w:right w:val="single" w:color="auto" w:sz="4" w:space="0"/>
            </w:tcBorders>
            <w:noWrap w:val="0"/>
            <w:vAlign w:val="center"/>
          </w:tcPr>
          <w:p w14:paraId="70FB43DD">
            <w:pPr>
              <w:adjustRightInd w:val="0"/>
              <w:snapToGrid w:val="0"/>
              <w:spacing w:line="360" w:lineRule="auto"/>
              <w:jc w:val="center"/>
              <w:rPr>
                <w:rFonts w:hint="eastAsia" w:ascii="方正仿宋_GB2312" w:hAnsi="方正仿宋_GB2312" w:eastAsia="方正仿宋_GB2312" w:cs="方正仿宋_GB2312"/>
                <w:color w:val="auto"/>
                <w:sz w:val="20"/>
                <w:szCs w:val="20"/>
                <w:highlight w:val="none"/>
              </w:rPr>
            </w:pPr>
          </w:p>
        </w:tc>
        <w:tc>
          <w:tcPr>
            <w:tcW w:w="1635" w:type="dxa"/>
            <w:tcBorders>
              <w:top w:val="single" w:color="auto" w:sz="4" w:space="0"/>
              <w:left w:val="single" w:color="auto" w:sz="4" w:space="0"/>
              <w:bottom w:val="single" w:color="auto" w:sz="4" w:space="0"/>
              <w:right w:val="single" w:color="auto" w:sz="4" w:space="0"/>
            </w:tcBorders>
            <w:noWrap w:val="0"/>
            <w:vAlign w:val="center"/>
          </w:tcPr>
          <w:p w14:paraId="5BD1B516">
            <w:pPr>
              <w:spacing w:line="360" w:lineRule="auto"/>
              <w:jc w:val="center"/>
              <w:rPr>
                <w:rFonts w:hint="eastAsia" w:ascii="方正仿宋_GB2312" w:hAnsi="方正仿宋_GB2312" w:eastAsia="方正仿宋_GB2312" w:cs="方正仿宋_GB2312"/>
                <w:color w:val="auto"/>
                <w:sz w:val="20"/>
                <w:szCs w:val="20"/>
                <w:highlight w:val="none"/>
              </w:rPr>
            </w:pPr>
          </w:p>
        </w:tc>
        <w:tc>
          <w:tcPr>
            <w:tcW w:w="1613" w:type="dxa"/>
            <w:tcBorders>
              <w:top w:val="single" w:color="auto" w:sz="4" w:space="0"/>
              <w:left w:val="single" w:color="auto" w:sz="4" w:space="0"/>
              <w:bottom w:val="single" w:color="auto" w:sz="4" w:space="0"/>
              <w:right w:val="single" w:color="auto" w:sz="4" w:space="0"/>
            </w:tcBorders>
            <w:noWrap w:val="0"/>
            <w:vAlign w:val="center"/>
          </w:tcPr>
          <w:p w14:paraId="5591D9CA">
            <w:pPr>
              <w:adjustRightInd w:val="0"/>
              <w:snapToGrid w:val="0"/>
              <w:spacing w:line="360" w:lineRule="auto"/>
              <w:jc w:val="center"/>
              <w:rPr>
                <w:rFonts w:hint="eastAsia" w:ascii="方正仿宋_GB2312" w:hAnsi="方正仿宋_GB2312" w:eastAsia="方正仿宋_GB2312" w:cs="方正仿宋_GB2312"/>
                <w:strike/>
                <w:color w:val="auto"/>
                <w:sz w:val="20"/>
                <w:szCs w:val="20"/>
                <w:highlight w:val="yellow"/>
              </w:rPr>
            </w:pPr>
          </w:p>
        </w:tc>
        <w:tc>
          <w:tcPr>
            <w:tcW w:w="1605" w:type="dxa"/>
            <w:tcBorders>
              <w:top w:val="single" w:color="auto" w:sz="4" w:space="0"/>
              <w:left w:val="single" w:color="auto" w:sz="4" w:space="0"/>
              <w:bottom w:val="single" w:color="auto" w:sz="4" w:space="0"/>
              <w:right w:val="single" w:color="auto" w:sz="4" w:space="0"/>
            </w:tcBorders>
            <w:noWrap w:val="0"/>
            <w:vAlign w:val="center"/>
          </w:tcPr>
          <w:p w14:paraId="12990ACB">
            <w:pPr>
              <w:spacing w:line="360" w:lineRule="auto"/>
              <w:jc w:val="center"/>
              <w:textAlignment w:val="center"/>
              <w:rPr>
                <w:rFonts w:hint="eastAsia" w:ascii="方正仿宋_GB2312" w:hAnsi="方正仿宋_GB2312" w:eastAsia="方正仿宋_GB2312" w:cs="方正仿宋_GB2312"/>
                <w:strike/>
                <w:color w:val="auto"/>
                <w:sz w:val="20"/>
                <w:szCs w:val="20"/>
                <w:highlight w:val="yellow"/>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3BF192D7">
            <w:pPr>
              <w:spacing w:line="360" w:lineRule="auto"/>
              <w:jc w:val="center"/>
              <w:textAlignment w:val="center"/>
              <w:rPr>
                <w:rFonts w:hint="eastAsia" w:ascii="方正仿宋_GB2312" w:hAnsi="方正仿宋_GB2312" w:eastAsia="方正仿宋_GB2312" w:cs="方正仿宋_GB2312"/>
                <w:color w:val="auto"/>
                <w:sz w:val="20"/>
                <w:szCs w:val="20"/>
                <w:highlight w:val="none"/>
              </w:rPr>
            </w:pPr>
          </w:p>
        </w:tc>
      </w:tr>
      <w:tr w14:paraId="6D53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exact"/>
          <w:jc w:val="center"/>
        </w:trPr>
        <w:tc>
          <w:tcPr>
            <w:tcW w:w="834" w:type="dxa"/>
            <w:tcBorders>
              <w:top w:val="single" w:color="auto" w:sz="4" w:space="0"/>
              <w:left w:val="single" w:color="auto" w:sz="4" w:space="0"/>
              <w:bottom w:val="single" w:color="auto" w:sz="4" w:space="0"/>
              <w:right w:val="single" w:color="auto" w:sz="4" w:space="0"/>
            </w:tcBorders>
            <w:noWrap w:val="0"/>
            <w:vAlign w:val="center"/>
          </w:tcPr>
          <w:p w14:paraId="01ADC64D">
            <w:pPr>
              <w:adjustRightInd w:val="0"/>
              <w:snapToGrid w:val="0"/>
              <w:spacing w:line="360" w:lineRule="auto"/>
              <w:jc w:val="center"/>
              <w:rPr>
                <w:rFonts w:hint="eastAsia" w:ascii="方正仿宋_GB2312" w:hAnsi="方正仿宋_GB2312" w:eastAsia="方正仿宋_GB2312" w:cs="方正仿宋_GB2312"/>
                <w:color w:val="auto"/>
                <w:sz w:val="20"/>
                <w:szCs w:val="20"/>
                <w:highlight w:val="none"/>
              </w:rPr>
            </w:pPr>
          </w:p>
        </w:tc>
        <w:tc>
          <w:tcPr>
            <w:tcW w:w="1720" w:type="dxa"/>
            <w:tcBorders>
              <w:top w:val="single" w:color="auto" w:sz="4" w:space="0"/>
              <w:left w:val="single" w:color="auto" w:sz="4" w:space="0"/>
              <w:bottom w:val="single" w:color="auto" w:sz="4" w:space="0"/>
              <w:right w:val="single" w:color="auto" w:sz="4" w:space="0"/>
            </w:tcBorders>
            <w:noWrap w:val="0"/>
            <w:vAlign w:val="center"/>
          </w:tcPr>
          <w:p w14:paraId="5A4F0331">
            <w:pPr>
              <w:adjustRightInd w:val="0"/>
              <w:snapToGrid w:val="0"/>
              <w:spacing w:line="360" w:lineRule="auto"/>
              <w:jc w:val="center"/>
              <w:rPr>
                <w:rFonts w:hint="eastAsia" w:ascii="方正仿宋_GB2312" w:hAnsi="方正仿宋_GB2312" w:eastAsia="方正仿宋_GB2312" w:cs="方正仿宋_GB2312"/>
                <w:color w:val="auto"/>
                <w:sz w:val="20"/>
                <w:szCs w:val="20"/>
                <w:highlight w:val="none"/>
              </w:rPr>
            </w:pPr>
          </w:p>
        </w:tc>
        <w:tc>
          <w:tcPr>
            <w:tcW w:w="1635" w:type="dxa"/>
            <w:tcBorders>
              <w:top w:val="single" w:color="auto" w:sz="4" w:space="0"/>
              <w:left w:val="single" w:color="auto" w:sz="4" w:space="0"/>
              <w:bottom w:val="single" w:color="auto" w:sz="4" w:space="0"/>
              <w:right w:val="single" w:color="auto" w:sz="4" w:space="0"/>
            </w:tcBorders>
            <w:noWrap w:val="0"/>
            <w:vAlign w:val="center"/>
          </w:tcPr>
          <w:p w14:paraId="11822FB0">
            <w:pPr>
              <w:spacing w:line="360" w:lineRule="auto"/>
              <w:jc w:val="center"/>
              <w:rPr>
                <w:rFonts w:hint="eastAsia" w:ascii="方正仿宋_GB2312" w:hAnsi="方正仿宋_GB2312" w:eastAsia="方正仿宋_GB2312" w:cs="方正仿宋_GB2312"/>
                <w:color w:val="auto"/>
                <w:sz w:val="20"/>
                <w:szCs w:val="20"/>
                <w:highlight w:val="none"/>
              </w:rPr>
            </w:pPr>
          </w:p>
        </w:tc>
        <w:tc>
          <w:tcPr>
            <w:tcW w:w="1613" w:type="dxa"/>
            <w:tcBorders>
              <w:top w:val="single" w:color="auto" w:sz="4" w:space="0"/>
              <w:left w:val="single" w:color="auto" w:sz="4" w:space="0"/>
              <w:bottom w:val="single" w:color="auto" w:sz="4" w:space="0"/>
              <w:right w:val="single" w:color="auto" w:sz="4" w:space="0"/>
            </w:tcBorders>
            <w:noWrap w:val="0"/>
            <w:vAlign w:val="center"/>
          </w:tcPr>
          <w:p w14:paraId="2E332786">
            <w:pPr>
              <w:adjustRightInd w:val="0"/>
              <w:snapToGrid w:val="0"/>
              <w:spacing w:line="360" w:lineRule="auto"/>
              <w:jc w:val="center"/>
              <w:rPr>
                <w:rFonts w:hint="eastAsia" w:ascii="方正仿宋_GB2312" w:hAnsi="方正仿宋_GB2312" w:eastAsia="方正仿宋_GB2312" w:cs="方正仿宋_GB2312"/>
                <w:strike/>
                <w:color w:val="auto"/>
                <w:sz w:val="20"/>
                <w:szCs w:val="20"/>
                <w:highlight w:val="yellow"/>
              </w:rPr>
            </w:pPr>
          </w:p>
        </w:tc>
        <w:tc>
          <w:tcPr>
            <w:tcW w:w="1605" w:type="dxa"/>
            <w:tcBorders>
              <w:top w:val="single" w:color="auto" w:sz="4" w:space="0"/>
              <w:left w:val="single" w:color="auto" w:sz="4" w:space="0"/>
              <w:bottom w:val="single" w:color="auto" w:sz="4" w:space="0"/>
              <w:right w:val="single" w:color="auto" w:sz="4" w:space="0"/>
            </w:tcBorders>
            <w:noWrap w:val="0"/>
            <w:vAlign w:val="center"/>
          </w:tcPr>
          <w:p w14:paraId="319A9A6F">
            <w:pPr>
              <w:spacing w:line="360" w:lineRule="auto"/>
              <w:jc w:val="center"/>
              <w:textAlignment w:val="center"/>
              <w:rPr>
                <w:rFonts w:hint="eastAsia" w:ascii="方正仿宋_GB2312" w:hAnsi="方正仿宋_GB2312" w:eastAsia="方正仿宋_GB2312" w:cs="方正仿宋_GB2312"/>
                <w:strike/>
                <w:color w:val="auto"/>
                <w:sz w:val="20"/>
                <w:szCs w:val="20"/>
                <w:highlight w:val="yellow"/>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14:paraId="0B74BEFA">
            <w:pPr>
              <w:spacing w:line="360" w:lineRule="auto"/>
              <w:jc w:val="center"/>
              <w:textAlignment w:val="center"/>
              <w:rPr>
                <w:rFonts w:hint="eastAsia" w:ascii="方正仿宋_GB2312" w:hAnsi="方正仿宋_GB2312" w:eastAsia="方正仿宋_GB2312" w:cs="方正仿宋_GB2312"/>
                <w:color w:val="auto"/>
                <w:sz w:val="20"/>
                <w:szCs w:val="20"/>
                <w:highlight w:val="none"/>
              </w:rPr>
            </w:pPr>
          </w:p>
        </w:tc>
      </w:tr>
      <w:tr w14:paraId="318A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2554" w:type="dxa"/>
            <w:gridSpan w:val="2"/>
            <w:tcBorders>
              <w:top w:val="single" w:color="auto" w:sz="4" w:space="0"/>
              <w:left w:val="single" w:color="auto" w:sz="4" w:space="0"/>
              <w:bottom w:val="single" w:color="auto" w:sz="4" w:space="0"/>
              <w:right w:val="single" w:color="auto" w:sz="4" w:space="0"/>
            </w:tcBorders>
            <w:noWrap w:val="0"/>
            <w:vAlign w:val="center"/>
          </w:tcPr>
          <w:p w14:paraId="7332AB88">
            <w:pPr>
              <w:adjustRightInd w:val="0"/>
              <w:snapToGrid w:val="0"/>
              <w:spacing w:line="360" w:lineRule="auto"/>
              <w:jc w:val="center"/>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总计（人民币/元）</w:t>
            </w:r>
          </w:p>
        </w:tc>
        <w:tc>
          <w:tcPr>
            <w:tcW w:w="6042" w:type="dxa"/>
            <w:gridSpan w:val="4"/>
            <w:tcBorders>
              <w:top w:val="single" w:color="auto" w:sz="4" w:space="0"/>
              <w:left w:val="single" w:color="auto" w:sz="4" w:space="0"/>
              <w:bottom w:val="single" w:color="auto" w:sz="4" w:space="0"/>
              <w:right w:val="single" w:color="auto" w:sz="4" w:space="0"/>
            </w:tcBorders>
            <w:noWrap w:val="0"/>
            <w:vAlign w:val="center"/>
          </w:tcPr>
          <w:p w14:paraId="3AB1BBA1">
            <w:pPr>
              <w:adjustRightInd w:val="0"/>
              <w:snapToGrid w:val="0"/>
              <w:spacing w:line="360" w:lineRule="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       （大写）</w:t>
            </w:r>
          </w:p>
        </w:tc>
      </w:tr>
    </w:tbl>
    <w:p w14:paraId="19715AC7">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乙方负责按合同清单确定的物品规格、</w:t>
      </w:r>
      <w:r>
        <w:rPr>
          <w:rFonts w:hint="eastAsia" w:ascii="方正仿宋_GB2312" w:hAnsi="方正仿宋_GB2312" w:eastAsia="方正仿宋_GB2312" w:cs="方正仿宋_GB2312"/>
          <w:sz w:val="20"/>
          <w:szCs w:val="20"/>
          <w:highlight w:val="none"/>
          <w:lang w:val="en-US" w:eastAsia="zh-CN"/>
        </w:rPr>
        <w:t>包装</w:t>
      </w:r>
      <w:r>
        <w:rPr>
          <w:rFonts w:hint="eastAsia" w:ascii="方正仿宋_GB2312" w:hAnsi="方正仿宋_GB2312" w:eastAsia="方正仿宋_GB2312" w:cs="方正仿宋_GB2312"/>
          <w:sz w:val="20"/>
          <w:szCs w:val="20"/>
          <w:highlight w:val="none"/>
        </w:rPr>
        <w:t>及配套内容进行供货，及时运到甲方</w:t>
      </w:r>
      <w:r>
        <w:rPr>
          <w:rFonts w:hint="eastAsia" w:ascii="方正仿宋_GB2312" w:hAnsi="方正仿宋_GB2312" w:eastAsia="方正仿宋_GB2312" w:cs="方正仿宋_GB2312"/>
          <w:b w:val="0"/>
          <w:bCs w:val="0"/>
          <w:sz w:val="20"/>
          <w:szCs w:val="20"/>
          <w:highlight w:val="none"/>
          <w:lang w:val="en-US" w:eastAsia="zh-CN"/>
        </w:rPr>
        <w:t>指定</w:t>
      </w:r>
      <w:r>
        <w:rPr>
          <w:rFonts w:hint="eastAsia" w:ascii="方正仿宋_GB2312" w:hAnsi="方正仿宋_GB2312" w:eastAsia="方正仿宋_GB2312" w:cs="方正仿宋_GB2312"/>
          <w:sz w:val="20"/>
          <w:szCs w:val="20"/>
          <w:highlight w:val="none"/>
        </w:rPr>
        <w:t>交货地点</w:t>
      </w:r>
      <w:r>
        <w:rPr>
          <w:rFonts w:hint="eastAsia" w:ascii="方正仿宋_GB2312" w:hAnsi="方正仿宋_GB2312" w:eastAsia="方正仿宋_GB2312" w:cs="方正仿宋_GB2312"/>
          <w:sz w:val="20"/>
          <w:szCs w:val="20"/>
          <w:highlight w:val="none"/>
          <w:lang w:val="en-US" w:eastAsia="zh-CN"/>
        </w:rPr>
        <w:t>交货验收</w:t>
      </w:r>
      <w:r>
        <w:rPr>
          <w:rFonts w:hint="eastAsia" w:ascii="方正仿宋_GB2312" w:hAnsi="方正仿宋_GB2312" w:eastAsia="方正仿宋_GB2312" w:cs="方正仿宋_GB2312"/>
          <w:sz w:val="20"/>
          <w:szCs w:val="20"/>
          <w:highlight w:val="none"/>
        </w:rPr>
        <w:t>，</w:t>
      </w:r>
      <w:r>
        <w:rPr>
          <w:rFonts w:hint="eastAsia" w:ascii="方正仿宋_GB2312" w:hAnsi="方正仿宋_GB2312" w:eastAsia="方正仿宋_GB2312" w:cs="方正仿宋_GB2312"/>
          <w:sz w:val="20"/>
          <w:szCs w:val="20"/>
          <w:highlight w:val="none"/>
          <w:lang w:val="en-US" w:eastAsia="zh-CN"/>
        </w:rPr>
        <w:t>确保产品无质量问题，并经甲方验收后存放入库，做好售后服务工作</w:t>
      </w:r>
      <w:r>
        <w:rPr>
          <w:rFonts w:hint="eastAsia" w:ascii="方正仿宋_GB2312" w:hAnsi="方正仿宋_GB2312" w:eastAsia="方正仿宋_GB2312" w:cs="方正仿宋_GB2312"/>
          <w:sz w:val="20"/>
          <w:szCs w:val="20"/>
          <w:highlight w:val="none"/>
        </w:rPr>
        <w:t>。</w:t>
      </w:r>
    </w:p>
    <w:p w14:paraId="04AFFB7F">
      <w:pPr>
        <w:spacing w:line="360" w:lineRule="auto"/>
        <w:rPr>
          <w:rFonts w:hint="eastAsia" w:ascii="方正仿宋_GB2312" w:hAnsi="方正仿宋_GB2312" w:eastAsia="方正仿宋_GB2312" w:cs="方正仿宋_GB2312"/>
          <w:b/>
          <w:bCs/>
          <w:sz w:val="20"/>
          <w:szCs w:val="20"/>
          <w:highlight w:val="none"/>
        </w:rPr>
      </w:pPr>
      <w:r>
        <w:rPr>
          <w:rFonts w:hint="eastAsia" w:ascii="方正仿宋_GB2312" w:hAnsi="方正仿宋_GB2312" w:eastAsia="方正仿宋_GB2312" w:cs="方正仿宋_GB2312"/>
          <w:b/>
          <w:bCs/>
          <w:sz w:val="20"/>
          <w:szCs w:val="20"/>
          <w:highlight w:val="none"/>
        </w:rPr>
        <w:t>二、合同价格</w:t>
      </w:r>
    </w:p>
    <w:p w14:paraId="4A5A2654">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合同单价：供应商按照服装面料及要求在报价单中明确单件报价，单件报价含税，包含设计费、制版费、材料费、运输费、人工费以及其他本项目所需要的所有费用，不受市场价格变化因素影响，并按规定要求开具国家正式增值税发票。</w:t>
      </w:r>
    </w:p>
    <w:p w14:paraId="5BA751D9">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合同总价：以实际交付数量结算。但不得超出本次采购预算总金额。</w:t>
      </w:r>
    </w:p>
    <w:p w14:paraId="63F449E9">
      <w:pPr>
        <w:spacing w:line="360" w:lineRule="auto"/>
        <w:rPr>
          <w:rFonts w:hint="eastAsia" w:ascii="方正仿宋_GB2312" w:hAnsi="方正仿宋_GB2312" w:eastAsia="方正仿宋_GB2312" w:cs="方正仿宋_GB2312"/>
          <w:b/>
          <w:bCs/>
          <w:sz w:val="20"/>
          <w:szCs w:val="20"/>
          <w:highlight w:val="none"/>
        </w:rPr>
      </w:pPr>
      <w:r>
        <w:rPr>
          <w:rFonts w:hint="eastAsia" w:ascii="方正仿宋_GB2312" w:hAnsi="方正仿宋_GB2312" w:eastAsia="方正仿宋_GB2312" w:cs="方正仿宋_GB2312"/>
          <w:b/>
          <w:bCs/>
          <w:sz w:val="20"/>
          <w:szCs w:val="20"/>
          <w:highlight w:val="none"/>
        </w:rPr>
        <w:t>三、款项支付</w:t>
      </w:r>
    </w:p>
    <w:p w14:paraId="1934C177">
      <w:pPr>
        <w:spacing w:line="360" w:lineRule="auto"/>
        <w:rPr>
          <w:rFonts w:hint="eastAsia" w:ascii="方正仿宋_GB2312" w:hAnsi="方正仿宋_GB2312" w:eastAsia="方正仿宋_GB2312" w:cs="方正仿宋_GB2312"/>
          <w:kern w:val="2"/>
          <w:sz w:val="20"/>
          <w:szCs w:val="20"/>
          <w:lang w:val="en-US" w:eastAsia="zh-CN" w:bidi="ar-SA"/>
        </w:rPr>
      </w:pPr>
      <w:r>
        <w:rPr>
          <w:rFonts w:hint="eastAsia" w:ascii="方正仿宋_GB2312" w:hAnsi="方正仿宋_GB2312" w:eastAsia="方正仿宋_GB2312" w:cs="方正仿宋_GB2312"/>
          <w:sz w:val="20"/>
          <w:szCs w:val="20"/>
          <w:lang w:val="en-US" w:eastAsia="zh-CN"/>
        </w:rPr>
        <w:t>采购包1：付款条件说明：在</w:t>
      </w:r>
      <w:r>
        <w:rPr>
          <w:rFonts w:hint="eastAsia" w:ascii="方正仿宋_GB2312" w:hAnsi="方正仿宋_GB2312" w:eastAsia="方正仿宋_GB2312" w:cs="方正仿宋_GB2312"/>
          <w:kern w:val="2"/>
          <w:sz w:val="20"/>
          <w:szCs w:val="20"/>
          <w:lang w:val="en-US" w:eastAsia="zh-CN" w:bidi="ar-SA"/>
        </w:rPr>
        <w:t>设备全部到货（因甲方场地等原因无法安装，以到货时间计算）或设备全部验收合格后，达到付款条件起 30 日内，支付合同总金额的100.00%。</w:t>
      </w:r>
    </w:p>
    <w:p w14:paraId="748ECEE1">
      <w:pPr>
        <w:spacing w:line="360" w:lineRule="auto"/>
        <w:rPr>
          <w:rFonts w:hint="eastAsia" w:ascii="方正仿宋_GB2312" w:hAnsi="方正仿宋_GB2312" w:eastAsia="方正仿宋_GB2312" w:cs="方正仿宋_GB2312"/>
          <w:b/>
          <w:bCs/>
          <w:sz w:val="20"/>
          <w:szCs w:val="20"/>
          <w:highlight w:val="none"/>
          <w:lang w:eastAsia="zh-CN"/>
        </w:rPr>
      </w:pPr>
      <w:r>
        <w:rPr>
          <w:rFonts w:hint="eastAsia" w:ascii="方正仿宋_GB2312" w:hAnsi="方正仿宋_GB2312" w:eastAsia="方正仿宋_GB2312" w:cs="方正仿宋_GB2312"/>
          <w:b/>
          <w:bCs/>
          <w:sz w:val="20"/>
          <w:szCs w:val="20"/>
          <w:highlight w:val="none"/>
        </w:rPr>
        <w:t>四、交货</w:t>
      </w:r>
      <w:r>
        <w:rPr>
          <w:rFonts w:hint="eastAsia" w:ascii="方正仿宋_GB2312" w:hAnsi="方正仿宋_GB2312" w:eastAsia="方正仿宋_GB2312" w:cs="方正仿宋_GB2312"/>
          <w:b/>
          <w:bCs/>
          <w:sz w:val="20"/>
          <w:szCs w:val="20"/>
          <w:highlight w:val="none"/>
          <w:lang w:val="en-US" w:eastAsia="zh-CN"/>
        </w:rPr>
        <w:t>条件</w:t>
      </w:r>
      <w:r>
        <w:rPr>
          <w:rFonts w:hint="eastAsia" w:ascii="方正仿宋_GB2312" w:hAnsi="方正仿宋_GB2312" w:eastAsia="方正仿宋_GB2312" w:cs="方正仿宋_GB2312"/>
          <w:b/>
          <w:bCs/>
          <w:sz w:val="20"/>
          <w:szCs w:val="20"/>
          <w:highlight w:val="none"/>
          <w:lang w:eastAsia="zh-CN"/>
        </w:rPr>
        <w:t>：</w:t>
      </w:r>
    </w:p>
    <w:p w14:paraId="3939D5D3">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1、交货地点：</w:t>
      </w:r>
      <w:r>
        <w:rPr>
          <w:rFonts w:hint="eastAsia" w:ascii="方正仿宋_GB2312" w:hAnsi="方正仿宋_GB2312" w:eastAsia="方正仿宋_GB2312" w:cs="方正仿宋_GB2312"/>
          <w:sz w:val="20"/>
          <w:szCs w:val="20"/>
          <w:lang w:val="en-US" w:eastAsia="zh-CN"/>
        </w:rPr>
        <w:t>陕西省人民医院指定地点。</w:t>
      </w:r>
    </w:p>
    <w:p w14:paraId="5FF8452C">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rPr>
        <w:t>2、交货期：合同签订之日起</w:t>
      </w:r>
      <w:r>
        <w:rPr>
          <w:rFonts w:hint="eastAsia" w:ascii="方正仿宋_GB2312" w:hAnsi="方正仿宋_GB2312" w:eastAsia="方正仿宋_GB2312" w:cs="方正仿宋_GB2312"/>
          <w:sz w:val="20"/>
          <w:szCs w:val="20"/>
          <w:highlight w:val="none"/>
          <w:lang w:eastAsia="zh-CN"/>
        </w:rPr>
        <w:t>，</w:t>
      </w:r>
      <w:r>
        <w:rPr>
          <w:rFonts w:hint="eastAsia" w:ascii="方正仿宋_GB2312" w:hAnsi="方正仿宋_GB2312" w:eastAsia="方正仿宋_GB2312" w:cs="方正仿宋_GB2312"/>
          <w:sz w:val="20"/>
          <w:szCs w:val="20"/>
          <w:highlight w:val="none"/>
          <w:lang w:val="en-US" w:eastAsia="zh-CN"/>
        </w:rPr>
        <w:t xml:space="preserve">接甲方通知后 30 </w:t>
      </w:r>
      <w:r>
        <w:rPr>
          <w:rFonts w:hint="eastAsia" w:ascii="方正仿宋_GB2312" w:hAnsi="方正仿宋_GB2312" w:eastAsia="方正仿宋_GB2312" w:cs="方正仿宋_GB2312"/>
          <w:sz w:val="20"/>
          <w:szCs w:val="20"/>
          <w:highlight w:val="none"/>
        </w:rPr>
        <w:t>日内完成交付、安装及调试。</w:t>
      </w:r>
    </w:p>
    <w:p w14:paraId="302A06E2">
      <w:pPr>
        <w:adjustRightInd w:val="0"/>
        <w:snapToGrid w:val="0"/>
        <w:spacing w:line="360" w:lineRule="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五、质量保证</w:t>
      </w:r>
    </w:p>
    <w:p w14:paraId="564D1AEB">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1、乙方应当保证所供货物的来源渠道正常，产品是全新的、未使用过的、且完全符合合同规定的质量、规格、技术指标等要求，并在质保期内、外应对由于产品设计、工艺或材料的缺陷而产生的质量问题负责。</w:t>
      </w:r>
    </w:p>
    <w:p w14:paraId="44F47DAC">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2、在质保期内，如果发现货物的质量、规格、技术指标等存在与合同中任何一项不符，由乙方负责调整更换维修，费用自行承担。</w:t>
      </w:r>
    </w:p>
    <w:p w14:paraId="02F51881">
      <w:pPr>
        <w:adjustRightInd w:val="0"/>
        <w:snapToGrid w:val="0"/>
        <w:spacing w:line="360" w:lineRule="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lang w:val="en-US" w:eastAsia="zh-CN"/>
        </w:rPr>
        <w:t>六</w:t>
      </w:r>
      <w:r>
        <w:rPr>
          <w:rFonts w:hint="eastAsia" w:ascii="方正仿宋_GB2312" w:hAnsi="方正仿宋_GB2312" w:eastAsia="方正仿宋_GB2312" w:cs="方正仿宋_GB2312"/>
          <w:b/>
          <w:color w:val="auto"/>
          <w:sz w:val="20"/>
          <w:szCs w:val="20"/>
          <w:highlight w:val="none"/>
        </w:rPr>
        <w:t>、</w:t>
      </w:r>
      <w:r>
        <w:rPr>
          <w:rFonts w:hint="eastAsia" w:ascii="方正仿宋_GB2312" w:hAnsi="方正仿宋_GB2312" w:eastAsia="方正仿宋_GB2312" w:cs="方正仿宋_GB2312"/>
          <w:b/>
          <w:color w:val="auto"/>
          <w:sz w:val="20"/>
          <w:szCs w:val="20"/>
          <w:highlight w:val="none"/>
          <w:lang w:eastAsia="zh-CN"/>
        </w:rPr>
        <w:t>质保期</w:t>
      </w:r>
      <w:r>
        <w:rPr>
          <w:rFonts w:hint="eastAsia" w:ascii="方正仿宋_GB2312" w:hAnsi="方正仿宋_GB2312" w:eastAsia="方正仿宋_GB2312" w:cs="方正仿宋_GB2312"/>
          <w:b/>
          <w:color w:val="auto"/>
          <w:sz w:val="20"/>
          <w:szCs w:val="20"/>
          <w:highlight w:val="none"/>
        </w:rPr>
        <w:t>与承诺</w:t>
      </w:r>
    </w:p>
    <w:p w14:paraId="2AEE6458">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sz w:val="20"/>
          <w:szCs w:val="20"/>
          <w:lang w:val="en-US" w:eastAsia="zh-CN"/>
        </w:rPr>
      </w:pPr>
      <w:r>
        <w:rPr>
          <w:rFonts w:hint="eastAsia" w:ascii="方正仿宋_GB2312" w:hAnsi="方正仿宋_GB2312" w:eastAsia="方正仿宋_GB2312" w:cs="方正仿宋_GB2312"/>
          <w:sz w:val="20"/>
          <w:szCs w:val="20"/>
          <w:lang w:val="en-US" w:eastAsia="zh-CN"/>
        </w:rPr>
        <w:t>1、验收合格通过之日起不少于1年。</w:t>
      </w:r>
    </w:p>
    <w:p w14:paraId="21C6129B">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sz w:val="20"/>
          <w:szCs w:val="20"/>
          <w:lang w:val="en-US" w:eastAsia="zh-CN"/>
        </w:rPr>
      </w:pPr>
      <w:r>
        <w:rPr>
          <w:rFonts w:hint="eastAsia" w:ascii="方正仿宋_GB2312" w:hAnsi="方正仿宋_GB2312" w:eastAsia="方正仿宋_GB2312" w:cs="方正仿宋_GB2312"/>
          <w:sz w:val="20"/>
          <w:szCs w:val="20"/>
          <w:lang w:val="en-US" w:eastAsia="zh-CN"/>
        </w:rPr>
        <w:t>2、质保期内，中标人将负责处理并解决故障，负责更换有故障的零部件（配件因人为或自然因素损坏除外），不得收取任何费用。</w:t>
      </w:r>
    </w:p>
    <w:p w14:paraId="6D8D9E9D">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sz w:val="20"/>
          <w:szCs w:val="20"/>
          <w:lang w:val="en-US" w:eastAsia="zh-CN"/>
        </w:rPr>
        <w:t>3、质保期内负责上门服务、维修、更换配件，不得收取任何费用。</w:t>
      </w:r>
    </w:p>
    <w:p w14:paraId="7D20237E">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4、所有产品质量必须符合国家有关规范和相关政策。所有货物及辅材必须是未使用过的新产品，质量优良、渠道正当，配置合理。</w:t>
      </w:r>
    </w:p>
    <w:p w14:paraId="09C184C6">
      <w:pPr>
        <w:pStyle w:val="4"/>
        <w:numPr>
          <w:ilvl w:val="0"/>
          <w:numId w:val="0"/>
        </w:numPr>
        <w:kinsoku w:val="0"/>
        <w:overflowPunct w:val="0"/>
        <w:autoSpaceDE w:val="0"/>
        <w:autoSpaceDN w:val="0"/>
        <w:adjustRightInd w:val="0"/>
        <w:snapToGrid w:val="0"/>
        <w:spacing w:line="360" w:lineRule="auto"/>
        <w:ind w:right="120" w:rightChars="0"/>
        <w:contextualSpacing/>
        <w:rPr>
          <w:rFonts w:hint="eastAsia" w:ascii="方正仿宋_GB2312" w:hAnsi="方正仿宋_GB2312" w:eastAsia="方正仿宋_GB2312" w:cs="方正仿宋_GB2312"/>
          <w:b/>
          <w:color w:val="auto"/>
          <w:kern w:val="2"/>
          <w:sz w:val="20"/>
          <w:szCs w:val="20"/>
          <w:highlight w:val="none"/>
          <w:lang w:val="en-US" w:eastAsia="zh-CN" w:bidi="ar-SA"/>
        </w:rPr>
      </w:pPr>
      <w:r>
        <w:rPr>
          <w:rFonts w:hint="eastAsia" w:ascii="方正仿宋_GB2312" w:hAnsi="方正仿宋_GB2312" w:eastAsia="方正仿宋_GB2312" w:cs="方正仿宋_GB2312"/>
          <w:b/>
          <w:color w:val="auto"/>
          <w:kern w:val="2"/>
          <w:sz w:val="20"/>
          <w:szCs w:val="20"/>
          <w:highlight w:val="none"/>
          <w:lang w:val="en-US" w:eastAsia="zh-CN" w:bidi="ar-SA"/>
        </w:rPr>
        <w:t>七、甲方的权利和义务</w:t>
      </w:r>
    </w:p>
    <w:p w14:paraId="1F522E07">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1、甲方的权利</w:t>
      </w:r>
    </w:p>
    <w:p w14:paraId="5D156EBC">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甲方有权随时了解项目进度，并要求乙方提供项目相关资料。</w:t>
      </w:r>
    </w:p>
    <w:p w14:paraId="07241EEB">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甲方有权对项目资金使用情况进行监督、检查，并要求甲方、乙方提供相关资料。</w:t>
      </w:r>
    </w:p>
    <w:p w14:paraId="797F6A99">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有权按照本合同约定或有关法律法规、政府采购管理的相关职能规定，对本项目进行监督和检查，有权要求乙方按照监督检查情况制定相应措施并加以整改。甲方不因行使该监督和检查权而承担任何责任，也不因此减轻或免除乙方根据本合同约定或相关法律法规规定应承担的任何义务或责任。</w:t>
      </w:r>
    </w:p>
    <w:p w14:paraId="25BC5041">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甲方有权在乙方履行合同过程中出现损害或可能损害公共利益、公共安全情形时终止本合同。</w:t>
      </w:r>
    </w:p>
    <w:p w14:paraId="3A96E247">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甲方有权根据国家政策或法律法规的变动对服务项目的需求标准和质量要求作出相应变动或者取消项目。</w:t>
      </w:r>
    </w:p>
    <w:p w14:paraId="12790E2B">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甲方有权将乙方履行合同情况及不符合政府购买服务管理规定情况，向相关部门报告并纳入不良信用记录、年检（报）、评估、执法等监管体系中。</w:t>
      </w:r>
    </w:p>
    <w:p w14:paraId="346A12FE">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2、甲方的义务</w:t>
      </w:r>
    </w:p>
    <w:p w14:paraId="5C868A39">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甲方为项目实施的主体责任人，对项目的实施承担责任。</w:t>
      </w:r>
    </w:p>
    <w:p w14:paraId="07D21661">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甲方负责组织验收，并根据验收结果签署验收报告单。</w:t>
      </w:r>
    </w:p>
    <w:p w14:paraId="776C9582">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甲方应为乙方在履行本合同过程中需要的与其他的沟通、协调提供必要的协助。</w:t>
      </w:r>
    </w:p>
    <w:p w14:paraId="49D91F87">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甲方应按照合同约定支付服务费用。</w:t>
      </w:r>
    </w:p>
    <w:p w14:paraId="4A0CF38C">
      <w:pPr>
        <w:pStyle w:val="4"/>
        <w:kinsoku w:val="0"/>
        <w:overflowPunct w:val="0"/>
        <w:autoSpaceDE w:val="0"/>
        <w:autoSpaceDN w:val="0"/>
        <w:adjustRightInd w:val="0"/>
        <w:snapToGrid w:val="0"/>
        <w:spacing w:line="360" w:lineRule="auto"/>
        <w:contextualSpacing/>
        <w:rPr>
          <w:rFonts w:hint="eastAsia" w:ascii="方正仿宋_GB2312" w:hAnsi="方正仿宋_GB2312" w:eastAsia="方正仿宋_GB2312" w:cs="方正仿宋_GB2312"/>
          <w:b/>
          <w:sz w:val="20"/>
          <w:szCs w:val="20"/>
          <w:highlight w:val="none"/>
        </w:rPr>
      </w:pPr>
      <w:r>
        <w:rPr>
          <w:rFonts w:hint="eastAsia" w:ascii="方正仿宋_GB2312" w:hAnsi="方正仿宋_GB2312" w:eastAsia="方正仿宋_GB2312" w:cs="方正仿宋_GB2312"/>
          <w:b/>
          <w:sz w:val="20"/>
          <w:szCs w:val="20"/>
          <w:highlight w:val="none"/>
        </w:rPr>
        <w:t>八、乙方的权利和义务</w:t>
      </w:r>
    </w:p>
    <w:p w14:paraId="78D62704">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1、乙方的权利</w:t>
      </w:r>
    </w:p>
    <w:p w14:paraId="00FE81EE">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乙方有权按照本合同约定向甲方收取服务费用。</w:t>
      </w:r>
    </w:p>
    <w:p w14:paraId="7FBD978E">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乙方有权自甲方处获得与提供本合同项下服务相关的所有必须的文件、资料。</w:t>
      </w:r>
    </w:p>
    <w:p w14:paraId="361969E0">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2、乙方的义务</w:t>
      </w:r>
    </w:p>
    <w:p w14:paraId="1A55515A">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乙方应配备具有相应资质、特定经验的工作人员负责项目实施，按照本合同约定的标准、要求和时间完成项目。</w:t>
      </w:r>
    </w:p>
    <w:p w14:paraId="15EDBF17">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乙方不得以任何理由将本合同项下的服务项目转包给第三方承担。</w:t>
      </w:r>
    </w:p>
    <w:p w14:paraId="3A611DDD">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乙方应负责本项目实施过程中的安全管理职责、与之相应的应急预案，因乙方未尽到管理职责发生安全事故的，由乙方承担相应的法律责任。</w:t>
      </w:r>
    </w:p>
    <w:p w14:paraId="688E6B0A">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乙方承诺根据本合同提供的服务及相关的软件和技术资料，均已取得有关知识产权的权利人的合法授权。如发生涉及到专利权、著作权、商标权等争议，乙方负责处理并承担由此引起的全部法律及经济责任。</w:t>
      </w:r>
    </w:p>
    <w:p w14:paraId="42F11999">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乙方应接受并配合甲方组织的对本合同履行情况的监督与检查，对于甲方指出的问题，应及时作出合理解释或予以纠正。</w:t>
      </w:r>
    </w:p>
    <w:p w14:paraId="5E721029">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乙方应对项目资金进行规范的财务管理和会计核算，加强自身监督，确保资金规范管理和使用。</w:t>
      </w:r>
    </w:p>
    <w:p w14:paraId="7FFCA805">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乙方应建立健全财务管理与报告制度，按要求向甲方提供资金的使用情况、项目执行情况、成果总结等材料，并配合甲方及甲方组织的监督检查或绩效评价</w:t>
      </w:r>
    </w:p>
    <w:p w14:paraId="2995CCE0">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应根据甲方要求，无条件接受和配合甲方或甲方委托的会计师事务所进行的与本合同相关的审计。乙方应保存与本合同相关的记录和账目，保存期限为本合同履行完毕或终止后15年。经提前通知，甲方或甲方委托的会计师事务所有权检查并复制上述记录和账目。</w:t>
      </w:r>
    </w:p>
    <w:p w14:paraId="5493580A">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项目交付后，乙方应无条件返还甲方向其提供的文件、资料并向甲方移交项目资料，同时乙方应当自留一份完整的项目档案并予以妥善保存。</w:t>
      </w:r>
    </w:p>
    <w:p w14:paraId="25211BD8">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乙方对本合同履行过程中获得的对方资料数据、商业技术信息等承担保密责任。未经甲方事先书面同意，不得以任何形式向第三方泄露，也不得公开本合同及其相关附件内容。本合同的解除或终止，不免除双方的保密义务。</w:t>
      </w:r>
    </w:p>
    <w:p w14:paraId="74CA5AAE">
      <w:pPr>
        <w:spacing w:line="360" w:lineRule="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九、产品验收</w:t>
      </w:r>
    </w:p>
    <w:p w14:paraId="293140B2">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1、项目验收分初验和终验（使用抽检的方式）:</w:t>
      </w:r>
    </w:p>
    <w:p w14:paraId="4F3DB507">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初验：货物到达交货地点后，由使用单位根据合同对货物的名称、品牌、规格、型号、产地、数量、质量进行检查，</w:t>
      </w:r>
      <w:r>
        <w:rPr>
          <w:rFonts w:hint="eastAsia" w:ascii="方正仿宋_GB2312" w:hAnsi="方正仿宋_GB2312" w:eastAsia="方正仿宋_GB2312" w:cs="方正仿宋_GB2312"/>
          <w:sz w:val="20"/>
          <w:szCs w:val="20"/>
          <w:highlight w:val="none"/>
          <w:lang w:val="en-US" w:eastAsia="zh-CN"/>
        </w:rPr>
        <w:t>供应商提供</w:t>
      </w:r>
      <w:r>
        <w:rPr>
          <w:rFonts w:hint="eastAsia" w:ascii="方正仿宋_GB2312" w:hAnsi="方正仿宋_GB2312" w:eastAsia="方正仿宋_GB2312" w:cs="方正仿宋_GB2312"/>
          <w:color w:val="auto"/>
          <w:sz w:val="20"/>
          <w:szCs w:val="20"/>
          <w:highlight w:val="none"/>
          <w:lang w:val="en-US" w:eastAsia="zh-CN"/>
        </w:rPr>
        <w:t>有资质的第三方</w:t>
      </w:r>
      <w:r>
        <w:rPr>
          <w:rFonts w:hint="eastAsia" w:ascii="方正仿宋_GB2312" w:hAnsi="方正仿宋_GB2312" w:eastAsia="方正仿宋_GB2312" w:cs="方正仿宋_GB2312"/>
          <w:sz w:val="20"/>
          <w:szCs w:val="20"/>
          <w:highlight w:val="none"/>
          <w:lang w:val="en-US" w:eastAsia="zh-CN"/>
        </w:rPr>
        <w:t>单位出具的质检报告</w:t>
      </w:r>
      <w:r>
        <w:rPr>
          <w:rFonts w:hint="eastAsia" w:ascii="方正仿宋_GB2312" w:hAnsi="方正仿宋_GB2312" w:eastAsia="方正仿宋_GB2312" w:cs="方正仿宋_GB2312"/>
          <w:b w:val="0"/>
          <w:bCs w:val="0"/>
          <w:sz w:val="20"/>
          <w:szCs w:val="20"/>
          <w:highlight w:val="none"/>
          <w:lang w:val="en-US" w:eastAsia="zh-CN"/>
        </w:rPr>
        <w:t>。</w:t>
      </w:r>
    </w:p>
    <w:p w14:paraId="1E8419D0">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终验：所有货物发放完毕，正常使用10个日历日后，由采购单位进行终验（最终验收）并签字确认，合格后签发《终验合格单》。</w:t>
      </w:r>
    </w:p>
    <w:p w14:paraId="3A235112">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2、验收不合格的产品，乙方必须在接到通知后7个日历日内确保货物通过验收。如接到通知后7个日历日内验收仍不合格，采购单位可提出索赔或取消其供货合同。采购代理机构将把成交资格授予评审排序下一名的成交候选人。</w:t>
      </w:r>
    </w:p>
    <w:p w14:paraId="568D8CBC">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3、验收依据</w:t>
      </w:r>
    </w:p>
    <w:p w14:paraId="7040F6E2">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 xml:space="preserve">（1）合同文本及合同补充文件（条款）。 </w:t>
      </w:r>
    </w:p>
    <w:p w14:paraId="289CDC0F">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（2）生产厂家授权书及售后服务承诺函。</w:t>
      </w:r>
    </w:p>
    <w:p w14:paraId="6C4DDA48">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（3）招标文件。</w:t>
      </w:r>
    </w:p>
    <w:p w14:paraId="77F06E1F">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（4）投标文件。</w:t>
      </w:r>
    </w:p>
    <w:p w14:paraId="073A0AB1">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（5）合同货物清单。</w:t>
      </w:r>
    </w:p>
    <w:p w14:paraId="6FA4B610">
      <w:pPr>
        <w:pStyle w:val="5"/>
        <w:keepNext w:val="0"/>
        <w:keepLines w:val="0"/>
        <w:pageBreakBefore w:val="0"/>
        <w:widowControl w:val="0"/>
        <w:kinsoku/>
        <w:wordWrap/>
        <w:overflowPunct/>
        <w:topLinePunct w:val="0"/>
        <w:autoSpaceDE/>
        <w:autoSpaceDN/>
        <w:bidi w:val="0"/>
        <w:adjustRightInd/>
        <w:snapToGrid/>
        <w:spacing w:line="360" w:lineRule="auto"/>
        <w:ind w:left="0" w:leftChars="0" w:firstLine="400" w:firstLineChars="200"/>
        <w:textAlignment w:val="auto"/>
        <w:rPr>
          <w:rFonts w:hint="eastAsia" w:ascii="方正仿宋_GB2312" w:hAnsi="方正仿宋_GB2312" w:eastAsia="方正仿宋_GB2312" w:cs="方正仿宋_GB2312"/>
          <w:b w:val="0"/>
          <w:bCs w:val="0"/>
          <w:sz w:val="20"/>
          <w:szCs w:val="20"/>
          <w:highlight w:val="none"/>
          <w:lang w:val="en-US" w:eastAsia="zh-CN"/>
        </w:rPr>
      </w:pPr>
      <w:r>
        <w:rPr>
          <w:rFonts w:hint="eastAsia" w:ascii="方正仿宋_GB2312" w:hAnsi="方正仿宋_GB2312" w:eastAsia="方正仿宋_GB2312" w:cs="方正仿宋_GB2312"/>
          <w:b w:val="0"/>
          <w:bCs w:val="0"/>
          <w:sz w:val="20"/>
          <w:szCs w:val="20"/>
          <w:highlight w:val="none"/>
          <w:lang w:val="en-US" w:eastAsia="zh-CN"/>
        </w:rPr>
        <w:t>（6）生产厂家的企业资质、检验报告、货物的执行标准。</w:t>
      </w:r>
    </w:p>
    <w:p w14:paraId="5FF8CA71">
      <w:pPr>
        <w:tabs>
          <w:tab w:val="left" w:pos="5355"/>
        </w:tabs>
        <w:spacing w:line="360" w:lineRule="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十、违约责任：</w:t>
      </w:r>
    </w:p>
    <w:p w14:paraId="22759740">
      <w:pPr>
        <w:adjustRightInd w:val="0"/>
        <w:snapToGrid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1、按《中华人民共和国民法典》中的相关条款执行。</w:t>
      </w:r>
    </w:p>
    <w:p w14:paraId="29A4A670">
      <w:pPr>
        <w:adjustRightInd w:val="0"/>
        <w:snapToGrid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2、若乙方出现不能供货等违约情况，未按合同要求提供产品或设备质量不能满足招标的技术要求，甲方有权终止合同，并保留追究乙方违约责任的权利。</w:t>
      </w:r>
    </w:p>
    <w:p w14:paraId="0FBC38F0">
      <w:pPr>
        <w:adjustRightInd w:val="0"/>
        <w:snapToGrid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3</w:t>
      </w:r>
      <w:r>
        <w:rPr>
          <w:rFonts w:hint="eastAsia" w:ascii="方正仿宋_GB2312" w:hAnsi="方正仿宋_GB2312" w:eastAsia="方正仿宋_GB2312" w:cs="方正仿宋_GB2312"/>
          <w:color w:val="auto"/>
          <w:sz w:val="20"/>
          <w:szCs w:val="20"/>
          <w:highlight w:val="none"/>
        </w:rPr>
        <w:t>、因供货期迟延的，乙方按照每天1‰向甲方承担违约责任。</w:t>
      </w:r>
    </w:p>
    <w:p w14:paraId="06C884B2">
      <w:pPr>
        <w:adjustRightInd w:val="0"/>
        <w:snapToGrid w:val="0"/>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4</w:t>
      </w:r>
      <w:r>
        <w:rPr>
          <w:rFonts w:hint="eastAsia" w:ascii="方正仿宋_GB2312" w:hAnsi="方正仿宋_GB2312" w:eastAsia="方正仿宋_GB2312" w:cs="方正仿宋_GB2312"/>
          <w:color w:val="auto"/>
          <w:sz w:val="20"/>
          <w:szCs w:val="20"/>
          <w:highlight w:val="none"/>
        </w:rPr>
        <w:t>、因产品质量问题违约的，除了按照迟延时间计算违约金外，另可以采取退货、换货等方式，由乙方承担一切费用。</w:t>
      </w:r>
    </w:p>
    <w:p w14:paraId="6231698C">
      <w:pPr>
        <w:tabs>
          <w:tab w:val="left" w:pos="5355"/>
        </w:tabs>
        <w:spacing w:line="360" w:lineRule="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十一、合同争议的解决：</w:t>
      </w:r>
    </w:p>
    <w:p w14:paraId="7768B059">
      <w:pPr>
        <w:tabs>
          <w:tab w:val="left" w:pos="5355"/>
        </w:tabs>
        <w:spacing w:line="360" w:lineRule="auto"/>
        <w:ind w:firstLine="400" w:firstLineChars="200"/>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color w:val="auto"/>
          <w:sz w:val="20"/>
          <w:szCs w:val="20"/>
          <w:highlight w:val="none"/>
        </w:rPr>
        <w:t>合同一经签订，不得随意变更、中止或终止。对确需变更、调整或者中止、终止合同的，应按规定履行相应的手续。</w:t>
      </w:r>
    </w:p>
    <w:p w14:paraId="71571639">
      <w:pPr>
        <w:tabs>
          <w:tab w:val="left" w:pos="5355"/>
        </w:tabs>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合同执行中发生争议的，甲、乙双方应协商解决，协商达不成一致时，可向甲方所在地人民法院提请诉讼。</w:t>
      </w:r>
    </w:p>
    <w:p w14:paraId="10A9FF15">
      <w:pPr>
        <w:tabs>
          <w:tab w:val="left" w:pos="5355"/>
        </w:tabs>
        <w:spacing w:line="360" w:lineRule="auto"/>
        <w:rPr>
          <w:rFonts w:hint="eastAsia" w:ascii="方正仿宋_GB2312" w:hAnsi="方正仿宋_GB2312" w:eastAsia="方正仿宋_GB2312" w:cs="方正仿宋_GB2312"/>
          <w:b/>
          <w:color w:val="auto"/>
          <w:sz w:val="20"/>
          <w:szCs w:val="20"/>
          <w:highlight w:val="none"/>
        </w:rPr>
      </w:pPr>
      <w:r>
        <w:rPr>
          <w:rFonts w:hint="eastAsia" w:ascii="方正仿宋_GB2312" w:hAnsi="方正仿宋_GB2312" w:eastAsia="方正仿宋_GB2312" w:cs="方正仿宋_GB2312"/>
          <w:b/>
          <w:color w:val="auto"/>
          <w:sz w:val="20"/>
          <w:szCs w:val="20"/>
          <w:highlight w:val="none"/>
        </w:rPr>
        <w:t>十二、其它事项</w:t>
      </w:r>
    </w:p>
    <w:p w14:paraId="52412B01">
      <w:pPr>
        <w:adjustRightInd w:val="0"/>
        <w:snapToGrid w:val="0"/>
        <w:spacing w:line="360" w:lineRule="auto"/>
        <w:ind w:firstLine="500" w:firstLineChars="25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1、甲、乙双方作为合同执行的主体，有义务及时完全履行合同。本项目招标代理机构监督履行。</w:t>
      </w:r>
    </w:p>
    <w:p w14:paraId="082C2CAF">
      <w:pPr>
        <w:adjustRightInd w:val="0"/>
        <w:snapToGrid w:val="0"/>
        <w:spacing w:line="360" w:lineRule="auto"/>
        <w:ind w:firstLine="500" w:firstLineChars="25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2</w:t>
      </w:r>
      <w:r>
        <w:rPr>
          <w:rFonts w:hint="eastAsia" w:ascii="方正仿宋_GB2312" w:hAnsi="方正仿宋_GB2312" w:eastAsia="方正仿宋_GB2312" w:cs="方正仿宋_GB2312"/>
          <w:color w:val="auto"/>
          <w:sz w:val="20"/>
          <w:szCs w:val="20"/>
          <w:highlight w:val="none"/>
        </w:rPr>
        <w:t>、合同未尽事宜，由甲、乙双方协商，协商方案作为本合同不可分割的组成部分，与本合同具有同等法律效力。</w:t>
      </w:r>
    </w:p>
    <w:p w14:paraId="42DE987F">
      <w:pPr>
        <w:adjustRightInd w:val="0"/>
        <w:snapToGrid w:val="0"/>
        <w:spacing w:line="360" w:lineRule="auto"/>
        <w:ind w:firstLine="500" w:firstLineChars="25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3</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招标文件</w:t>
      </w:r>
      <w:r>
        <w:rPr>
          <w:rFonts w:hint="eastAsia" w:ascii="方正仿宋_GB2312" w:hAnsi="方正仿宋_GB2312" w:eastAsia="方正仿宋_GB2312" w:cs="方正仿宋_GB2312"/>
          <w:color w:val="auto"/>
          <w:sz w:val="20"/>
          <w:szCs w:val="20"/>
          <w:highlight w:val="none"/>
        </w:rPr>
        <w:t>和乙方的</w:t>
      </w:r>
      <w:r>
        <w:rPr>
          <w:rFonts w:hint="eastAsia" w:ascii="方正仿宋_GB2312" w:hAnsi="方正仿宋_GB2312" w:eastAsia="方正仿宋_GB2312" w:cs="方正仿宋_GB2312"/>
          <w:color w:val="auto"/>
          <w:sz w:val="20"/>
          <w:szCs w:val="20"/>
          <w:highlight w:val="none"/>
          <w:lang w:eastAsia="zh-CN"/>
        </w:rPr>
        <w:t>投标文件</w:t>
      </w:r>
      <w:r>
        <w:rPr>
          <w:rFonts w:hint="eastAsia" w:ascii="方正仿宋_GB2312" w:hAnsi="方正仿宋_GB2312" w:eastAsia="方正仿宋_GB2312" w:cs="方正仿宋_GB2312"/>
          <w:color w:val="auto"/>
          <w:sz w:val="20"/>
          <w:szCs w:val="20"/>
          <w:highlight w:val="none"/>
        </w:rPr>
        <w:t>以及合同附件均为合同不可分割的部分。</w:t>
      </w:r>
    </w:p>
    <w:p w14:paraId="45E0186B">
      <w:pPr>
        <w:adjustRightInd w:val="0"/>
        <w:snapToGrid w:val="0"/>
        <w:spacing w:line="360" w:lineRule="auto"/>
        <w:ind w:firstLine="500" w:firstLineChars="25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4</w:t>
      </w:r>
      <w:r>
        <w:rPr>
          <w:rFonts w:hint="eastAsia" w:ascii="方正仿宋_GB2312" w:hAnsi="方正仿宋_GB2312" w:eastAsia="方正仿宋_GB2312" w:cs="方正仿宋_GB2312"/>
          <w:color w:val="auto"/>
          <w:sz w:val="20"/>
          <w:szCs w:val="20"/>
          <w:highlight w:val="none"/>
        </w:rPr>
        <w:t>、合同一式陆份，甲方持肆份、乙方执</w:t>
      </w:r>
      <w:r>
        <w:rPr>
          <w:rFonts w:hint="eastAsia" w:ascii="方正仿宋_GB2312" w:hAnsi="方正仿宋_GB2312" w:eastAsia="方正仿宋_GB2312" w:cs="方正仿宋_GB2312"/>
          <w:color w:val="auto"/>
          <w:sz w:val="20"/>
          <w:szCs w:val="20"/>
          <w:highlight w:val="none"/>
          <w:lang w:val="en-US" w:eastAsia="zh-CN"/>
        </w:rPr>
        <w:t>贰</w:t>
      </w:r>
      <w:r>
        <w:rPr>
          <w:rFonts w:hint="eastAsia" w:ascii="方正仿宋_GB2312" w:hAnsi="方正仿宋_GB2312" w:eastAsia="方正仿宋_GB2312" w:cs="方正仿宋_GB2312"/>
          <w:color w:val="auto"/>
          <w:sz w:val="20"/>
          <w:szCs w:val="20"/>
          <w:highlight w:val="none"/>
        </w:rPr>
        <w:t>份。双方签字盖章后生效，合同执行完毕自动失效。（合同的服务承诺长期有效）。</w:t>
      </w:r>
    </w:p>
    <w:p w14:paraId="687450E1">
      <w:pPr>
        <w:adjustRightInd w:val="0"/>
        <w:snapToGrid w:val="0"/>
        <w:spacing w:line="360" w:lineRule="auto"/>
        <w:ind w:firstLine="500" w:firstLineChars="25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val="en-US" w:eastAsia="zh-CN"/>
        </w:rPr>
        <w:t>5</w:t>
      </w:r>
      <w:r>
        <w:rPr>
          <w:rFonts w:hint="eastAsia" w:ascii="方正仿宋_GB2312" w:hAnsi="方正仿宋_GB2312" w:eastAsia="方正仿宋_GB2312" w:cs="方正仿宋_GB2312"/>
          <w:color w:val="auto"/>
          <w:sz w:val="20"/>
          <w:szCs w:val="20"/>
          <w:highlight w:val="none"/>
        </w:rPr>
        <w:t>、</w:t>
      </w:r>
      <w:r>
        <w:rPr>
          <w:rFonts w:hint="eastAsia" w:ascii="方正仿宋_GB2312" w:hAnsi="方正仿宋_GB2312" w:eastAsia="方正仿宋_GB2312" w:cs="方正仿宋_GB2312"/>
          <w:color w:val="auto"/>
          <w:sz w:val="20"/>
          <w:szCs w:val="20"/>
          <w:highlight w:val="none"/>
          <w:lang w:eastAsia="zh-CN"/>
        </w:rPr>
        <w:t>甲方</w:t>
      </w:r>
      <w:r>
        <w:rPr>
          <w:rFonts w:hint="eastAsia" w:ascii="方正仿宋_GB2312" w:hAnsi="方正仿宋_GB2312" w:eastAsia="方正仿宋_GB2312" w:cs="方正仿宋_GB2312"/>
          <w:color w:val="auto"/>
          <w:sz w:val="20"/>
          <w:szCs w:val="20"/>
          <w:highlight w:val="none"/>
        </w:rPr>
        <w:t>收货、验货人员：____________  电话：_______________</w:t>
      </w:r>
    </w:p>
    <w:p w14:paraId="3CD3A90D">
      <w:pPr>
        <w:pStyle w:val="9"/>
        <w:spacing w:line="360" w:lineRule="auto"/>
        <w:rPr>
          <w:rFonts w:hint="eastAsia" w:ascii="方正仿宋_GB2312" w:hAnsi="方正仿宋_GB2312" w:eastAsia="方正仿宋_GB2312" w:cs="方正仿宋_GB2312"/>
          <w:sz w:val="20"/>
          <w:szCs w:val="20"/>
        </w:rPr>
      </w:pPr>
    </w:p>
    <w:p w14:paraId="450A445C">
      <w:pPr>
        <w:tabs>
          <w:tab w:val="left" w:pos="5355"/>
        </w:tabs>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color w:val="000000"/>
          <w:sz w:val="20"/>
          <w:szCs w:val="20"/>
          <w:highlight w:val="none"/>
        </w:rPr>
        <w:t>甲  方：   　                        乙  方：</w:t>
      </w:r>
      <w:r>
        <w:rPr>
          <w:rFonts w:hint="eastAsia" w:ascii="方正仿宋_GB2312" w:hAnsi="方正仿宋_GB2312" w:eastAsia="方正仿宋_GB2312" w:cs="方正仿宋_GB2312"/>
          <w:sz w:val="20"/>
          <w:szCs w:val="20"/>
          <w:highlight w:val="none"/>
        </w:rPr>
        <w:t xml:space="preserve"> </w:t>
      </w:r>
    </w:p>
    <w:p w14:paraId="75458D7B">
      <w:pPr>
        <w:tabs>
          <w:tab w:val="left" w:pos="5355"/>
        </w:tabs>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 xml:space="preserve">地　址:                              地　址： </w:t>
      </w:r>
    </w:p>
    <w:p w14:paraId="4CAA2475">
      <w:pPr>
        <w:tabs>
          <w:tab w:val="left" w:pos="5355"/>
        </w:tabs>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代理人：　　　　　　　　　　　　　 　代理人：</w:t>
      </w:r>
    </w:p>
    <w:p w14:paraId="463A14C2">
      <w:pPr>
        <w:tabs>
          <w:tab w:val="left" w:pos="5355"/>
        </w:tabs>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 xml:space="preserve">开户行：                             开户行： </w:t>
      </w:r>
    </w:p>
    <w:p w14:paraId="16937A07">
      <w:pPr>
        <w:tabs>
          <w:tab w:val="left" w:pos="5355"/>
        </w:tabs>
        <w:spacing w:line="360" w:lineRule="auto"/>
        <w:ind w:firstLine="400" w:firstLineChars="200"/>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账号：                               账号：</w:t>
      </w:r>
    </w:p>
    <w:p w14:paraId="0822E3A3">
      <w:pPr>
        <w:tabs>
          <w:tab w:val="left" w:pos="5355"/>
        </w:tabs>
        <w:spacing w:line="360" w:lineRule="auto"/>
        <w:ind w:firstLine="400" w:firstLineChars="200"/>
        <w:rPr>
          <w:rFonts w:hint="eastAsia" w:ascii="方正仿宋_GB2312" w:hAnsi="方正仿宋_GB2312" w:eastAsia="方正仿宋_GB2312" w:cs="方正仿宋_GB2312"/>
          <w:sz w:val="18"/>
          <w:szCs w:val="18"/>
          <w:lang w:val="en-US" w:eastAsia="zh-Hans"/>
        </w:rPr>
      </w:pPr>
      <w:r>
        <w:rPr>
          <w:rFonts w:hint="eastAsia" w:ascii="方正仿宋_GB2312" w:hAnsi="方正仿宋_GB2312" w:eastAsia="方正仿宋_GB2312" w:cs="方正仿宋_GB2312"/>
          <w:sz w:val="20"/>
          <w:szCs w:val="20"/>
          <w:highlight w:val="none"/>
        </w:rPr>
        <w:t>时间：                               时间：</w:t>
      </w:r>
    </w:p>
    <w:p w14:paraId="11F0CC2E"/>
    <w:sectPr>
      <w:footerReference r:id="rId3" w:type="default"/>
      <w:pgSz w:w="11906" w:h="16838"/>
      <w:pgMar w:top="1440" w:right="1080" w:bottom="1440" w:left="108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5701177C-ABCD-42AA-B97A-F003C305D15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embedRegular r:id="rId2" w:fontKey="{0B204954-B67F-49C9-942A-00F7AF45D918}"/>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2BD6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C0EE3">
                          <w:pPr>
                            <w:pStyle w:val="3"/>
                            <w:rPr>
                              <w:rFonts w:hint="eastAsia" w:ascii="仿宋" w:hAnsi="仿宋" w:eastAsia="仿宋" w:cs="仿宋"/>
                              <w:sz w:val="24"/>
                              <w:szCs w:val="40"/>
                            </w:rPr>
                          </w:pPr>
                          <w:r>
                            <w:rPr>
                              <w:rFonts w:hint="eastAsia" w:ascii="仿宋" w:hAnsi="仿宋" w:eastAsia="仿宋" w:cs="仿宋"/>
                              <w:sz w:val="24"/>
                              <w:szCs w:val="40"/>
                            </w:rPr>
                            <w:fldChar w:fldCharType="begin"/>
                          </w:r>
                          <w:r>
                            <w:rPr>
                              <w:rFonts w:hint="eastAsia" w:ascii="仿宋" w:hAnsi="仿宋" w:eastAsia="仿宋" w:cs="仿宋"/>
                              <w:sz w:val="24"/>
                              <w:szCs w:val="40"/>
                            </w:rPr>
                            <w:instrText xml:space="preserve"> PAGE  \* MERGEFORMAT </w:instrText>
                          </w:r>
                          <w:r>
                            <w:rPr>
                              <w:rFonts w:hint="eastAsia" w:ascii="仿宋" w:hAnsi="仿宋" w:eastAsia="仿宋" w:cs="仿宋"/>
                              <w:sz w:val="24"/>
                              <w:szCs w:val="40"/>
                            </w:rPr>
                            <w:fldChar w:fldCharType="separate"/>
                          </w:r>
                          <w:r>
                            <w:rPr>
                              <w:rFonts w:hint="eastAsia" w:ascii="仿宋" w:hAnsi="仿宋" w:eastAsia="仿宋" w:cs="仿宋"/>
                              <w:sz w:val="24"/>
                              <w:szCs w:val="40"/>
                            </w:rPr>
                            <w:t>1</w:t>
                          </w:r>
                          <w:r>
                            <w:rPr>
                              <w:rFonts w:hint="eastAsia" w:ascii="仿宋" w:hAnsi="仿宋" w:eastAsia="仿宋" w:cs="仿宋"/>
                              <w:sz w:val="24"/>
                              <w:szCs w:val="4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55C0EE3">
                    <w:pPr>
                      <w:pStyle w:val="3"/>
                      <w:rPr>
                        <w:rFonts w:hint="eastAsia" w:ascii="仿宋" w:hAnsi="仿宋" w:eastAsia="仿宋" w:cs="仿宋"/>
                        <w:sz w:val="24"/>
                        <w:szCs w:val="40"/>
                      </w:rPr>
                    </w:pPr>
                    <w:r>
                      <w:rPr>
                        <w:rFonts w:hint="eastAsia" w:ascii="仿宋" w:hAnsi="仿宋" w:eastAsia="仿宋" w:cs="仿宋"/>
                        <w:sz w:val="24"/>
                        <w:szCs w:val="40"/>
                      </w:rPr>
                      <w:fldChar w:fldCharType="begin"/>
                    </w:r>
                    <w:r>
                      <w:rPr>
                        <w:rFonts w:hint="eastAsia" w:ascii="仿宋" w:hAnsi="仿宋" w:eastAsia="仿宋" w:cs="仿宋"/>
                        <w:sz w:val="24"/>
                        <w:szCs w:val="40"/>
                      </w:rPr>
                      <w:instrText xml:space="preserve"> PAGE  \* MERGEFORMAT </w:instrText>
                    </w:r>
                    <w:r>
                      <w:rPr>
                        <w:rFonts w:hint="eastAsia" w:ascii="仿宋" w:hAnsi="仿宋" w:eastAsia="仿宋" w:cs="仿宋"/>
                        <w:sz w:val="24"/>
                        <w:szCs w:val="40"/>
                      </w:rPr>
                      <w:fldChar w:fldCharType="separate"/>
                    </w:r>
                    <w:r>
                      <w:rPr>
                        <w:rFonts w:hint="eastAsia" w:ascii="仿宋" w:hAnsi="仿宋" w:eastAsia="仿宋" w:cs="仿宋"/>
                        <w:sz w:val="24"/>
                        <w:szCs w:val="40"/>
                      </w:rPr>
                      <w:t>1</w:t>
                    </w:r>
                    <w:r>
                      <w:rPr>
                        <w:rFonts w:hint="eastAsia" w:ascii="仿宋" w:hAnsi="仿宋" w:eastAsia="仿宋" w:cs="仿宋"/>
                        <w:sz w:val="24"/>
                        <w:szCs w:val="4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BC0F86"/>
    <w:rsid w:val="3ABC0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99"/>
    <w:pPr>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ind w:left="120" w:right="120"/>
      <w:jc w:val="left"/>
    </w:pPr>
    <w:rPr>
      <w:kern w:val="0"/>
      <w:sz w:val="18"/>
      <w:szCs w:val="18"/>
    </w:rPr>
  </w:style>
  <w:style w:type="paragraph" w:styleId="5">
    <w:name w:val="Body Text First Indent 2"/>
    <w:basedOn w:val="2"/>
    <w:unhideWhenUsed/>
    <w:qFormat/>
    <w:uiPriority w:val="0"/>
    <w:pPr>
      <w:ind w:firstLine="420" w:firstLineChars="200"/>
    </w:pPr>
    <w:rPr>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无间隔1"/>
    <w:basedOn w:val="1"/>
    <w:qFormat/>
    <w:uiPriority w:val="99"/>
    <w:pPr>
      <w:spacing w:line="400" w:lineRule="exact"/>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2026-07-13T07:40:00Z</dcterms:created>
  <dc:creator>  </dc:creator>
  <cp:lastModifiedBy>  </cp:lastModifiedBy>
  <dcterms:modified xsi:type="dcterms:W3CDTF">2026-07-13T07:40:17Z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A36DC02CADE24B63B2D203C2B1BFCB44_11</vt:lpwstr>
  </property>
  <property fmtid="{D5CDD505-2E9C-101B-9397-08002B2CF9AE}" pid="4" name="KSOTemplateDocerSaveRecord">
    <vt:lpwstr>eyJoZGlkIjoiZjQ0Y2ZiZTcxZjgwZDQ5YWYyNTVhMmI4ZjliMzNjMDgiLCJ1c2VySWQiOiI1Njk1MDIwOTAifQ==</vt:lpwstr>
  </property>
</Properties>
</file>