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版本号：ZCZX2026-CS-108.1B120260818001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曲江新区核心区城市管理工作用车维护保养服务(二次)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ZCZX2026-CS-108.1B1</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曲江新区核心区城市管理工作用车维护保养服务(二次)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ZCZX2026-CS-108.1B1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曲江新区核心区城市管理工作用车维护保养服务(二次)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本次采购项目的维修车辆主要包括：面包车、皮卡、金杯客车等。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采购包1（曲江新区核心区城市管理工作用车维护保养服务）：属于专门面向小微企业采购。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2、资质：供应商须提供有效的机动车维修经营备案证明（二类及以上（含二类）汽车维修）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029-68660318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魏江南、吴芳超、雷高峰、张斌、孟凌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按预算价向中标（成交）供应商收取代理服务费，不足8000元，按8000元收取。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联系人：魏江南、吴芳超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本次采购项目的维修车辆主要包括：面包车、皮卡、金杯客车等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车辆维修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rPr>
              <w:t>一、项目概况</w:t>
            </w:r>
          </w:p>
          <w:p>
            <w:pPr>
              <w:pStyle w:val="null3"/>
              <w:ind w:firstLine="400"/>
              <w:jc w:val="left"/>
            </w:pPr>
            <w:r>
              <w:rPr>
                <w:rFonts w:ascii="仿宋_GB2312" w:hAnsi="仿宋_GB2312" w:cs="仿宋_GB2312" w:eastAsia="仿宋_GB2312"/>
                <w:sz w:val="20"/>
              </w:rPr>
              <w:t>本次采购项目的维修车辆主要包括面包车、皮卡、金杯客车等。</w:t>
            </w:r>
          </w:p>
          <w:p>
            <w:pPr>
              <w:pStyle w:val="null3"/>
              <w:ind w:firstLine="400"/>
              <w:jc w:val="left"/>
            </w:pPr>
            <w:r>
              <w:rPr>
                <w:rFonts w:ascii="仿宋_GB2312" w:hAnsi="仿宋_GB2312" w:cs="仿宋_GB2312" w:eastAsia="仿宋_GB2312"/>
                <w:sz w:val="20"/>
              </w:rPr>
              <w:t>二、服务要求及内容</w:t>
            </w:r>
          </w:p>
          <w:p>
            <w:pPr>
              <w:pStyle w:val="null3"/>
              <w:ind w:firstLine="400"/>
              <w:jc w:val="left"/>
            </w:pPr>
            <w:r>
              <w:rPr>
                <w:rFonts w:ascii="仿宋_GB2312" w:hAnsi="仿宋_GB2312" w:cs="仿宋_GB2312" w:eastAsia="仿宋_GB2312"/>
                <w:sz w:val="20"/>
              </w:rPr>
              <w:t>1.修理厂必须符合采购人</w:t>
            </w:r>
            <w:r>
              <w:rPr>
                <w:rFonts w:ascii="仿宋_GB2312" w:hAnsi="仿宋_GB2312" w:cs="仿宋_GB2312" w:eastAsia="仿宋_GB2312"/>
                <w:sz w:val="20"/>
              </w:rPr>
              <w:t>车辆日常</w:t>
            </w:r>
            <w:r>
              <w:rPr>
                <w:rFonts w:ascii="仿宋_GB2312" w:hAnsi="仿宋_GB2312" w:cs="仿宋_GB2312" w:eastAsia="仿宋_GB2312"/>
                <w:sz w:val="20"/>
              </w:rPr>
              <w:t>的</w:t>
            </w:r>
            <w:r>
              <w:rPr>
                <w:rFonts w:ascii="仿宋_GB2312" w:hAnsi="仿宋_GB2312" w:cs="仿宋_GB2312" w:eastAsia="仿宋_GB2312"/>
                <w:sz w:val="20"/>
              </w:rPr>
              <w:t>维护、二级维护、汽车大修、总成修理、汽车小修和汽车专项修理、二十四小时拖车、代办车辆年审和其他有关的汽车维修服务项目</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2.优先为采购人的托修车辆提供维修服务</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不得将托修车辆转厂维修</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必须按维修标准和要求按时完成维修工作</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保证托修车辆的安全</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必须用具有合格资格的维修技术人员操作，保持车辆各种配件的完整性和卫生清洁，保证维修质量</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7.</w:t>
            </w:r>
            <w:r>
              <w:rPr>
                <w:rFonts w:ascii="仿宋_GB2312" w:hAnsi="仿宋_GB2312" w:cs="仿宋_GB2312" w:eastAsia="仿宋_GB2312"/>
                <w:sz w:val="20"/>
              </w:rPr>
              <w:t>保证所用配件</w:t>
            </w:r>
            <w:r>
              <w:rPr>
                <w:rFonts w:ascii="仿宋_GB2312" w:hAnsi="仿宋_GB2312" w:cs="仿宋_GB2312" w:eastAsia="仿宋_GB2312"/>
                <w:sz w:val="20"/>
              </w:rPr>
              <w:t>是符合国家质量标准的全新原厂配件，不得以次充好或未经检验随意更换汽车配件，必须按采购人意见购买配件</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8.</w:t>
            </w:r>
            <w:r>
              <w:rPr>
                <w:rFonts w:ascii="仿宋_GB2312" w:hAnsi="仿宋_GB2312" w:cs="仿宋_GB2312" w:eastAsia="仿宋_GB2312"/>
                <w:sz w:val="20"/>
              </w:rPr>
              <w:t>必须保存好所有的维修单据和资料，随时接受采购人及其他有关部门的检查</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9.</w:t>
            </w:r>
            <w:r>
              <w:rPr>
                <w:rFonts w:ascii="仿宋_GB2312" w:hAnsi="仿宋_GB2312" w:cs="仿宋_GB2312" w:eastAsia="仿宋_GB2312"/>
                <w:sz w:val="20"/>
              </w:rPr>
              <w:t>必须履行其服务承诺</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10.</w:t>
            </w:r>
            <w:r>
              <w:rPr>
                <w:rFonts w:ascii="仿宋_GB2312" w:hAnsi="仿宋_GB2312" w:cs="仿宋_GB2312" w:eastAsia="仿宋_GB2312"/>
                <w:sz w:val="20"/>
              </w:rPr>
              <w:t>接车诊断后的维修项目必须经采购人确认后方可维修，不得擅自增加维修项目，维修过程中发现某些项目必须追加的，在维修前应事先通知采购人，征得采购人同意，方能增加项目开始维修</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11.</w:t>
            </w:r>
            <w:r>
              <w:rPr>
                <w:rFonts w:ascii="仿宋_GB2312" w:hAnsi="仿宋_GB2312" w:cs="仿宋_GB2312" w:eastAsia="仿宋_GB2312"/>
                <w:sz w:val="20"/>
              </w:rPr>
              <w:t>必须遵守监管部门制定的各项有关公务用车协议维修的管理制度</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12.</w:t>
            </w:r>
            <w:r>
              <w:rPr>
                <w:rFonts w:ascii="仿宋_GB2312" w:hAnsi="仿宋_GB2312" w:cs="仿宋_GB2312" w:eastAsia="仿宋_GB2312"/>
                <w:sz w:val="20"/>
              </w:rPr>
              <w:t>被修车辆达不到规定的质量标准和技术要求的，返修不得再计价收费</w:t>
            </w:r>
            <w:r>
              <w:rPr>
                <w:rFonts w:ascii="仿宋_GB2312" w:hAnsi="仿宋_GB2312" w:cs="仿宋_GB2312" w:eastAsia="仿宋_GB2312"/>
                <w:sz w:val="20"/>
              </w:rPr>
              <w:t>，</w:t>
            </w:r>
            <w:r>
              <w:rPr>
                <w:rFonts w:ascii="仿宋_GB2312" w:hAnsi="仿宋_GB2312" w:cs="仿宋_GB2312" w:eastAsia="仿宋_GB2312"/>
                <w:sz w:val="20"/>
              </w:rPr>
              <w:t>车辆竣工出厂执行质量保证期制度，不能低于中华人民共和国交通部所颁布的《交通运输部关于修改</w:t>
            </w:r>
            <w:r>
              <w:rPr>
                <w:rFonts w:ascii="仿宋_GB2312" w:hAnsi="仿宋_GB2312" w:cs="仿宋_GB2312" w:eastAsia="仿宋_GB2312"/>
                <w:sz w:val="20"/>
              </w:rPr>
              <w:t>&lt;机动车维修管理规定&gt;的决定(交通运输部令2016年第37号)》的标准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13.</w:t>
            </w:r>
            <w:r>
              <w:rPr>
                <w:rFonts w:ascii="仿宋_GB2312" w:hAnsi="仿宋_GB2312" w:cs="仿宋_GB2312" w:eastAsia="仿宋_GB2312"/>
                <w:sz w:val="20"/>
              </w:rPr>
              <w:t>责任保障期限及车辆质量保障按照国家有关部门颁发的最新标准执行。在质量保证期内，因维修质量造成的直接经济损失，由定点维修企业负责</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14.</w:t>
            </w:r>
            <w:r>
              <w:rPr>
                <w:rFonts w:ascii="仿宋_GB2312" w:hAnsi="仿宋_GB2312" w:cs="仿宋_GB2312" w:eastAsia="仿宋_GB2312"/>
                <w:sz w:val="20"/>
              </w:rPr>
              <w:t>所有维修车辆出厂时必须达到《机动车运行安全技术条件》</w:t>
            </w:r>
            <w:r>
              <w:rPr>
                <w:rFonts w:ascii="仿宋_GB2312" w:hAnsi="仿宋_GB2312" w:cs="仿宋_GB2312" w:eastAsia="仿宋_GB2312"/>
                <w:sz w:val="20"/>
              </w:rPr>
              <w:t>GB7258-2012等国家安全技术标准及车辆维修标准。</w:t>
            </w:r>
          </w:p>
          <w:p>
            <w:pPr>
              <w:pStyle w:val="null3"/>
              <w:ind w:firstLine="400"/>
              <w:jc w:val="left"/>
            </w:pPr>
            <w:r>
              <w:rPr>
                <w:rFonts w:ascii="仿宋_GB2312" w:hAnsi="仿宋_GB2312" w:cs="仿宋_GB2312" w:eastAsia="仿宋_GB2312"/>
                <w:sz w:val="20"/>
              </w:rPr>
              <w:t>三、服务期：一年</w:t>
            </w:r>
          </w:p>
          <w:p>
            <w:pPr>
              <w:pStyle w:val="null3"/>
              <w:ind w:firstLine="400"/>
              <w:jc w:val="left"/>
            </w:pPr>
            <w:r>
              <w:rPr>
                <w:rFonts w:ascii="仿宋_GB2312" w:hAnsi="仿宋_GB2312" w:cs="仿宋_GB2312" w:eastAsia="仿宋_GB2312"/>
                <w:sz w:val="20"/>
              </w:rPr>
              <w:t>四、维修车型明细：</w:t>
            </w:r>
            <w:r>
              <w:br/>
            </w:r>
            <w:r>
              <w:rPr>
                <w:rFonts w:ascii="仿宋_GB2312" w:hAnsi="仿宋_GB2312" w:cs="仿宋_GB2312" w:eastAsia="仿宋_GB2312"/>
              </w:rPr>
              <w:t xml:space="preserve">   </w:t>
            </w:r>
            <w:r>
              <w:rPr>
                <w:rFonts w:ascii="仿宋_GB2312" w:hAnsi="仿宋_GB2312" w:cs="仿宋_GB2312" w:eastAsia="仿宋_GB2312"/>
                <w:sz w:val="16"/>
                <w:b/>
              </w:rPr>
              <w:t>（</w:t>
            </w:r>
            <w:r>
              <w:rPr>
                <w:rFonts w:ascii="仿宋_GB2312" w:hAnsi="仿宋_GB2312" w:cs="仿宋_GB2312" w:eastAsia="仿宋_GB2312"/>
                <w:sz w:val="16"/>
                <w:b/>
              </w:rPr>
              <w:t>一</w:t>
            </w:r>
            <w:r>
              <w:rPr>
                <w:rFonts w:ascii="仿宋_GB2312" w:hAnsi="仿宋_GB2312" w:cs="仿宋_GB2312" w:eastAsia="仿宋_GB2312"/>
                <w:sz w:val="16"/>
                <w:b/>
              </w:rPr>
              <w:t>）</w:t>
            </w:r>
            <w:r>
              <w:rPr>
                <w:rFonts w:ascii="仿宋_GB2312" w:hAnsi="仿宋_GB2312" w:cs="仿宋_GB2312" w:eastAsia="仿宋_GB2312"/>
                <w:sz w:val="16"/>
                <w:b/>
              </w:rPr>
              <w:t>五菱宏光</w:t>
            </w:r>
            <w:r>
              <w:rPr>
                <w:rFonts w:ascii="仿宋_GB2312" w:hAnsi="仿宋_GB2312" w:cs="仿宋_GB2312" w:eastAsia="仿宋_GB2312"/>
                <w:sz w:val="16"/>
                <w:b/>
              </w:rPr>
              <w:t>S1车辆维修项目</w:t>
            </w:r>
          </w:p>
          <w:p>
            <w:pPr>
              <w:pStyle w:val="null3"/>
              <w:jc w:val="left"/>
            </w:pPr>
            <w:r>
              <w:rPr>
                <w:rFonts w:ascii="仿宋_GB2312" w:hAnsi="仿宋_GB2312" w:cs="仿宋_GB2312" w:eastAsia="仿宋_GB2312"/>
                <w:sz w:val="16"/>
                <w:b/>
              </w:rPr>
              <w:t>五菱宏光</w:t>
            </w:r>
            <w:r>
              <w:rPr>
                <w:rFonts w:ascii="仿宋_GB2312" w:hAnsi="仿宋_GB2312" w:cs="仿宋_GB2312" w:eastAsia="仿宋_GB2312"/>
                <w:sz w:val="16"/>
                <w:b/>
              </w:rPr>
              <w:t xml:space="preserve">S1  上装及配件    </w:t>
            </w:r>
          </w:p>
          <w:p>
            <w:pPr>
              <w:pStyle w:val="null3"/>
              <w:jc w:val="left"/>
            </w:pPr>
            <w:r>
              <w:rPr>
                <w:rFonts w:ascii="仿宋_GB2312" w:hAnsi="仿宋_GB2312" w:cs="仿宋_GB2312" w:eastAsia="仿宋_GB2312"/>
                <w:sz w:val="16"/>
                <w:b/>
              </w:rPr>
              <w:t>报价单位：元（精确到小数点后两位）</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416"/>
              <w:gridCol w:w="304"/>
              <w:gridCol w:w="462"/>
              <w:gridCol w:w="568"/>
              <w:gridCol w:w="515"/>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w:t>
                  </w:r>
                  <w:r>
                    <w:rPr>
                      <w:rFonts w:ascii="仿宋_GB2312" w:hAnsi="仿宋_GB2312" w:cs="仿宋_GB2312" w:eastAsia="仿宋_GB2312"/>
                      <w:sz w:val="20"/>
                    </w:rPr>
                    <w:t>(元)</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工时费</w:t>
                  </w:r>
                  <w:r>
                    <w:rPr>
                      <w:rFonts w:ascii="仿宋_GB2312" w:hAnsi="仿宋_GB2312" w:cs="仿宋_GB2312" w:eastAsia="仿宋_GB2312"/>
                      <w:sz w:val="20"/>
                    </w:rPr>
                    <w:t>(元)</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雨刮片</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手刹拉线</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缸线</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火花塞</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点火线圈</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前刹车盘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后刹车盘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壳牌齿轮油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壳牌方向机油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壳牌刹车油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皮带涨紧轮</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w:t>
                  </w:r>
                  <w:r>
                    <w:rPr>
                      <w:rFonts w:ascii="仿宋_GB2312" w:hAnsi="仿宋_GB2312" w:cs="仿宋_GB2312" w:eastAsia="仿宋_GB2312"/>
                      <w:sz w:val="20"/>
                    </w:rPr>
                    <w:t>.发.助.皮带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手刹拉线</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前减震器及弹簧</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后减震器</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水箱总成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刹车分泵</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刹车总泵</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喇叭</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中门拉手</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挡泥皮</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变速箱轴承</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冷暖风机总成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前门锁块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仪表总成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下支臂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防冻液</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雾灯总成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同步器</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方向机万向节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减震器压力轴承</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羊角</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暖风水箱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节温器</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排气管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发电机</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启动机</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玻璃升降开关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组合开关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后尾灯总成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六个月</w:t>
                  </w:r>
                </w:p>
              </w:tc>
            </w:tr>
          </w:tbl>
          <w:p>
            <w:pPr>
              <w:pStyle w:val="null3"/>
              <w:jc w:val="left"/>
            </w:pPr>
            <w:r>
              <w:rPr>
                <w:rFonts w:ascii="仿宋_GB2312" w:hAnsi="仿宋_GB2312" w:cs="仿宋_GB2312" w:eastAsia="仿宋_GB2312"/>
                <w:sz w:val="16"/>
                <w:b/>
              </w:rPr>
              <w:t>（二）皮卡风骏</w:t>
            </w:r>
            <w:r>
              <w:rPr>
                <w:rFonts w:ascii="仿宋_GB2312" w:hAnsi="仿宋_GB2312" w:cs="仿宋_GB2312" w:eastAsia="仿宋_GB2312"/>
                <w:sz w:val="16"/>
                <w:b/>
              </w:rPr>
              <w:t>7车辆维修项目</w:t>
            </w:r>
          </w:p>
          <w:p>
            <w:pPr>
              <w:pStyle w:val="null3"/>
              <w:jc w:val="left"/>
            </w:pPr>
            <w:r>
              <w:rPr>
                <w:rFonts w:ascii="仿宋_GB2312" w:hAnsi="仿宋_GB2312" w:cs="仿宋_GB2312" w:eastAsia="仿宋_GB2312"/>
                <w:sz w:val="16"/>
                <w:b/>
              </w:rPr>
              <w:t>皮卡风骏</w:t>
            </w:r>
            <w:r>
              <w:rPr>
                <w:rFonts w:ascii="仿宋_GB2312" w:hAnsi="仿宋_GB2312" w:cs="仿宋_GB2312" w:eastAsia="仿宋_GB2312"/>
                <w:sz w:val="16"/>
                <w:b/>
              </w:rPr>
              <w:t xml:space="preserve">7  上装及配件            </w:t>
            </w:r>
          </w:p>
          <w:p>
            <w:pPr>
              <w:pStyle w:val="null3"/>
              <w:jc w:val="left"/>
            </w:pPr>
            <w:r>
              <w:rPr>
                <w:rFonts w:ascii="仿宋_GB2312" w:hAnsi="仿宋_GB2312" w:cs="仿宋_GB2312" w:eastAsia="仿宋_GB2312"/>
                <w:sz w:val="16"/>
                <w:b/>
              </w:rPr>
              <w:t>报价单位：元（精确到小数点后两位）</w:t>
            </w:r>
          </w:p>
          <w:tbl>
            <w:tblPr>
              <w:tblInd w:type="dxa" w:w="120"/>
              <w:tblBorders>
                <w:top w:val="none" w:color="000000" w:sz="4"/>
                <w:left w:val="none" w:color="000000" w:sz="4"/>
                <w:bottom w:val="none" w:color="000000" w:sz="4"/>
                <w:right w:val="none" w:color="000000" w:sz="4"/>
                <w:insideH w:val="none"/>
                <w:insideV w:val="none"/>
              </w:tblBorders>
            </w:tblPr>
            <w:tblGrid>
              <w:gridCol w:w="277"/>
              <w:gridCol w:w="395"/>
              <w:gridCol w:w="316"/>
              <w:gridCol w:w="461"/>
              <w:gridCol w:w="560"/>
              <w:gridCol w:w="527"/>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w:t>
                  </w:r>
                  <w:r>
                    <w:rPr>
                      <w:rFonts w:ascii="仿宋_GB2312" w:hAnsi="仿宋_GB2312" w:cs="仿宋_GB2312" w:eastAsia="仿宋_GB2312"/>
                      <w:sz w:val="20"/>
                    </w:rPr>
                    <w:t>(元)</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工时费</w:t>
                  </w:r>
                  <w:r>
                    <w:rPr>
                      <w:rFonts w:ascii="仿宋_GB2312" w:hAnsi="仿宋_GB2312" w:cs="仿宋_GB2312" w:eastAsia="仿宋_GB2312"/>
                      <w:sz w:val="20"/>
                    </w:rPr>
                    <w:t>(元)</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质保期</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机油感应塞</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缸床垫子</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缸线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火花塞</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点火线圈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前刹车盘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后刹车盘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全合成机油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机滤</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空滤</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汽滤</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壳牌齿轮油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壳牌方向机油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壳牌刹车油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皮带涨紧轮</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w:t>
                  </w:r>
                  <w:r>
                    <w:rPr>
                      <w:rFonts w:ascii="仿宋_GB2312" w:hAnsi="仿宋_GB2312" w:cs="仿宋_GB2312" w:eastAsia="仿宋_GB2312"/>
                      <w:sz w:val="20"/>
                    </w:rPr>
                    <w:t>.发.助.皮带</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手刹拉线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前减震器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后减震器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雨刮器片</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刹车分泵</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刹车总泵</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喇叭</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中门拉手</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飞轮盘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变速箱轴承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冷暖风机总成</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前门锁块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仪表总成</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下支臂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防冻液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雾灯总成</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继电器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方向机万向节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减震器压力轴承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暖风水箱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离合器压盘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离合器片</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离合器分离轴承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水管</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三元催化</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bl>
          <w:p>
            <w:pPr>
              <w:pStyle w:val="null3"/>
              <w:jc w:val="left"/>
            </w:pPr>
            <w:r>
              <w:rPr>
                <w:rFonts w:ascii="仿宋_GB2312" w:hAnsi="仿宋_GB2312" w:cs="仿宋_GB2312" w:eastAsia="仿宋_GB2312"/>
                <w:sz w:val="16"/>
                <w:b/>
              </w:rPr>
              <w:t>（三）金杯海狮车辆维修项目</w:t>
            </w:r>
          </w:p>
          <w:p>
            <w:pPr>
              <w:pStyle w:val="null3"/>
              <w:jc w:val="left"/>
            </w:pPr>
            <w:r>
              <w:rPr>
                <w:rFonts w:ascii="仿宋_GB2312" w:hAnsi="仿宋_GB2312" w:cs="仿宋_GB2312" w:eastAsia="仿宋_GB2312"/>
                <w:sz w:val="16"/>
                <w:b/>
              </w:rPr>
              <w:t>金杯海狮</w:t>
            </w:r>
            <w:r>
              <w:rPr>
                <w:rFonts w:ascii="仿宋_GB2312" w:hAnsi="仿宋_GB2312" w:cs="仿宋_GB2312" w:eastAsia="仿宋_GB2312"/>
                <w:sz w:val="16"/>
                <w:b/>
              </w:rPr>
              <w:t xml:space="preserve">  </w:t>
            </w:r>
            <w:r>
              <w:rPr>
                <w:rFonts w:ascii="仿宋_GB2312" w:hAnsi="仿宋_GB2312" w:cs="仿宋_GB2312" w:eastAsia="仿宋_GB2312"/>
                <w:sz w:val="16"/>
                <w:b/>
              </w:rPr>
              <w:t>上装及配件</w:t>
            </w:r>
            <w:r>
              <w:rPr>
                <w:rFonts w:ascii="仿宋_GB2312" w:hAnsi="仿宋_GB2312" w:cs="仿宋_GB2312" w:eastAsia="仿宋_GB2312"/>
                <w:sz w:val="16"/>
                <w:b/>
              </w:rPr>
              <w:t xml:space="preserve">    </w:t>
            </w:r>
          </w:p>
          <w:p>
            <w:pPr>
              <w:pStyle w:val="null3"/>
              <w:jc w:val="left"/>
            </w:pPr>
            <w:r>
              <w:rPr>
                <w:rFonts w:ascii="仿宋_GB2312" w:hAnsi="仿宋_GB2312" w:cs="仿宋_GB2312" w:eastAsia="仿宋_GB2312"/>
                <w:sz w:val="16"/>
                <w:b/>
              </w:rPr>
              <w:t>报价单位：元（精确到小数点后两位）</w:t>
            </w:r>
          </w:p>
          <w:tbl>
            <w:tblPr>
              <w:tblInd w:type="dxa" w:w="120"/>
              <w:tblBorders>
                <w:top w:val="none" w:color="000000" w:sz="4"/>
                <w:left w:val="none" w:color="000000" w:sz="4"/>
                <w:bottom w:val="none" w:color="000000" w:sz="4"/>
                <w:right w:val="none" w:color="000000" w:sz="4"/>
                <w:insideH w:val="none"/>
                <w:insideV w:val="none"/>
              </w:tblBorders>
            </w:tblPr>
            <w:tblGrid>
              <w:gridCol w:w="269"/>
              <w:gridCol w:w="401"/>
              <w:gridCol w:w="309"/>
              <w:gridCol w:w="467"/>
              <w:gridCol w:w="546"/>
              <w:gridCol w:w="532"/>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w:t>
                  </w:r>
                  <w:r>
                    <w:rPr>
                      <w:rFonts w:ascii="仿宋_GB2312" w:hAnsi="仿宋_GB2312" w:cs="仿宋_GB2312" w:eastAsia="仿宋_GB2312"/>
                      <w:sz w:val="20"/>
                    </w:rPr>
                    <w:t>(元)</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工时费</w:t>
                  </w:r>
                  <w:r>
                    <w:rPr>
                      <w:rFonts w:ascii="仿宋_GB2312" w:hAnsi="仿宋_GB2312" w:cs="仿宋_GB2312" w:eastAsia="仿宋_GB2312"/>
                      <w:sz w:val="20"/>
                    </w:rPr>
                    <w:t>(元)</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质保期</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暖风水箱</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罩盖垫子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密封圈</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缸线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火花塞</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点火线圈</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前刹车盘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后刹车锅</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机滤</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空滤</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汽滤</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壳牌齿轮油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壳牌方向机油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壳牌刹车油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皮带涨紧轮</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w:t>
                  </w:r>
                  <w:r>
                    <w:rPr>
                      <w:rFonts w:ascii="仿宋_GB2312" w:hAnsi="仿宋_GB2312" w:cs="仿宋_GB2312" w:eastAsia="仿宋_GB2312"/>
                      <w:sz w:val="20"/>
                    </w:rPr>
                    <w:t>.发.助.皮带</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手刹拉线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前减震器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后减震器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雨刮器片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刹车分泵</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刹车总泵</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喇叭</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中门拉手</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飞轮盘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前轮轴承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冷暖风机总成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前门锁块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仪表总成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下支臂</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防冻液</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雾灯总成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水泵</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方向机万向节</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减震器压力轴承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暖风水箱</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消声器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水管</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三个月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维修技术人员具有相应的维修操作资格。</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进度款，乙方提供上月车辆维修清单，经甲方确认无误后，次月10日前结算上月维修费，按照本项目成交下浮率据实结算，达到付款条件起10个工作日内，支付合同总金额的12.0%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供应商须提供有效的机动车维修经营备案证明（二类及以上（含二类）汽车维修）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根据项目情况提供服务方案，包括但不限于：1、整体服务方案，包括但不限于日常维保、二级维护、专项修理等；2、维保管理制度，包括但不限于车辆维修进度管理、车辆维修保障制度；完工检验等；3、零配件供货方案，包括但不限于货源渠道、储存方案、入库检验等；4、售后服务方案，包括但不限于严格执行国标质保、质保期故障免费返修、定期车辆回访、完整档案管理等；5、安全保障方案，包括但不限于人车双重安全管控、作业操作规范、完工安全检测等；6、环境保障方案，包括但不限于危废合规回收处置、车间保洁、油污清理等；7、应急预案，包括但不限于24 小时拖车救援、夜间故障抢修、质保故障紧急返修、节假日保障救援等。方案体系完整、逻辑严谨、贴合本项目实际、落地性强。完整提供上述7项内容的得28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根据供应商提供的人员配备进行评审打分： 1、技术负责人:具备高级汽车维修工及以上资格证书的得5分，未提供不得分； 2、维修团队人员：维修团队除技术负责人外，每提供初级汽车维修工1人得1分，每提供中级汽车维修工1 人得2分，每提供高级汽车维修工1人得4分，最高得8分； 3、维修团队人数：维修团队人数5人及以上得5分；3-4人得3分；1-2人得1分。（以上人员需提供职业资格证和劳动合同复印件，同一人员不重复计分）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根据本项目提供具体的服务质量保证措施，包括但不限于：1、日常服务的质量保证措施；2、响应时效；3、高峰期维修时效；4、车辆例行安全检查。方案体系完整、逻辑严谨、贴合本项目实际、落地性强。 完整提供上述4项内容的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维修场所距离</w:t>
            </w:r>
          </w:p>
        </w:tc>
        <w:tc>
          <w:tcPr>
            <w:tcW w:type="dxa" w:w="2492"/>
          </w:tcPr>
          <w:p>
            <w:pPr>
              <w:pStyle w:val="null3"/>
            </w:pPr>
            <w:r>
              <w:rPr>
                <w:rFonts w:ascii="仿宋_GB2312" w:hAnsi="仿宋_GB2312" w:cs="仿宋_GB2312" w:eastAsia="仿宋_GB2312"/>
              </w:rPr>
              <w:t>根据供应商维修场所至西安曲江新区管理委员会的距离进行评分，供应商须提供导航软件显示结果的截图。 1、距离≤5km的，得6分; 2、5km&lt;距离≤10km的，得4分: 3、10km&lt;距离≤15km的，得2分; 4、距离＞15km的，得1分；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1、台账与监管配合承诺。承诺完整留存维修单据、配件合格证、维修记录，无条件配合采购人及其他有关部门的检查。 2、不转包、优先服务承诺。书面承诺车辆全部本厂维修、不转厂、公务车辆优先排工。 以上承诺每提供一项得3分，满分6分，缺一项扣3分，扣完为止。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提供自2023年1月1日至今同类项目的业绩，业绩以合同为依据，每提供一个计2分，满分10分。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提供实质性的增值服务，每提供1项得1分，最高5分（以书面声明承诺为准，无书面声明承诺不得分）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满足磋商文件要求且最后下浮率最高的供应商的价格为磋商基准价。各供应商的价格分统一按照下列公式计算：磋商下浮率得分=[（1-磋商基准价）/（1-最后磋商报价）]×价格权值×100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