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B8C655">
      <w:pPr>
        <w:tabs>
          <w:tab w:val="left" w:pos="735"/>
        </w:tabs>
        <w:autoSpaceDE w:val="0"/>
        <w:autoSpaceDN w:val="0"/>
        <w:adjustRightInd w:val="0"/>
        <w:snapToGrid w:val="0"/>
        <w:spacing w:before="312" w:beforeLines="100" w:line="360" w:lineRule="auto"/>
        <w:ind w:firstLine="422" w:firstLineChars="200"/>
        <w:rPr>
          <w:rFonts w:ascii="仿宋_GB2312" w:hAnsi="仿宋" w:eastAsia="仿宋_GB2312"/>
          <w:b/>
          <w:bCs/>
          <w:lang w:val="zh-CN"/>
        </w:rPr>
      </w:pPr>
      <w:r>
        <w:rPr>
          <w:rFonts w:hint="eastAsia" w:ascii="仿宋_GB2312" w:hAnsi="仿宋" w:eastAsia="仿宋_GB2312"/>
          <w:b/>
          <w:bCs/>
          <w:lang w:val="zh-CN"/>
        </w:rPr>
        <w:t>甲方：</w:t>
      </w:r>
      <w:r>
        <w:rPr>
          <w:rFonts w:hint="eastAsia" w:ascii="仿宋_GB2312" w:hAnsi="仿宋" w:eastAsia="仿宋_GB2312"/>
          <w:bCs/>
          <w:lang w:val="zh-CN"/>
        </w:rPr>
        <w:t>（前款所称采购人）     住所：</w:t>
      </w:r>
    </w:p>
    <w:p w14:paraId="63BAE990">
      <w:pPr>
        <w:tabs>
          <w:tab w:val="left" w:pos="735"/>
        </w:tabs>
        <w:autoSpaceDE w:val="0"/>
        <w:autoSpaceDN w:val="0"/>
        <w:adjustRightInd w:val="0"/>
        <w:snapToGrid w:val="0"/>
        <w:spacing w:line="360" w:lineRule="auto"/>
        <w:ind w:firstLine="422" w:firstLineChars="200"/>
        <w:rPr>
          <w:rFonts w:ascii="仿宋_GB2312" w:hAnsi="仿宋" w:eastAsia="仿宋_GB2312"/>
          <w:bCs/>
          <w:lang w:val="zh-CN"/>
        </w:rPr>
      </w:pPr>
      <w:r>
        <w:rPr>
          <w:rFonts w:hint="eastAsia" w:ascii="仿宋_GB2312" w:hAnsi="仿宋" w:eastAsia="仿宋_GB2312"/>
          <w:b/>
          <w:bCs/>
          <w:lang w:val="zh-CN"/>
        </w:rPr>
        <w:t>乙方：</w:t>
      </w:r>
      <w:r>
        <w:rPr>
          <w:rFonts w:hint="eastAsia" w:ascii="仿宋_GB2312" w:hAnsi="仿宋" w:eastAsia="仿宋_GB2312"/>
          <w:bCs/>
          <w:lang w:val="zh-CN"/>
        </w:rPr>
        <w:t>（前款所称中标人）     住所：</w:t>
      </w:r>
    </w:p>
    <w:p w14:paraId="4212D0F0">
      <w:pPr>
        <w:adjustRightInd w:val="0"/>
        <w:snapToGrid w:val="0"/>
        <w:spacing w:line="360" w:lineRule="auto"/>
        <w:ind w:firstLine="422" w:firstLineChars="200"/>
        <w:rPr>
          <w:rFonts w:ascii="仿宋_GB2312" w:hAnsi="仿宋" w:eastAsia="仿宋_GB2312"/>
          <w:b/>
        </w:rPr>
      </w:pPr>
      <w:bookmarkStart w:id="0" w:name="_Toc55566006"/>
      <w:bookmarkStart w:id="1" w:name="_Toc79485652"/>
      <w:bookmarkStart w:id="2" w:name="_Toc12627520"/>
      <w:r>
        <w:rPr>
          <w:rFonts w:hint="eastAsia" w:ascii="仿宋_GB2312" w:hAnsi="仿宋" w:eastAsia="仿宋_GB2312"/>
          <w:b/>
        </w:rPr>
        <w:t>一、合同内容:</w:t>
      </w:r>
      <w:bookmarkEnd w:id="0"/>
      <w:bookmarkEnd w:id="1"/>
      <w:bookmarkEnd w:id="2"/>
    </w:p>
    <w:p w14:paraId="7C3CF806">
      <w:pPr>
        <w:adjustRightInd w:val="0"/>
        <w:snapToGrid w:val="0"/>
        <w:spacing w:line="360" w:lineRule="auto"/>
        <w:ind w:firstLine="422" w:firstLineChars="200"/>
        <w:rPr>
          <w:rFonts w:ascii="仿宋_GB2312" w:hAnsi="仿宋" w:eastAsia="仿宋_GB2312"/>
          <w:b/>
        </w:rPr>
      </w:pPr>
      <w:bookmarkStart w:id="3" w:name="_Toc12627521"/>
      <w:bookmarkStart w:id="4" w:name="_Toc55566007"/>
      <w:bookmarkStart w:id="5" w:name="_Toc79485653"/>
      <w:r>
        <w:rPr>
          <w:rFonts w:hint="eastAsia" w:ascii="仿宋_GB2312" w:hAnsi="仿宋" w:eastAsia="仿宋_GB2312"/>
          <w:b/>
        </w:rPr>
        <w:t>二、合同价款</w:t>
      </w:r>
      <w:bookmarkEnd w:id="3"/>
      <w:bookmarkEnd w:id="4"/>
      <w:bookmarkEnd w:id="5"/>
    </w:p>
    <w:p w14:paraId="3F581E38">
      <w:pPr>
        <w:adjustRightInd w:val="0"/>
        <w:snapToGrid w:val="0"/>
        <w:spacing w:line="360" w:lineRule="auto"/>
        <w:ind w:firstLine="420" w:firstLineChars="200"/>
        <w:rPr>
          <w:rFonts w:ascii="仿宋_GB2312" w:hAnsi="仿宋" w:eastAsia="仿宋_GB2312"/>
        </w:rPr>
      </w:pPr>
      <w:bookmarkStart w:id="6" w:name="_Toc12627522"/>
      <w:bookmarkStart w:id="7" w:name="_Toc55566008"/>
      <w:bookmarkStart w:id="8" w:name="_Toc79485654"/>
      <w:r>
        <w:rPr>
          <w:rFonts w:hint="eastAsia" w:ascii="仿宋_GB2312" w:hAnsi="仿宋" w:eastAsia="仿宋_GB2312"/>
        </w:rPr>
        <w:t>1、合同总价（下浮率）：</w:t>
      </w:r>
    </w:p>
    <w:p w14:paraId="6D18A0A5">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2、合同总价包括包（下浮率）:含维修零件费用、工时费、道路救援费、拖车费、税费等完成合同内容所需的一切费用。</w:t>
      </w:r>
    </w:p>
    <w:p w14:paraId="188074D0">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3、合同总价（下浮率）一次包死，不受市场价变化的影响。</w:t>
      </w:r>
    </w:p>
    <w:p w14:paraId="07DEED89">
      <w:pPr>
        <w:adjustRightInd w:val="0"/>
        <w:snapToGrid w:val="0"/>
        <w:spacing w:line="360" w:lineRule="auto"/>
        <w:ind w:firstLine="422" w:firstLineChars="200"/>
        <w:rPr>
          <w:rFonts w:ascii="仿宋_GB2312" w:hAnsi="仿宋" w:eastAsia="仿宋_GB2312"/>
          <w:b/>
        </w:rPr>
      </w:pPr>
      <w:r>
        <w:rPr>
          <w:rFonts w:hint="eastAsia" w:ascii="仿宋_GB2312" w:hAnsi="仿宋" w:eastAsia="仿宋_GB2312"/>
          <w:b/>
        </w:rPr>
        <w:t>三、合同结算</w:t>
      </w:r>
      <w:bookmarkEnd w:id="6"/>
      <w:bookmarkEnd w:id="7"/>
      <w:bookmarkEnd w:id="8"/>
    </w:p>
    <w:p w14:paraId="29068BB4">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1、付款比例：</w:t>
      </w:r>
    </w:p>
    <w:p w14:paraId="19A44633">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采购包</w:t>
      </w:r>
      <w:r>
        <w:rPr>
          <w:rFonts w:ascii="仿宋_GB2312" w:hAnsi="仿宋" w:eastAsia="仿宋_GB2312"/>
        </w:rPr>
        <w:t>1：付款条件说明：乙方提供上月车辆维修清单，经甲方确认无误后，</w:t>
      </w:r>
      <w:r>
        <w:rPr>
          <w:rFonts w:ascii="仿宋_GB2312" w:hAnsi="仿宋" w:eastAsia="仿宋_GB2312"/>
          <w:u w:val="single"/>
        </w:rPr>
        <w:t>次月10</w:t>
      </w:r>
      <w:r>
        <w:rPr>
          <w:rFonts w:ascii="仿宋_GB2312" w:hAnsi="仿宋" w:eastAsia="仿宋_GB2312"/>
        </w:rPr>
        <w:t>日前结算上月维修费，按照本项目成交下浮率据实结算。</w:t>
      </w:r>
    </w:p>
    <w:p w14:paraId="62CDB56C">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2、结算方式：银行转账。</w:t>
      </w:r>
    </w:p>
    <w:p w14:paraId="48497C1C">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3、结算单位：由</w:t>
      </w:r>
      <w:r>
        <w:rPr>
          <w:rFonts w:hint="eastAsia" w:ascii="仿宋_GB2312" w:hAnsi="仿宋" w:eastAsia="仿宋_GB2312"/>
          <w:u w:val="single"/>
        </w:rPr>
        <w:t xml:space="preserve"> 采购人  </w:t>
      </w:r>
      <w:r>
        <w:rPr>
          <w:rFonts w:hint="eastAsia" w:ascii="仿宋_GB2312" w:hAnsi="仿宋" w:eastAsia="仿宋_GB2312"/>
        </w:rPr>
        <w:t>负责结算，乙方开具上月维修费用发票交采购人。</w:t>
      </w:r>
    </w:p>
    <w:p w14:paraId="624AC48A">
      <w:pPr>
        <w:adjustRightInd w:val="0"/>
        <w:snapToGrid w:val="0"/>
        <w:spacing w:line="360" w:lineRule="auto"/>
        <w:ind w:firstLine="422" w:firstLineChars="200"/>
        <w:rPr>
          <w:rFonts w:ascii="仿宋_GB2312" w:hAnsi="仿宋" w:eastAsia="仿宋_GB2312"/>
          <w:b/>
        </w:rPr>
      </w:pPr>
      <w:bookmarkStart w:id="9" w:name="_Toc12627523"/>
      <w:bookmarkStart w:id="10" w:name="_Toc55566009"/>
      <w:bookmarkStart w:id="11" w:name="_Toc79485655"/>
      <w:r>
        <w:rPr>
          <w:rFonts w:hint="eastAsia" w:ascii="仿宋_GB2312" w:hAnsi="仿宋" w:eastAsia="仿宋_GB2312"/>
          <w:b/>
        </w:rPr>
        <w:t>四、履行期限、地点及方式:</w:t>
      </w:r>
      <w:bookmarkEnd w:id="9"/>
      <w:bookmarkEnd w:id="10"/>
      <w:bookmarkEnd w:id="11"/>
    </w:p>
    <w:p w14:paraId="754CD01E">
      <w:pPr>
        <w:adjustRightInd w:val="0"/>
        <w:snapToGrid w:val="0"/>
        <w:spacing w:line="360" w:lineRule="auto"/>
        <w:ind w:firstLine="420" w:firstLineChars="200"/>
        <w:rPr>
          <w:rFonts w:hint="eastAsia" w:ascii="仿宋_GB2312" w:hAnsi="仿宋" w:eastAsia="仿宋_GB2312"/>
          <w:lang w:val="en-US" w:eastAsia="zh-CN"/>
        </w:rPr>
      </w:pPr>
      <w:r>
        <w:rPr>
          <w:rFonts w:hint="eastAsia" w:ascii="仿宋_GB2312" w:hAnsi="仿宋" w:eastAsia="仿宋_GB2312"/>
        </w:rPr>
        <w:t>1、履行期限：</w:t>
      </w:r>
      <w:r>
        <w:rPr>
          <w:rFonts w:hint="eastAsia" w:ascii="仿宋_GB2312" w:hAnsi="仿宋" w:eastAsia="仿宋_GB2312"/>
          <w:lang w:val="en-US" w:eastAsia="zh-CN"/>
        </w:rPr>
        <w:t>自合同签订之日起一年</w:t>
      </w:r>
    </w:p>
    <w:p w14:paraId="7E02FDBA">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2、地点：曲江新区</w:t>
      </w:r>
    </w:p>
    <w:p w14:paraId="65B0F6D9">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3、方式：按照采购人要求</w:t>
      </w:r>
    </w:p>
    <w:p w14:paraId="291F74F9">
      <w:pPr>
        <w:adjustRightInd w:val="0"/>
        <w:snapToGrid w:val="0"/>
        <w:spacing w:line="360" w:lineRule="auto"/>
        <w:ind w:firstLine="422" w:firstLineChars="200"/>
        <w:rPr>
          <w:lang w:val="zh-CN"/>
        </w:rPr>
      </w:pPr>
      <w:bookmarkStart w:id="12" w:name="_Toc12627524"/>
      <w:bookmarkStart w:id="13" w:name="_Toc79485656"/>
      <w:bookmarkStart w:id="14" w:name="_Toc55566010"/>
      <w:r>
        <w:rPr>
          <w:rFonts w:hint="eastAsia" w:ascii="仿宋_GB2312" w:hAnsi="仿宋" w:eastAsia="仿宋_GB2312"/>
          <w:b/>
        </w:rPr>
        <w:t>五、</w:t>
      </w:r>
      <w:bookmarkEnd w:id="12"/>
      <w:r>
        <w:rPr>
          <w:rFonts w:hint="eastAsia" w:ascii="仿宋_GB2312" w:hAnsi="仿宋" w:eastAsia="仿宋_GB2312"/>
          <w:b/>
        </w:rPr>
        <w:t>维修的范围及内容</w:t>
      </w:r>
      <w:bookmarkEnd w:id="13"/>
      <w:bookmarkEnd w:id="14"/>
    </w:p>
    <w:p w14:paraId="6758AA79">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1、凡维修车辆（出示加盖单位公章的维修委托单）均可在乙方进行维修和保养，凡属单次采购及维修在300元（含300元）以上的必须进入定点维修程序。乙方应实行二十四小时维修接待及故障车辆路途施救工作，并在西安市内实行免费施救。</w:t>
      </w:r>
    </w:p>
    <w:p w14:paraId="76F098E1">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2、乙方应对送修车辆的《报修单》内容进行认真细致的检查，包括车属单位、车型、车牌号码、送修时间、维修明细、经办人员签章等；若费用较高时（一次维修费用超过1000元），应得到甲方认可方能进行检修。</w:t>
      </w:r>
    </w:p>
    <w:p w14:paraId="71E1528A">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3、凡在乙方修理的车辆，一般不准转厂修理。乙方要根据车辆的情况，随到随修，不无故拖延修理周期，一般故障立即排除，二级保养一般不超过24小时，整车大修一般不超过10个工作日，若整车做漆可延迟至15个工作日内完成。</w:t>
      </w:r>
    </w:p>
    <w:p w14:paraId="1417461B">
      <w:pPr>
        <w:adjustRightInd w:val="0"/>
        <w:snapToGrid w:val="0"/>
        <w:spacing w:line="360" w:lineRule="auto"/>
        <w:ind w:firstLine="422" w:firstLineChars="200"/>
        <w:rPr>
          <w:rFonts w:ascii="仿宋_GB2312" w:hAnsi="仿宋" w:eastAsia="仿宋_GB2312"/>
          <w:b/>
        </w:rPr>
      </w:pPr>
      <w:bookmarkStart w:id="15" w:name="_Toc55566011"/>
      <w:bookmarkStart w:id="16" w:name="_Toc79485657"/>
      <w:r>
        <w:rPr>
          <w:rFonts w:hint="eastAsia" w:ascii="仿宋_GB2312" w:hAnsi="仿宋" w:eastAsia="仿宋_GB2312"/>
          <w:b/>
        </w:rPr>
        <w:t>六、定点维修的管理</w:t>
      </w:r>
      <w:bookmarkEnd w:id="15"/>
      <w:bookmarkEnd w:id="16"/>
    </w:p>
    <w:p w14:paraId="300DCFEC">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1、凡定点维修范围的车辆进厂维修，乙方应建立维修档案（含纸质和电脑档案），并及时、如实记录好该车进厂日期、公里数、大修次数、故障现象及维修内容。</w:t>
      </w:r>
    </w:p>
    <w:p w14:paraId="5006C282">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2、定点维修范围内的所有大修车辆、整车油漆及一次性修理费用在5000元（含5000元）以上的维修，应按车辆大修程序报批审核后才能维修。</w:t>
      </w:r>
    </w:p>
    <w:p w14:paraId="4EA01747">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3、定点维修范围内的车辆维修需要更换配件，乙方应征得甲方现场认可，参与维修方案的制定及对更换配件的鉴定。对更换下的主要配件由车主单位处置。</w:t>
      </w:r>
    </w:p>
    <w:p w14:paraId="051456EC">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4、乙方应保证送修车辆的安全，造成偷盗等损失的要全额赔偿。</w:t>
      </w:r>
    </w:p>
    <w:p w14:paraId="45294F8C">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5、乙方对使用的材料配件必须明确注明品牌、型号、产地，对没注明品牌、型号、产地的配件一律按市场最低价结算。</w:t>
      </w:r>
    </w:p>
    <w:p w14:paraId="7692B4B5">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6、乙方必须对所修车辆建立好维修档案，认真做好各项纪录，保管好原始单据，做好跟踪服务工作。</w:t>
      </w:r>
    </w:p>
    <w:p w14:paraId="58908237">
      <w:pPr>
        <w:adjustRightInd w:val="0"/>
        <w:snapToGrid w:val="0"/>
        <w:spacing w:line="360" w:lineRule="auto"/>
        <w:ind w:firstLine="422" w:firstLineChars="200"/>
        <w:rPr>
          <w:rFonts w:ascii="仿宋_GB2312" w:hAnsi="仿宋" w:eastAsia="仿宋_GB2312"/>
          <w:b/>
        </w:rPr>
      </w:pPr>
      <w:bookmarkStart w:id="17" w:name="_Toc55566012"/>
      <w:bookmarkStart w:id="18" w:name="_Toc79485658"/>
      <w:r>
        <w:rPr>
          <w:rFonts w:hint="eastAsia" w:ascii="仿宋_GB2312" w:hAnsi="仿宋" w:eastAsia="仿宋_GB2312"/>
          <w:b/>
        </w:rPr>
        <w:t>七、维修质量标准</w:t>
      </w:r>
      <w:bookmarkEnd w:id="17"/>
      <w:bookmarkEnd w:id="18"/>
    </w:p>
    <w:p w14:paraId="2EECC5D8">
      <w:pPr>
        <w:adjustRightInd w:val="0"/>
        <w:snapToGrid w:val="0"/>
        <w:spacing w:line="360" w:lineRule="auto"/>
        <w:ind w:firstLine="420" w:firstLineChars="200"/>
        <w:rPr>
          <w:rFonts w:hint="eastAsia" w:ascii="仿宋_GB2312" w:hAnsi="仿宋" w:eastAsia="仿宋_GB2312"/>
          <w:lang w:eastAsia="zh-CN"/>
        </w:rPr>
      </w:pPr>
      <w:r>
        <w:rPr>
          <w:rFonts w:hint="eastAsia" w:ascii="仿宋_GB2312" w:hAnsi="仿宋" w:eastAsia="仿宋_GB2312"/>
        </w:rPr>
        <w:t>1、乙方所维修的车辆出厂，要符合国家有关质量标准，没有国家标准的，要达到行业或部门标准，并对出厂车辆实行质量责任保障，即：一级维护车辆行驶2000公里或竣工出厂之日起十天内。二级维护车辆行驶5000公里或竣工出厂之日起三十天之内。大修车辆整车（总成）行驶20000公里或竣工出厂之日起一百八十天之内。主件：活塞、连杆、活塞环、缸套，大小瓦、气门和机油泵为一年。主要配件质量担保：发电机、马达、雨刮器、电喷车各传感器、电瓶、大灯、尾灯、组合开关、电动升降机、压缩机、音响、喇叭、自动天线、蒸发箱、冷凝器、鼓风机、空调电子扇、后灯座、减振器、方向机、助力泵、横拉杆球头、球笼万向节、消声器、刹车总泵、刹车分泵、离合器总泵、分泵、离合器压盘、离合器片、平面 轴承、悬挂臂及球头、轮鼓轴承、刹车碟（鼓）、刹车片、散热器、时规皮带、化油器、水泵、机油泵、发电机皮带、空调皮带、涨紧轮、分电器、高压线、节气门。在上述质保期内，凡因修理质量问题造成车辆故障或机件损坏，经汽车维修行业管理部门认定,乙方要及时无偿地进行修复，对造成车主单位车辆安全事故的直接损失，乙方要全部赔偿。（若乙方质保期高于上述标准的，可按乙方的质保期执行）</w:t>
      </w:r>
      <w:r>
        <w:rPr>
          <w:rFonts w:hint="eastAsia" w:ascii="仿宋_GB2312" w:hAnsi="仿宋" w:eastAsia="仿宋_GB2312"/>
          <w:lang w:eastAsia="zh-CN"/>
        </w:rPr>
        <w:t>。</w:t>
      </w:r>
    </w:p>
    <w:p w14:paraId="535597C5">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2、乙方所维修的车辆出厂（二级维护以上《含二级》），要经专门的质检技术人员按规定的程序进行检测，并开具由省交通厅监制的《汽车维修竣工出厂合格证》和《质量保证卡》。</w:t>
      </w:r>
    </w:p>
    <w:p w14:paraId="672566E7">
      <w:pPr>
        <w:adjustRightInd w:val="0"/>
        <w:snapToGrid w:val="0"/>
        <w:spacing w:line="360" w:lineRule="auto"/>
        <w:ind w:firstLine="420" w:firstLineChars="200"/>
        <w:rPr>
          <w:rFonts w:ascii="仿宋_GB2312" w:hAnsi="仿宋" w:eastAsia="仿宋_GB2312"/>
          <w:bCs/>
          <w:lang w:val="zh-CN"/>
        </w:rPr>
      </w:pPr>
      <w:r>
        <w:rPr>
          <w:rFonts w:hint="eastAsia" w:ascii="仿宋_GB2312" w:hAnsi="仿宋" w:eastAsia="仿宋_GB2312"/>
        </w:rPr>
        <w:t>3、乙方维修车辆所使用的零配件要使用正厂配件，确因特殊情况需使用专厂品牌件或副厂件的，应事先告知送修单位并做好记录，在取得甲方同意并保证车辆能正常安全行驶的情况下，方可使用，但车辆的关键部位如：发动机、离合器、变速箱、转向系统、刹车系统、灯光系统等关键部位禁止使用副厂零配件。</w:t>
      </w:r>
    </w:p>
    <w:p w14:paraId="1323FE4D">
      <w:pPr>
        <w:adjustRightInd w:val="0"/>
        <w:snapToGrid w:val="0"/>
        <w:spacing w:line="360" w:lineRule="auto"/>
        <w:ind w:firstLine="422" w:firstLineChars="200"/>
        <w:rPr>
          <w:rFonts w:ascii="仿宋_GB2312" w:hAnsi="仿宋" w:eastAsia="仿宋_GB2312"/>
          <w:b/>
        </w:rPr>
      </w:pPr>
      <w:bookmarkStart w:id="19" w:name="_Toc55566013"/>
      <w:bookmarkStart w:id="20" w:name="_Toc79485659"/>
      <w:r>
        <w:rPr>
          <w:rFonts w:hint="eastAsia" w:ascii="仿宋_GB2312" w:hAnsi="仿宋" w:eastAsia="仿宋_GB2312"/>
          <w:b/>
        </w:rPr>
        <w:t>八、维修费用的结算</w:t>
      </w:r>
      <w:bookmarkEnd w:id="19"/>
      <w:bookmarkEnd w:id="20"/>
    </w:p>
    <w:p w14:paraId="2B14E578">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1、原则上结算以投标价为准。</w:t>
      </w:r>
    </w:p>
    <w:p w14:paraId="29D911EC">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2、配件不在清单范围内，维修更换前需请示甲方，待甲方同意后乙方需提供市场价询价证明供甲方确认，确定无误后方可维修更换。</w:t>
      </w:r>
    </w:p>
    <w:p w14:paraId="160E6233">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3、车辆维修保养后由乙方维修员负责填写维修记录交驾驶员签字确认。</w:t>
      </w:r>
    </w:p>
    <w:p w14:paraId="17DA4297">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4、乙方于每月维修结算单报甲方签字确认，乙方向甲方一次性提供足额的正式发票。甲方于确认后以转账等形式按实支付本月维修费用（具体金额及支付方式甲乙双方根据当月具体情况协商）。如遇特殊情况甲方不能及时支付维修费用的，乙方不得以此拒绝修理。</w:t>
      </w:r>
    </w:p>
    <w:p w14:paraId="412207DC">
      <w:pPr>
        <w:adjustRightInd w:val="0"/>
        <w:snapToGrid w:val="0"/>
        <w:spacing w:line="360" w:lineRule="auto"/>
        <w:ind w:firstLine="420" w:firstLineChars="200"/>
        <w:rPr>
          <w:rFonts w:hint="eastAsia" w:ascii="仿宋_GB2312" w:hAnsi="仿宋" w:eastAsia="仿宋_GB2312"/>
        </w:rPr>
      </w:pPr>
      <w:r>
        <w:rPr>
          <w:rFonts w:hint="eastAsia" w:ascii="仿宋_GB2312" w:hAnsi="仿宋" w:eastAsia="仿宋_GB2312"/>
        </w:rPr>
        <w:t>5、乙方维修车辆的工时定额标准，在特种车辆和特殊情况下，可由甲方、乙方、送修单位协商解决，与维修项目有关的检测，乙方不得收取相关费用。</w:t>
      </w:r>
    </w:p>
    <w:p w14:paraId="19597CC0">
      <w:pPr>
        <w:adjustRightInd w:val="0"/>
        <w:snapToGrid w:val="0"/>
        <w:spacing w:line="360" w:lineRule="auto"/>
        <w:ind w:firstLine="422" w:firstLineChars="200"/>
        <w:rPr>
          <w:rFonts w:hint="eastAsia" w:ascii="仿宋_GB2312" w:hAnsi="仿宋" w:eastAsia="仿宋_GB2312"/>
          <w:b/>
          <w:lang w:val="en-US" w:eastAsia="zh-CN"/>
        </w:rPr>
      </w:pPr>
      <w:r>
        <w:rPr>
          <w:rFonts w:hint="eastAsia" w:ascii="仿宋_GB2312" w:hAnsi="仿宋" w:eastAsia="仿宋_GB2312"/>
          <w:b/>
          <w:lang w:val="en-US" w:eastAsia="zh-CN"/>
        </w:rPr>
        <w:t>九、绩效评价与资金支付条款</w:t>
      </w:r>
    </w:p>
    <w:p w14:paraId="59109F9B">
      <w:pPr>
        <w:adjustRightInd w:val="0"/>
        <w:snapToGrid w:val="0"/>
        <w:spacing w:line="360" w:lineRule="auto"/>
        <w:ind w:firstLine="420" w:firstLineChars="200"/>
        <w:rPr>
          <w:rFonts w:hint="eastAsia" w:ascii="仿宋_GB2312" w:hAnsi="宋体" w:eastAsia="仿宋_GB2312" w:cs="宋体"/>
          <w:szCs w:val="22"/>
        </w:rPr>
      </w:pPr>
      <w:r>
        <w:rPr>
          <w:rFonts w:hint="eastAsia" w:ascii="仿宋_GB2312" w:hAnsi="宋体" w:eastAsia="仿宋_GB2312" w:cs="宋体"/>
          <w:szCs w:val="22"/>
        </w:rPr>
        <w:t>1.绩效评价机制</w:t>
      </w:r>
    </w:p>
    <w:p w14:paraId="4F571BF3">
      <w:pPr>
        <w:adjustRightInd w:val="0"/>
        <w:snapToGrid w:val="0"/>
        <w:spacing w:line="360" w:lineRule="auto"/>
        <w:ind w:firstLine="420" w:firstLineChars="200"/>
        <w:rPr>
          <w:rFonts w:hint="eastAsia" w:ascii="仿宋_GB2312" w:hAnsi="宋体" w:eastAsia="仿宋_GB2312" w:cs="宋体"/>
          <w:szCs w:val="22"/>
        </w:rPr>
      </w:pPr>
      <w:r>
        <w:rPr>
          <w:rFonts w:hint="eastAsia" w:ascii="仿宋_GB2312" w:hAnsi="宋体" w:eastAsia="仿宋_GB2312" w:cs="宋体"/>
          <w:szCs w:val="22"/>
        </w:rPr>
        <w:t>甲方负责对乙方的服务成果进行绩效评价，评价内容包括但不限于服务质量、时效性、合规性及用户满意度，绩效评价采用百分制，总分值为100分。</w:t>
      </w:r>
    </w:p>
    <w:p w14:paraId="69F80956">
      <w:pPr>
        <w:adjustRightInd w:val="0"/>
        <w:snapToGrid w:val="0"/>
        <w:spacing w:line="360" w:lineRule="auto"/>
        <w:ind w:firstLine="420" w:firstLineChars="200"/>
        <w:rPr>
          <w:rFonts w:hint="eastAsia" w:ascii="仿宋_GB2312" w:hAnsi="宋体" w:eastAsia="仿宋_GB2312" w:cs="宋体"/>
          <w:szCs w:val="22"/>
        </w:rPr>
      </w:pPr>
      <w:r>
        <w:rPr>
          <w:rFonts w:hint="eastAsia" w:ascii="仿宋_GB2312" w:hAnsi="宋体" w:eastAsia="仿宋_GB2312" w:cs="宋体"/>
          <w:szCs w:val="22"/>
        </w:rPr>
        <w:t>2.资金支付规则</w:t>
      </w:r>
    </w:p>
    <w:p w14:paraId="2019DA4F">
      <w:pPr>
        <w:adjustRightInd w:val="0"/>
        <w:snapToGrid w:val="0"/>
        <w:spacing w:line="360" w:lineRule="auto"/>
        <w:ind w:firstLine="420" w:firstLineChars="200"/>
        <w:rPr>
          <w:rFonts w:hint="eastAsia" w:ascii="仿宋_GB2312" w:hAnsi="宋体" w:eastAsia="仿宋_GB2312" w:cs="宋体"/>
          <w:szCs w:val="22"/>
        </w:rPr>
      </w:pPr>
      <w:r>
        <w:rPr>
          <w:rFonts w:hint="eastAsia" w:ascii="仿宋_GB2312" w:hAnsi="宋体" w:eastAsia="仿宋_GB2312" w:cs="宋体"/>
          <w:szCs w:val="22"/>
        </w:rPr>
        <w:t>根据绩效评价结果，甲方按以下比例支付合同款项：</w:t>
      </w:r>
    </w:p>
    <w:p w14:paraId="755B169D">
      <w:pPr>
        <w:adjustRightInd w:val="0"/>
        <w:snapToGrid w:val="0"/>
        <w:spacing w:line="360" w:lineRule="auto"/>
        <w:ind w:firstLine="420" w:firstLineChars="200"/>
        <w:rPr>
          <w:rFonts w:hint="eastAsia" w:ascii="仿宋_GB2312" w:hAnsi="宋体" w:eastAsia="仿宋_GB2312" w:cs="宋体"/>
          <w:szCs w:val="22"/>
        </w:rPr>
      </w:pPr>
      <w:r>
        <w:rPr>
          <w:rFonts w:hint="eastAsia" w:ascii="仿宋_GB2312" w:hAnsi="宋体" w:eastAsia="仿宋_GB2312" w:cs="宋体"/>
          <w:szCs w:val="22"/>
        </w:rPr>
        <w:t>优秀（≥90分）：支付合同款项的100%；</w:t>
      </w:r>
    </w:p>
    <w:p w14:paraId="440EA7D1">
      <w:pPr>
        <w:adjustRightInd w:val="0"/>
        <w:snapToGrid w:val="0"/>
        <w:spacing w:line="360" w:lineRule="auto"/>
        <w:ind w:firstLine="420" w:firstLineChars="200"/>
        <w:rPr>
          <w:rFonts w:hint="eastAsia" w:ascii="仿宋_GB2312" w:hAnsi="宋体" w:eastAsia="仿宋_GB2312" w:cs="宋体"/>
          <w:szCs w:val="22"/>
        </w:rPr>
      </w:pPr>
      <w:r>
        <w:rPr>
          <w:rFonts w:hint="eastAsia" w:ascii="仿宋_GB2312" w:hAnsi="宋体" w:eastAsia="仿宋_GB2312" w:cs="宋体"/>
          <w:szCs w:val="22"/>
        </w:rPr>
        <w:t>良好（80-89分）：支付合同款项的90%；</w:t>
      </w:r>
    </w:p>
    <w:p w14:paraId="65F9C727">
      <w:pPr>
        <w:adjustRightInd w:val="0"/>
        <w:snapToGrid w:val="0"/>
        <w:spacing w:line="360" w:lineRule="auto"/>
        <w:ind w:firstLine="420" w:firstLineChars="200"/>
        <w:rPr>
          <w:rFonts w:hint="eastAsia" w:ascii="仿宋_GB2312" w:hAnsi="宋体" w:eastAsia="仿宋_GB2312" w:cs="宋体"/>
          <w:szCs w:val="22"/>
        </w:rPr>
      </w:pPr>
      <w:r>
        <w:rPr>
          <w:rFonts w:hint="eastAsia" w:ascii="仿宋_GB2312" w:hAnsi="宋体" w:eastAsia="仿宋_GB2312" w:cs="宋体"/>
          <w:szCs w:val="22"/>
        </w:rPr>
        <w:t>合格（60-79分）：支付合同款项的70%；</w:t>
      </w:r>
    </w:p>
    <w:p w14:paraId="475F25F3">
      <w:pPr>
        <w:adjustRightInd w:val="0"/>
        <w:snapToGrid w:val="0"/>
        <w:spacing w:line="360" w:lineRule="auto"/>
        <w:ind w:firstLine="420" w:firstLineChars="200"/>
        <w:rPr>
          <w:rFonts w:hint="eastAsia" w:ascii="仿宋_GB2312" w:hAnsi="宋体" w:eastAsia="仿宋_GB2312" w:cs="宋体"/>
          <w:szCs w:val="22"/>
        </w:rPr>
      </w:pPr>
      <w:r>
        <w:rPr>
          <w:rFonts w:hint="eastAsia" w:ascii="仿宋_GB2312" w:hAnsi="宋体" w:eastAsia="仿宋_GB2312" w:cs="宋体"/>
          <w:szCs w:val="22"/>
        </w:rPr>
        <w:t>不合格（＜60分）：不予支付合同款项。</w:t>
      </w:r>
    </w:p>
    <w:p w14:paraId="30F39C97">
      <w:pPr>
        <w:adjustRightInd w:val="0"/>
        <w:snapToGrid w:val="0"/>
        <w:spacing w:line="360" w:lineRule="auto"/>
        <w:ind w:firstLine="422" w:firstLineChars="200"/>
        <w:rPr>
          <w:rFonts w:ascii="仿宋_GB2312" w:hAnsi="仿宋" w:eastAsia="仿宋_GB2312"/>
          <w:b/>
        </w:rPr>
      </w:pPr>
      <w:r>
        <w:rPr>
          <w:rFonts w:hint="eastAsia" w:ascii="仿宋_GB2312" w:hAnsi="仿宋" w:eastAsia="仿宋_GB2312"/>
          <w:b/>
          <w:lang w:val="en-US" w:eastAsia="zh-CN"/>
        </w:rPr>
        <w:t>十</w:t>
      </w:r>
      <w:r>
        <w:rPr>
          <w:rFonts w:hint="eastAsia" w:ascii="仿宋_GB2312" w:hAnsi="仿宋" w:eastAsia="仿宋_GB2312"/>
          <w:b/>
        </w:rPr>
        <w:t>、甲方权利</w:t>
      </w:r>
      <w:r>
        <w:rPr>
          <w:rFonts w:hint="eastAsia" w:ascii="仿宋_GB2312" w:hAnsi="仿宋" w:eastAsia="仿宋_GB2312"/>
          <w:b/>
          <w:lang w:val="en-US" w:eastAsia="zh-CN"/>
        </w:rPr>
        <w:t>与</w:t>
      </w:r>
      <w:r>
        <w:rPr>
          <w:rFonts w:hint="eastAsia" w:ascii="仿宋_GB2312" w:hAnsi="仿宋" w:eastAsia="仿宋_GB2312"/>
          <w:b/>
        </w:rPr>
        <w:t>义务</w:t>
      </w:r>
    </w:p>
    <w:p w14:paraId="4F15BBE8">
      <w:pPr>
        <w:adjustRightInd w:val="0"/>
        <w:snapToGrid w:val="0"/>
        <w:spacing w:line="360" w:lineRule="auto"/>
        <w:ind w:firstLine="420" w:firstLineChars="200"/>
        <w:rPr>
          <w:rFonts w:ascii="仿宋_GB2312" w:hAnsi="宋体" w:eastAsia="仿宋_GB2312" w:cs="宋体"/>
          <w:szCs w:val="22"/>
        </w:rPr>
      </w:pPr>
      <w:r>
        <w:rPr>
          <w:rFonts w:hint="eastAsia" w:ascii="仿宋_GB2312" w:hAnsi="宋体" w:eastAsia="仿宋_GB2312" w:cs="宋体"/>
          <w:szCs w:val="22"/>
        </w:rPr>
        <w:t>1、甲方应及时向乙方提供政府采购制度和政策解释，并承担采购单位与定点采购供应商之间必要的组织、联系及协调工作。</w:t>
      </w:r>
    </w:p>
    <w:p w14:paraId="7A8F5FA1">
      <w:pPr>
        <w:adjustRightInd w:val="0"/>
        <w:snapToGrid w:val="0"/>
        <w:spacing w:line="360" w:lineRule="auto"/>
        <w:ind w:firstLine="420" w:firstLineChars="200"/>
        <w:rPr>
          <w:rFonts w:ascii="仿宋_GB2312" w:hAnsi="宋体" w:eastAsia="仿宋_GB2312" w:cs="宋体"/>
          <w:szCs w:val="22"/>
        </w:rPr>
      </w:pPr>
      <w:r>
        <w:rPr>
          <w:rFonts w:hint="eastAsia" w:ascii="仿宋_GB2312" w:hAnsi="宋体" w:eastAsia="仿宋_GB2312" w:cs="宋体"/>
          <w:szCs w:val="22"/>
        </w:rPr>
        <w:t>2、甲方有权对乙方定点采购活动、价格和承诺服务等进行监督检查。</w:t>
      </w:r>
    </w:p>
    <w:p w14:paraId="1B2A6DDA">
      <w:pPr>
        <w:adjustRightInd w:val="0"/>
        <w:snapToGrid w:val="0"/>
        <w:spacing w:line="360" w:lineRule="auto"/>
        <w:ind w:firstLine="420" w:firstLineChars="200"/>
        <w:rPr>
          <w:rFonts w:hint="eastAsia" w:ascii="仿宋_GB2312" w:hAnsi="宋体" w:eastAsia="仿宋_GB2312" w:cs="宋体"/>
          <w:szCs w:val="22"/>
        </w:rPr>
      </w:pPr>
      <w:r>
        <w:rPr>
          <w:rFonts w:hint="eastAsia" w:ascii="仿宋_GB2312" w:hAnsi="宋体" w:eastAsia="仿宋_GB2312" w:cs="宋体"/>
          <w:szCs w:val="22"/>
        </w:rPr>
        <w:t>3、对超出政府采购目录限额有关规定的，甲方有权确定采取其他采购方式。</w:t>
      </w:r>
    </w:p>
    <w:p w14:paraId="1A2E0D0A">
      <w:pPr>
        <w:adjustRightInd w:val="0"/>
        <w:snapToGrid w:val="0"/>
        <w:spacing w:line="360" w:lineRule="auto"/>
        <w:ind w:firstLine="422" w:firstLineChars="200"/>
        <w:rPr>
          <w:rFonts w:hint="eastAsia" w:ascii="仿宋_GB2312" w:hAnsi="仿宋" w:eastAsia="仿宋_GB2312"/>
          <w:b/>
        </w:rPr>
      </w:pPr>
      <w:r>
        <w:rPr>
          <w:rFonts w:hint="eastAsia" w:ascii="仿宋_GB2312" w:hAnsi="仿宋" w:eastAsia="仿宋_GB2312"/>
          <w:b/>
          <w:lang w:val="en-US" w:eastAsia="zh-CN"/>
        </w:rPr>
        <w:t>十一、</w:t>
      </w:r>
      <w:r>
        <w:rPr>
          <w:rFonts w:hint="eastAsia" w:ascii="仿宋_GB2312" w:hAnsi="仿宋" w:eastAsia="仿宋_GB2312"/>
          <w:b/>
        </w:rPr>
        <w:t>乙方权利</w:t>
      </w:r>
      <w:r>
        <w:rPr>
          <w:rFonts w:hint="eastAsia" w:ascii="仿宋_GB2312" w:hAnsi="仿宋" w:eastAsia="仿宋_GB2312"/>
          <w:b/>
          <w:lang w:val="en-US" w:eastAsia="zh-CN"/>
        </w:rPr>
        <w:t>与</w:t>
      </w:r>
      <w:r>
        <w:rPr>
          <w:rFonts w:hint="eastAsia" w:ascii="仿宋_GB2312" w:hAnsi="仿宋" w:eastAsia="仿宋_GB2312"/>
          <w:b/>
        </w:rPr>
        <w:t>义务</w:t>
      </w:r>
    </w:p>
    <w:p w14:paraId="29384065">
      <w:pPr>
        <w:adjustRightInd w:val="0"/>
        <w:snapToGrid w:val="0"/>
        <w:spacing w:line="360" w:lineRule="auto"/>
        <w:ind w:firstLine="420" w:firstLineChars="200"/>
        <w:rPr>
          <w:rFonts w:ascii="仿宋_GB2312" w:hAnsi="宋体" w:eastAsia="仿宋_GB2312" w:cs="宋体"/>
          <w:szCs w:val="22"/>
        </w:rPr>
      </w:pPr>
      <w:r>
        <w:rPr>
          <w:rFonts w:hint="eastAsia" w:ascii="仿宋_GB2312" w:hAnsi="宋体" w:eastAsia="仿宋_GB2312" w:cs="宋体"/>
          <w:szCs w:val="22"/>
        </w:rPr>
        <w:t>1、乙方应核实维修车辆车牌号码、车型、发动机号、车架号、车身颜色、送修时间、维修明细、单位负责人签字并加盖单位公章后方可维修。</w:t>
      </w:r>
    </w:p>
    <w:p w14:paraId="4FE1ECAF">
      <w:pPr>
        <w:adjustRightInd w:val="0"/>
        <w:snapToGrid w:val="0"/>
        <w:spacing w:line="360" w:lineRule="auto"/>
        <w:ind w:firstLine="420" w:firstLineChars="200"/>
        <w:rPr>
          <w:rFonts w:ascii="仿宋_GB2312" w:hAnsi="宋体" w:eastAsia="仿宋_GB2312" w:cs="宋体"/>
          <w:szCs w:val="22"/>
        </w:rPr>
      </w:pPr>
      <w:r>
        <w:rPr>
          <w:rFonts w:hint="eastAsia" w:ascii="仿宋_GB2312" w:hAnsi="宋体" w:eastAsia="仿宋_GB2312" w:cs="宋体"/>
          <w:szCs w:val="22"/>
        </w:rPr>
        <w:t>2、乙方应按国家管理机构规定的维修服务范围进行维修，并实行二十四小时维修接待及故障车辆路途施救工作。</w:t>
      </w:r>
    </w:p>
    <w:p w14:paraId="79AC2961">
      <w:pPr>
        <w:adjustRightInd w:val="0"/>
        <w:snapToGrid w:val="0"/>
        <w:spacing w:line="360" w:lineRule="auto"/>
        <w:ind w:firstLine="420" w:firstLineChars="200"/>
        <w:rPr>
          <w:rFonts w:ascii="仿宋_GB2312" w:hAnsi="宋体" w:eastAsia="仿宋_GB2312" w:cs="宋体"/>
          <w:szCs w:val="22"/>
        </w:rPr>
      </w:pPr>
      <w:r>
        <w:rPr>
          <w:rFonts w:hint="eastAsia" w:ascii="仿宋_GB2312" w:hAnsi="宋体" w:eastAsia="仿宋_GB2312" w:cs="宋体"/>
          <w:szCs w:val="22"/>
        </w:rPr>
        <w:t>3、乙方根据车辆的情况随到随修，不得无故拖延修理周期，一般故障立即排除，维修需在乙方与甲方双方约定工作日内完成。</w:t>
      </w:r>
    </w:p>
    <w:p w14:paraId="121645D9">
      <w:pPr>
        <w:adjustRightInd w:val="0"/>
        <w:snapToGrid w:val="0"/>
        <w:spacing w:line="360" w:lineRule="auto"/>
        <w:ind w:firstLine="420" w:firstLineChars="200"/>
        <w:rPr>
          <w:rFonts w:ascii="仿宋_GB2312" w:hAnsi="宋体" w:eastAsia="仿宋_GB2312" w:cs="宋体"/>
          <w:szCs w:val="22"/>
        </w:rPr>
      </w:pPr>
      <w:r>
        <w:rPr>
          <w:rFonts w:hint="eastAsia" w:ascii="仿宋_GB2312" w:hAnsi="宋体" w:eastAsia="仿宋_GB2312" w:cs="宋体"/>
          <w:szCs w:val="22"/>
        </w:rPr>
        <w:t>4、乙方在维修车辆维修期间保证车辆安全，出现被盗、损坏等损失，乙方全额赔偿。</w:t>
      </w:r>
    </w:p>
    <w:p w14:paraId="22C3AB47">
      <w:pPr>
        <w:adjustRightInd w:val="0"/>
        <w:snapToGrid w:val="0"/>
        <w:spacing w:line="360" w:lineRule="auto"/>
        <w:ind w:firstLine="420" w:firstLineChars="200"/>
        <w:rPr>
          <w:rFonts w:ascii="仿宋_GB2312" w:hAnsi="宋体" w:eastAsia="仿宋_GB2312" w:cs="宋体"/>
          <w:szCs w:val="22"/>
        </w:rPr>
      </w:pPr>
      <w:r>
        <w:rPr>
          <w:rFonts w:hint="eastAsia" w:ascii="仿宋_GB2312" w:hAnsi="宋体" w:eastAsia="仿宋_GB2312" w:cs="宋体"/>
          <w:szCs w:val="22"/>
        </w:rPr>
        <w:t>5、乙方对维修车辆建立维修档案，认真做好各项记录，保管好原始单据，做好跟踪服务工作。</w:t>
      </w:r>
    </w:p>
    <w:p w14:paraId="167AD2C6">
      <w:pPr>
        <w:adjustRightInd w:val="0"/>
        <w:snapToGrid w:val="0"/>
        <w:spacing w:line="360" w:lineRule="auto"/>
        <w:ind w:firstLine="420" w:firstLineChars="200"/>
        <w:rPr>
          <w:rFonts w:ascii="仿宋_GB2312" w:hAnsi="宋体" w:eastAsia="仿宋_GB2312" w:cs="宋体"/>
          <w:szCs w:val="22"/>
        </w:rPr>
      </w:pPr>
      <w:r>
        <w:rPr>
          <w:rFonts w:hint="eastAsia" w:ascii="仿宋_GB2312" w:hAnsi="宋体" w:eastAsia="仿宋_GB2312" w:cs="宋体"/>
          <w:szCs w:val="22"/>
        </w:rPr>
        <w:t>6、乙方应按时报送相关资料。</w:t>
      </w:r>
    </w:p>
    <w:p w14:paraId="05380E91">
      <w:pPr>
        <w:adjustRightInd w:val="0"/>
        <w:snapToGrid w:val="0"/>
        <w:spacing w:line="360" w:lineRule="auto"/>
        <w:ind w:firstLine="420" w:firstLineChars="200"/>
        <w:rPr>
          <w:rFonts w:ascii="仿宋_GB2312" w:hAnsi="宋体" w:eastAsia="仿宋_GB2312" w:cs="宋体"/>
          <w:szCs w:val="22"/>
        </w:rPr>
      </w:pPr>
      <w:r>
        <w:rPr>
          <w:rFonts w:hint="eastAsia" w:ascii="仿宋_GB2312" w:hAnsi="宋体" w:eastAsia="仿宋_GB2312" w:cs="宋体"/>
          <w:szCs w:val="22"/>
        </w:rPr>
        <w:t>7、乙方有义务将服务价格变动情况及时以书面方式告知甲方及采购单位。</w:t>
      </w:r>
    </w:p>
    <w:p w14:paraId="7FA1EA9F">
      <w:pPr>
        <w:adjustRightInd w:val="0"/>
        <w:snapToGrid w:val="0"/>
        <w:spacing w:line="360" w:lineRule="auto"/>
        <w:ind w:firstLine="420" w:firstLineChars="200"/>
        <w:rPr>
          <w:rFonts w:ascii="仿宋_GB2312" w:hAnsi="宋体" w:eastAsia="仿宋_GB2312" w:cs="宋体"/>
          <w:szCs w:val="22"/>
        </w:rPr>
      </w:pPr>
      <w:r>
        <w:rPr>
          <w:rFonts w:hint="eastAsia" w:ascii="仿宋_GB2312" w:hAnsi="宋体" w:eastAsia="仿宋_GB2312" w:cs="宋体"/>
          <w:szCs w:val="22"/>
        </w:rPr>
        <w:t>8、乙方应规范保存所有的定点采购相关资料，并积极配合、接受甲方及其他职能部门的监督检查。</w:t>
      </w:r>
    </w:p>
    <w:p w14:paraId="3F5036EC">
      <w:pPr>
        <w:adjustRightInd w:val="0"/>
        <w:snapToGrid w:val="0"/>
        <w:spacing w:line="360" w:lineRule="auto"/>
        <w:ind w:firstLine="420" w:firstLineChars="200"/>
        <w:rPr>
          <w:rFonts w:ascii="仿宋_GB2312" w:hAnsi="宋体" w:eastAsia="仿宋_GB2312" w:cs="宋体"/>
          <w:szCs w:val="22"/>
        </w:rPr>
      </w:pPr>
      <w:r>
        <w:rPr>
          <w:rFonts w:hint="eastAsia" w:ascii="仿宋_GB2312" w:hAnsi="宋体" w:eastAsia="仿宋_GB2312" w:cs="宋体"/>
          <w:szCs w:val="22"/>
        </w:rPr>
        <w:t>9、乙方有权拒绝采购单位在维修过程中的任何非法要求。</w:t>
      </w:r>
    </w:p>
    <w:p w14:paraId="377999F4">
      <w:pPr>
        <w:adjustRightInd w:val="0"/>
        <w:snapToGrid w:val="0"/>
        <w:spacing w:line="360" w:lineRule="auto"/>
        <w:ind w:firstLine="420" w:firstLineChars="200"/>
        <w:rPr>
          <w:rFonts w:ascii="仿宋_GB2312" w:hAnsi="宋体" w:eastAsia="仿宋_GB2312" w:cs="宋体"/>
          <w:szCs w:val="22"/>
        </w:rPr>
      </w:pPr>
      <w:r>
        <w:rPr>
          <w:rFonts w:hint="eastAsia" w:ascii="仿宋_GB2312" w:hAnsi="宋体" w:eastAsia="仿宋_GB2312" w:cs="宋体"/>
          <w:szCs w:val="22"/>
        </w:rPr>
        <w:t>10、乙方未经甲方认可，不得私自退出、拖延维修服务工作，须保障环卫车辆正常运转。</w:t>
      </w:r>
    </w:p>
    <w:p w14:paraId="6A4C2C5F">
      <w:pPr>
        <w:adjustRightInd w:val="0"/>
        <w:snapToGrid w:val="0"/>
        <w:spacing w:line="360" w:lineRule="auto"/>
        <w:ind w:firstLine="422" w:firstLineChars="200"/>
        <w:rPr>
          <w:rFonts w:ascii="仿宋_GB2312" w:hAnsi="仿宋" w:eastAsia="仿宋_GB2312"/>
          <w:b/>
        </w:rPr>
      </w:pPr>
      <w:bookmarkStart w:id="21" w:name="_Toc55566014"/>
      <w:bookmarkStart w:id="22" w:name="_Toc79485660"/>
      <w:bookmarkStart w:id="23" w:name="_Toc12627526"/>
      <w:r>
        <w:rPr>
          <w:rFonts w:hint="eastAsia" w:ascii="仿宋_GB2312" w:hAnsi="仿宋" w:eastAsia="仿宋_GB2312"/>
          <w:b/>
        </w:rPr>
        <w:t>十</w:t>
      </w:r>
      <w:r>
        <w:rPr>
          <w:rFonts w:hint="eastAsia" w:ascii="仿宋_GB2312" w:hAnsi="仿宋" w:eastAsia="仿宋_GB2312"/>
          <w:b/>
          <w:lang w:val="en-US" w:eastAsia="zh-CN"/>
        </w:rPr>
        <w:t>二</w:t>
      </w:r>
      <w:r>
        <w:rPr>
          <w:rFonts w:hint="eastAsia" w:ascii="仿宋_GB2312" w:hAnsi="仿宋" w:eastAsia="仿宋_GB2312"/>
          <w:b/>
        </w:rPr>
        <w:t>、违约责任</w:t>
      </w:r>
      <w:bookmarkEnd w:id="21"/>
      <w:bookmarkEnd w:id="22"/>
      <w:bookmarkEnd w:id="23"/>
    </w:p>
    <w:p w14:paraId="3C0A9519">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1、按《中华人民共和国民法典》中的相关条款执行。</w:t>
      </w:r>
    </w:p>
    <w:p w14:paraId="10B96609">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2、乙方若无《维修委托单》（首次维修保养应与车主单位负责人联系）修车（属定点维修车辆）；或无故拖延修理周期,视为乙方违约，乙方应承担由此而引起的一切后果</w:t>
      </w:r>
      <w:r>
        <w:rPr>
          <w:rFonts w:hint="eastAsia" w:ascii="仿宋_GB2312" w:hAnsi="仿宋" w:eastAsia="仿宋_GB2312"/>
          <w:lang w:eastAsia="zh-CN"/>
        </w:rPr>
        <w:t>。</w:t>
      </w:r>
      <w:r>
        <w:rPr>
          <w:rFonts w:hint="eastAsia" w:ascii="仿宋_GB2312" w:hAnsi="仿宋" w:eastAsia="仿宋_GB2312"/>
        </w:rPr>
        <w:t>凡因乙方修理质量，给车主单位造成损失的，经甲方认定后，要由乙方赔偿车主单位的全部损失。若乙方不予赔偿车主单位损失甲方有权中止本协议的履行，并视情将乙方的履约保证金部份或者全部不予退还，直至追究乙方的法律责任。</w:t>
      </w:r>
    </w:p>
    <w:p w14:paraId="36F0DF6F">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3、根据有关文件规定，乙方有下列情形之一的，取消其定点维修资格。</w:t>
      </w:r>
    </w:p>
    <w:p w14:paraId="45963195">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3-1、无正当理由拒修的；</w:t>
      </w:r>
    </w:p>
    <w:p w14:paraId="19C5E575">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3-2、保修期内因维修质量问题拒绝免费返修的；</w:t>
      </w:r>
    </w:p>
    <w:p w14:paraId="0B31D3D1">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3-3、未经甲方审核签章擅自进行结算的；</w:t>
      </w:r>
    </w:p>
    <w:p w14:paraId="5633C246">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3-4、采用不正当手段竞争的；</w:t>
      </w:r>
    </w:p>
    <w:p w14:paraId="06F253BE">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3-5、服务态度极差，造成恶劣影响的；</w:t>
      </w:r>
    </w:p>
    <w:p w14:paraId="2F470594">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3-6、同一维修项目一星期内两次以上反复维修的。</w:t>
      </w:r>
    </w:p>
    <w:p w14:paraId="1A84D7C2">
      <w:pPr>
        <w:adjustRightInd w:val="0"/>
        <w:snapToGrid w:val="0"/>
        <w:spacing w:line="360" w:lineRule="auto"/>
        <w:ind w:firstLine="422" w:firstLineChars="200"/>
        <w:rPr>
          <w:rFonts w:ascii="仿宋_GB2312" w:hAnsi="仿宋" w:eastAsia="仿宋_GB2312"/>
          <w:b/>
        </w:rPr>
      </w:pPr>
      <w:bookmarkStart w:id="24" w:name="_Toc79485661"/>
      <w:bookmarkStart w:id="25" w:name="_Toc12627527"/>
      <w:bookmarkStart w:id="26" w:name="_Toc55566015"/>
      <w:r>
        <w:rPr>
          <w:rFonts w:hint="eastAsia" w:ascii="仿宋_GB2312" w:hAnsi="仿宋" w:eastAsia="仿宋_GB2312"/>
          <w:b/>
        </w:rPr>
        <w:t>十</w:t>
      </w:r>
      <w:r>
        <w:rPr>
          <w:rFonts w:hint="eastAsia" w:ascii="仿宋_GB2312" w:hAnsi="仿宋" w:eastAsia="仿宋_GB2312"/>
          <w:b/>
          <w:lang w:val="en-US" w:eastAsia="zh-CN"/>
        </w:rPr>
        <w:t>三</w:t>
      </w:r>
      <w:r>
        <w:rPr>
          <w:rFonts w:hint="eastAsia" w:ascii="仿宋_GB2312" w:hAnsi="仿宋" w:eastAsia="仿宋_GB2312"/>
          <w:b/>
        </w:rPr>
        <w:t>、合同组成</w:t>
      </w:r>
      <w:bookmarkEnd w:id="24"/>
      <w:bookmarkEnd w:id="25"/>
      <w:bookmarkEnd w:id="26"/>
    </w:p>
    <w:p w14:paraId="6DDC9515">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1、成交通知书</w:t>
      </w:r>
    </w:p>
    <w:p w14:paraId="2293CC3E">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2、合同文件</w:t>
      </w:r>
    </w:p>
    <w:p w14:paraId="5D510BAC">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3、国家相关规范及标准</w:t>
      </w:r>
    </w:p>
    <w:p w14:paraId="2A7F63E6">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4、磋商文件</w:t>
      </w:r>
    </w:p>
    <w:p w14:paraId="6694C3F6">
      <w:pPr>
        <w:adjustRightInd w:val="0"/>
        <w:snapToGrid w:val="0"/>
        <w:spacing w:line="360" w:lineRule="auto"/>
        <w:ind w:firstLine="420" w:firstLineChars="200"/>
        <w:rPr>
          <w:rFonts w:ascii="仿宋_GB2312" w:hAnsi="仿宋" w:eastAsia="仿宋_GB2312"/>
        </w:rPr>
      </w:pPr>
      <w:r>
        <w:rPr>
          <w:rFonts w:hint="eastAsia" w:ascii="仿宋_GB2312" w:hAnsi="仿宋" w:eastAsia="仿宋_GB2312"/>
        </w:rPr>
        <w:t>5、响应文件</w:t>
      </w:r>
    </w:p>
    <w:p w14:paraId="4690DDFF">
      <w:pPr>
        <w:adjustRightInd w:val="0"/>
        <w:snapToGrid w:val="0"/>
        <w:spacing w:line="360" w:lineRule="auto"/>
        <w:ind w:firstLine="422" w:firstLineChars="200"/>
        <w:rPr>
          <w:rFonts w:ascii="仿宋_GB2312" w:hAnsi="仿宋" w:eastAsia="仿宋_GB2312"/>
          <w:b/>
        </w:rPr>
      </w:pPr>
      <w:bookmarkStart w:id="27" w:name="_Toc55566016"/>
      <w:bookmarkStart w:id="28" w:name="_Toc79485662"/>
      <w:bookmarkStart w:id="29" w:name="_Toc12627528"/>
      <w:r>
        <w:rPr>
          <w:rFonts w:hint="eastAsia" w:ascii="仿宋_GB2312" w:hAnsi="仿宋" w:eastAsia="仿宋_GB2312"/>
          <w:b/>
        </w:rPr>
        <w:t>十</w:t>
      </w:r>
      <w:r>
        <w:rPr>
          <w:rFonts w:hint="eastAsia" w:ascii="仿宋_GB2312" w:hAnsi="仿宋" w:eastAsia="仿宋_GB2312"/>
          <w:b/>
          <w:lang w:val="en-US" w:eastAsia="zh-CN"/>
        </w:rPr>
        <w:t>四</w:t>
      </w:r>
      <w:r>
        <w:rPr>
          <w:rFonts w:hint="eastAsia" w:ascii="仿宋_GB2312" w:hAnsi="仿宋" w:eastAsia="仿宋_GB2312"/>
          <w:b/>
        </w:rPr>
        <w:t>、解决争议的方法</w:t>
      </w:r>
      <w:bookmarkEnd w:id="27"/>
      <w:bookmarkEnd w:id="28"/>
      <w:bookmarkEnd w:id="29"/>
    </w:p>
    <w:p w14:paraId="73364D1B">
      <w:pPr>
        <w:autoSpaceDE w:val="0"/>
        <w:autoSpaceDN w:val="0"/>
        <w:snapToGrid w:val="0"/>
        <w:spacing w:line="360" w:lineRule="auto"/>
        <w:ind w:right="-110" w:firstLine="420" w:firstLineChars="200"/>
        <w:textAlignment w:val="bottom"/>
        <w:rPr>
          <w:rFonts w:ascii="仿宋_GB2312" w:hAnsi="仿宋" w:eastAsia="仿宋_GB2312"/>
        </w:rPr>
      </w:pPr>
      <w:r>
        <w:rPr>
          <w:rFonts w:hint="eastAsia" w:ascii="仿宋_GB2312" w:hAnsi="仿宋" w:eastAsia="仿宋_GB2312"/>
        </w:rPr>
        <w:t>凡因本合同引起的或与本合同有关的争议，双方应友好协商解决。协商不成时，双方均同意采用以下第（  ）种争议解决方式：</w:t>
      </w:r>
    </w:p>
    <w:p w14:paraId="26F720E9">
      <w:pPr>
        <w:autoSpaceDE w:val="0"/>
        <w:autoSpaceDN w:val="0"/>
        <w:snapToGrid w:val="0"/>
        <w:spacing w:line="360" w:lineRule="auto"/>
        <w:ind w:right="-110" w:firstLine="420" w:firstLineChars="200"/>
        <w:textAlignment w:val="bottom"/>
        <w:rPr>
          <w:rFonts w:ascii="仿宋_GB2312" w:hAnsi="仿宋" w:eastAsia="仿宋_GB2312"/>
        </w:rPr>
      </w:pPr>
      <w:r>
        <w:rPr>
          <w:rFonts w:hint="eastAsia" w:ascii="仿宋_GB2312" w:hAnsi="仿宋" w:eastAsia="仿宋_GB2312"/>
        </w:rPr>
        <w:t>（1）甲、乙双方均同意向（甲方所在地人民法院）提起诉讼。</w:t>
      </w:r>
    </w:p>
    <w:p w14:paraId="4B5495C4">
      <w:pPr>
        <w:autoSpaceDE w:val="0"/>
        <w:autoSpaceDN w:val="0"/>
        <w:snapToGrid w:val="0"/>
        <w:spacing w:line="360" w:lineRule="auto"/>
        <w:ind w:right="-110" w:firstLine="420" w:firstLineChars="200"/>
        <w:textAlignment w:val="bottom"/>
        <w:rPr>
          <w:rFonts w:ascii="仿宋_GB2312" w:hAnsi="仿宋" w:eastAsia="仿宋_GB2312"/>
        </w:rPr>
      </w:pPr>
      <w:r>
        <w:rPr>
          <w:rFonts w:hint="eastAsia" w:ascii="仿宋_GB2312" w:hAnsi="仿宋" w:eastAsia="仿宋_GB2312"/>
        </w:rPr>
        <w:t>（2）甲、乙双方均同意向（</w:t>
      </w:r>
      <w:r>
        <w:fldChar w:fldCharType="begin"/>
      </w:r>
      <w:r>
        <w:instrText xml:space="preserve"> HYPERLINK "http://www.baidu.com/s?wd=%E4%BB%B2%E8%A3%81%E5%A7%94%E5%91%98%E4%BC%9A&amp;tn=SE_PcZhidaonwhc_ngpagmjz&amp;rsv_dl=gh_pc_zhidao" \t "_blank" </w:instrText>
      </w:r>
      <w:r>
        <w:fldChar w:fldCharType="separate"/>
      </w:r>
      <w:r>
        <w:rPr>
          <w:rFonts w:hint="eastAsia" w:ascii="仿宋_GB2312" w:hAnsi="仿宋" w:eastAsia="仿宋_GB2312"/>
        </w:rPr>
        <w:t>仲裁委员会</w:t>
      </w:r>
      <w:r>
        <w:rPr>
          <w:rFonts w:hint="eastAsia" w:ascii="仿宋_GB2312" w:hAnsi="仿宋" w:eastAsia="仿宋_GB2312"/>
        </w:rPr>
        <w:fldChar w:fldCharType="end"/>
      </w:r>
      <w:r>
        <w:rPr>
          <w:rFonts w:hint="eastAsia" w:ascii="仿宋_GB2312" w:hAnsi="仿宋" w:eastAsia="仿宋_GB2312"/>
        </w:rPr>
        <w:t>）提起仲裁。</w:t>
      </w:r>
    </w:p>
    <w:p w14:paraId="7226A8BB">
      <w:pPr>
        <w:adjustRightInd w:val="0"/>
        <w:snapToGrid w:val="0"/>
        <w:spacing w:line="360" w:lineRule="auto"/>
        <w:ind w:firstLine="422" w:firstLineChars="200"/>
      </w:pPr>
      <w:bookmarkStart w:id="30" w:name="_Toc79485663"/>
      <w:bookmarkStart w:id="31" w:name="_Toc55566017"/>
      <w:bookmarkStart w:id="32" w:name="_Toc12627529"/>
      <w:r>
        <w:rPr>
          <w:rFonts w:hint="eastAsia" w:ascii="仿宋_GB2312" w:hAnsi="仿宋" w:eastAsia="仿宋_GB2312"/>
          <w:b/>
        </w:rPr>
        <w:t>十</w:t>
      </w:r>
      <w:r>
        <w:rPr>
          <w:rFonts w:hint="eastAsia" w:ascii="仿宋_GB2312" w:hAnsi="仿宋" w:eastAsia="仿宋_GB2312"/>
          <w:b/>
          <w:lang w:val="en-US" w:eastAsia="zh-CN"/>
        </w:rPr>
        <w:t>五</w:t>
      </w:r>
      <w:r>
        <w:rPr>
          <w:rFonts w:hint="eastAsia" w:ascii="仿宋_GB2312" w:hAnsi="仿宋" w:eastAsia="仿宋_GB2312"/>
          <w:b/>
        </w:rPr>
        <w:t>、合同生效及其它</w:t>
      </w:r>
      <w:bookmarkEnd w:id="30"/>
      <w:bookmarkEnd w:id="31"/>
      <w:bookmarkEnd w:id="32"/>
    </w:p>
    <w:p w14:paraId="5FA0DDE1">
      <w:pPr>
        <w:autoSpaceDE w:val="0"/>
        <w:autoSpaceDN w:val="0"/>
        <w:snapToGrid w:val="0"/>
        <w:spacing w:line="360" w:lineRule="auto"/>
        <w:ind w:right="-110" w:firstLine="420" w:firstLineChars="200"/>
        <w:textAlignment w:val="bottom"/>
        <w:rPr>
          <w:rFonts w:ascii="仿宋_GB2312" w:hAnsi="仿宋" w:eastAsia="仿宋_GB2312"/>
        </w:rPr>
      </w:pPr>
      <w:r>
        <w:rPr>
          <w:rFonts w:hint="eastAsia" w:ascii="仿宋_GB2312" w:hAnsi="仿宋" w:eastAsia="仿宋_GB2312"/>
        </w:rPr>
        <w:t>1、合同未尽事宜、由甲、乙双方协商，作为合同补充，与原合同具有同等法律效力。</w:t>
      </w:r>
    </w:p>
    <w:p w14:paraId="42C3169E">
      <w:pPr>
        <w:tabs>
          <w:tab w:val="left" w:pos="8391"/>
        </w:tabs>
        <w:autoSpaceDE w:val="0"/>
        <w:autoSpaceDN w:val="0"/>
        <w:snapToGrid w:val="0"/>
        <w:spacing w:line="360" w:lineRule="auto"/>
        <w:ind w:right="-69" w:firstLine="420" w:firstLineChars="200"/>
        <w:textAlignment w:val="bottom"/>
        <w:rPr>
          <w:rFonts w:ascii="仿宋_GB2312" w:hAnsi="仿宋" w:eastAsia="仿宋_GB2312"/>
        </w:rPr>
      </w:pPr>
      <w:r>
        <w:rPr>
          <w:rFonts w:hint="eastAsia" w:ascii="仿宋_GB2312" w:hAnsi="仿宋" w:eastAsia="仿宋_GB2312"/>
        </w:rPr>
        <w:t>2、本合同正本一式</w:t>
      </w:r>
      <w:r>
        <w:rPr>
          <w:rFonts w:hint="eastAsia" w:ascii="仿宋_GB2312" w:hAnsi="仿宋" w:eastAsia="仿宋_GB2312"/>
          <w:u w:val="single"/>
        </w:rPr>
        <w:t xml:space="preserve">  </w:t>
      </w:r>
      <w:r>
        <w:rPr>
          <w:rFonts w:hint="eastAsia" w:ascii="仿宋_GB2312" w:hAnsi="仿宋" w:eastAsia="仿宋_GB2312"/>
        </w:rPr>
        <w:t>份，甲方、乙方双方分别执</w:t>
      </w:r>
      <w:r>
        <w:rPr>
          <w:rFonts w:hint="eastAsia" w:ascii="仿宋_GB2312" w:hAnsi="仿宋" w:eastAsia="仿宋_GB2312"/>
          <w:u w:val="single"/>
        </w:rPr>
        <w:t xml:space="preserve">  </w:t>
      </w:r>
      <w:r>
        <w:rPr>
          <w:rFonts w:hint="eastAsia" w:ascii="仿宋_GB2312" w:hAnsi="仿宋" w:eastAsia="仿宋_GB2312"/>
        </w:rPr>
        <w:t>份，</w:t>
      </w:r>
      <w:r>
        <w:rPr>
          <w:rFonts w:hint="eastAsia" w:ascii="仿宋_GB2312" w:hAnsi="仿宋" w:eastAsia="仿宋_GB2312"/>
          <w:u w:val="single"/>
        </w:rPr>
        <w:t xml:space="preserve">   </w:t>
      </w:r>
      <w:r>
        <w:rPr>
          <w:rFonts w:hint="eastAsia" w:ascii="仿宋_GB2312" w:hAnsi="仿宋" w:eastAsia="仿宋_GB2312"/>
        </w:rPr>
        <w:t>备案</w:t>
      </w:r>
      <w:r>
        <w:rPr>
          <w:rFonts w:hint="eastAsia" w:ascii="仿宋_GB2312" w:hAnsi="仿宋" w:eastAsia="仿宋_GB2312"/>
          <w:u w:val="single"/>
        </w:rPr>
        <w:t xml:space="preserve">  </w:t>
      </w:r>
      <w:r>
        <w:rPr>
          <w:rFonts w:hint="eastAsia" w:ascii="仿宋_GB2312" w:hAnsi="仿宋" w:eastAsia="仿宋_GB2312"/>
        </w:rPr>
        <w:t>份。</w:t>
      </w:r>
    </w:p>
    <w:p w14:paraId="118D5BD8">
      <w:pPr>
        <w:tabs>
          <w:tab w:val="left" w:pos="8391"/>
        </w:tabs>
        <w:autoSpaceDE w:val="0"/>
        <w:autoSpaceDN w:val="0"/>
        <w:snapToGrid w:val="0"/>
        <w:spacing w:line="360" w:lineRule="auto"/>
        <w:ind w:right="-69" w:firstLine="420" w:firstLineChars="200"/>
        <w:textAlignment w:val="bottom"/>
        <w:rPr>
          <w:rFonts w:ascii="仿宋_GB2312" w:hAnsi="仿宋" w:eastAsia="仿宋_GB2312"/>
        </w:rPr>
      </w:pPr>
      <w:r>
        <w:rPr>
          <w:rFonts w:hint="eastAsia" w:ascii="仿宋_GB2312" w:hAnsi="仿宋" w:eastAsia="仿宋_GB2312"/>
        </w:rPr>
        <w:t>3、合同经甲乙双方盖章、签字后生效，合同签订地点为</w:t>
      </w:r>
      <w:r>
        <w:rPr>
          <w:rFonts w:hint="eastAsia" w:ascii="仿宋_GB2312" w:hAnsi="仿宋" w:eastAsia="仿宋_GB2312"/>
          <w:u w:val="single"/>
        </w:rPr>
        <w:t xml:space="preserve">   </w:t>
      </w:r>
      <w:r>
        <w:rPr>
          <w:rFonts w:hint="eastAsia" w:ascii="仿宋_GB2312" w:hAnsi="仿宋" w:eastAsia="仿宋_GB2312"/>
        </w:rPr>
        <w:t>。</w:t>
      </w:r>
    </w:p>
    <w:p w14:paraId="549B334B">
      <w:pPr>
        <w:tabs>
          <w:tab w:val="left" w:pos="8391"/>
        </w:tabs>
        <w:autoSpaceDE w:val="0"/>
        <w:autoSpaceDN w:val="0"/>
        <w:snapToGrid w:val="0"/>
        <w:spacing w:line="360" w:lineRule="auto"/>
        <w:ind w:right="-69" w:firstLine="420" w:firstLineChars="200"/>
        <w:textAlignment w:val="bottom"/>
        <w:rPr>
          <w:rFonts w:ascii="仿宋_GB2312" w:hAnsi="仿宋" w:eastAsia="仿宋_GB2312"/>
        </w:rPr>
      </w:pPr>
      <w:r>
        <w:rPr>
          <w:rFonts w:hint="eastAsia" w:ascii="仿宋_GB2312" w:hAnsi="仿宋" w:eastAsia="仿宋_GB2312"/>
        </w:rPr>
        <w:t>4、生效时间：</w:t>
      </w:r>
      <w:r>
        <w:rPr>
          <w:rFonts w:hint="eastAsia" w:ascii="仿宋_GB2312" w:hAnsi="仿宋" w:eastAsia="仿宋_GB2312"/>
          <w:u w:val="single"/>
        </w:rPr>
        <w:t xml:space="preserve">  </w:t>
      </w:r>
      <w:r>
        <w:rPr>
          <w:rFonts w:hint="eastAsia" w:ascii="仿宋_GB2312" w:hAnsi="仿宋" w:eastAsia="仿宋_GB2312"/>
        </w:rPr>
        <w:t>年</w:t>
      </w:r>
      <w:r>
        <w:rPr>
          <w:rFonts w:hint="eastAsia" w:ascii="仿宋_GB2312" w:hAnsi="仿宋" w:eastAsia="仿宋_GB2312"/>
          <w:u w:val="single"/>
        </w:rPr>
        <w:t xml:space="preserve">  </w:t>
      </w:r>
      <w:r>
        <w:rPr>
          <w:rFonts w:hint="eastAsia" w:ascii="仿宋_GB2312" w:hAnsi="仿宋" w:eastAsia="仿宋_GB2312"/>
        </w:rPr>
        <w:t>月</w:t>
      </w:r>
      <w:r>
        <w:rPr>
          <w:rFonts w:hint="eastAsia" w:ascii="仿宋_GB2312" w:hAnsi="仿宋" w:eastAsia="仿宋_GB2312"/>
          <w:u w:val="single"/>
        </w:rPr>
        <w:t xml:space="preserve">  </w:t>
      </w:r>
      <w:r>
        <w:rPr>
          <w:rFonts w:hint="eastAsia" w:ascii="仿宋_GB2312" w:hAnsi="仿宋" w:eastAsia="仿宋_GB2312"/>
        </w:rPr>
        <w:t>日</w:t>
      </w:r>
    </w:p>
    <w:tbl>
      <w:tblPr>
        <w:tblStyle w:val="3"/>
        <w:tblpPr w:leftFromText="180" w:rightFromText="180" w:vertAnchor="text" w:horzAnchor="margin" w:tblpXSpec="center" w:tblpY="368"/>
        <w:tblW w:w="8046" w:type="dxa"/>
        <w:tblInd w:w="0" w:type="dxa"/>
        <w:tblLayout w:type="fixed"/>
        <w:tblCellMar>
          <w:top w:w="0" w:type="dxa"/>
          <w:left w:w="108" w:type="dxa"/>
          <w:bottom w:w="0" w:type="dxa"/>
          <w:right w:w="108" w:type="dxa"/>
        </w:tblCellMar>
      </w:tblPr>
      <w:tblGrid>
        <w:gridCol w:w="4643"/>
        <w:gridCol w:w="3403"/>
      </w:tblGrid>
      <w:tr w14:paraId="0C9016FB">
        <w:tblPrEx>
          <w:tblCellMar>
            <w:top w:w="0" w:type="dxa"/>
            <w:left w:w="108" w:type="dxa"/>
            <w:bottom w:w="0" w:type="dxa"/>
            <w:right w:w="108" w:type="dxa"/>
          </w:tblCellMar>
        </w:tblPrEx>
        <w:tc>
          <w:tcPr>
            <w:tcW w:w="4643" w:type="dxa"/>
          </w:tcPr>
          <w:p w14:paraId="6A1A0356">
            <w:pPr>
              <w:keepNext w:val="0"/>
              <w:keepLines w:val="0"/>
              <w:suppressLineNumbers w:val="0"/>
              <w:autoSpaceDE w:val="0"/>
              <w:autoSpaceDN w:val="0"/>
              <w:snapToGrid w:val="0"/>
              <w:spacing w:before="0" w:beforeAutospacing="0" w:after="0" w:afterAutospacing="0" w:line="360" w:lineRule="auto"/>
              <w:ind w:left="0" w:right="-154"/>
              <w:textAlignment w:val="bottom"/>
              <w:rPr>
                <w:rFonts w:hint="default" w:ascii="仿宋_GB2312" w:hAnsi="仿宋" w:eastAsia="仿宋_GB2312"/>
              </w:rPr>
            </w:pPr>
            <w:r>
              <w:rPr>
                <w:rFonts w:hint="eastAsia" w:ascii="仿宋_GB2312" w:hAnsi="仿宋" w:eastAsia="仿宋_GB2312"/>
              </w:rPr>
              <w:t>甲方名称</w:t>
            </w:r>
            <w:r>
              <w:rPr>
                <w:rFonts w:hint="eastAsia" w:ascii="仿宋_GB2312" w:hAnsi="仿宋" w:eastAsia="仿宋_GB2312"/>
                <w:spacing w:val="-20"/>
              </w:rPr>
              <w:t>（盖章）</w:t>
            </w:r>
            <w:r>
              <w:rPr>
                <w:rFonts w:hint="eastAsia" w:ascii="仿宋_GB2312" w:hAnsi="仿宋" w:eastAsia="仿宋_GB2312"/>
              </w:rPr>
              <w:t>:</w:t>
            </w:r>
          </w:p>
          <w:p w14:paraId="30F1F4BE">
            <w:pPr>
              <w:keepNext w:val="0"/>
              <w:keepLines w:val="0"/>
              <w:suppressLineNumbers w:val="0"/>
              <w:autoSpaceDE w:val="0"/>
              <w:autoSpaceDN w:val="0"/>
              <w:snapToGrid w:val="0"/>
              <w:spacing w:before="0" w:beforeAutospacing="0" w:after="0" w:afterAutospacing="0" w:line="360" w:lineRule="auto"/>
              <w:ind w:left="0" w:right="-154"/>
              <w:textAlignment w:val="bottom"/>
              <w:rPr>
                <w:rFonts w:hint="default" w:ascii="仿宋_GB2312" w:hAnsi="仿宋" w:eastAsia="仿宋_GB2312"/>
              </w:rPr>
            </w:pPr>
            <w:r>
              <w:rPr>
                <w:rFonts w:hint="eastAsia" w:ascii="仿宋_GB2312" w:hAnsi="仿宋" w:eastAsia="仿宋_GB2312"/>
              </w:rPr>
              <w:t>地址：</w:t>
            </w:r>
          </w:p>
          <w:p w14:paraId="232B0296">
            <w:pPr>
              <w:keepNext w:val="0"/>
              <w:keepLines w:val="0"/>
              <w:suppressLineNumbers w:val="0"/>
              <w:autoSpaceDE w:val="0"/>
              <w:autoSpaceDN w:val="0"/>
              <w:snapToGrid w:val="0"/>
              <w:spacing w:before="0" w:beforeAutospacing="0" w:after="0" w:afterAutospacing="0" w:line="360" w:lineRule="auto"/>
              <w:ind w:left="0" w:right="-154"/>
              <w:textAlignment w:val="bottom"/>
              <w:rPr>
                <w:rFonts w:hint="default" w:ascii="仿宋_GB2312" w:hAnsi="仿宋" w:eastAsia="仿宋_GB2312"/>
              </w:rPr>
            </w:pPr>
            <w:r>
              <w:rPr>
                <w:rFonts w:hint="eastAsia" w:ascii="仿宋_GB2312" w:hAnsi="仿宋" w:eastAsia="仿宋_GB2312"/>
              </w:rPr>
              <w:t>代表人（签字）：</w:t>
            </w:r>
          </w:p>
          <w:p w14:paraId="598DA343">
            <w:pPr>
              <w:keepNext w:val="0"/>
              <w:keepLines w:val="0"/>
              <w:suppressLineNumbers w:val="0"/>
              <w:autoSpaceDE w:val="0"/>
              <w:autoSpaceDN w:val="0"/>
              <w:snapToGrid w:val="0"/>
              <w:spacing w:before="0" w:beforeAutospacing="0" w:after="0" w:afterAutospacing="0" w:line="360" w:lineRule="auto"/>
              <w:ind w:left="0" w:right="-154"/>
              <w:textAlignment w:val="bottom"/>
              <w:rPr>
                <w:rFonts w:hint="default" w:ascii="仿宋_GB2312" w:hAnsi="仿宋" w:eastAsia="仿宋_GB2312"/>
              </w:rPr>
            </w:pPr>
            <w:r>
              <w:rPr>
                <w:rFonts w:hint="eastAsia" w:ascii="仿宋_GB2312" w:hAnsi="仿宋" w:eastAsia="仿宋_GB2312"/>
              </w:rPr>
              <w:t>电话：</w:t>
            </w:r>
          </w:p>
          <w:p w14:paraId="7CA4432A">
            <w:pPr>
              <w:keepNext w:val="0"/>
              <w:keepLines w:val="0"/>
              <w:suppressLineNumbers w:val="0"/>
              <w:autoSpaceDE w:val="0"/>
              <w:autoSpaceDN w:val="0"/>
              <w:snapToGrid w:val="0"/>
              <w:spacing w:before="0" w:beforeAutospacing="0" w:after="0" w:afterAutospacing="0" w:line="360" w:lineRule="auto"/>
              <w:ind w:left="0" w:right="-154"/>
              <w:textAlignment w:val="bottom"/>
              <w:rPr>
                <w:rFonts w:hint="default" w:ascii="仿宋_GB2312" w:hAnsi="仿宋" w:eastAsia="仿宋_GB2312"/>
              </w:rPr>
            </w:pPr>
            <w:r>
              <w:rPr>
                <w:rFonts w:hint="eastAsia" w:ascii="仿宋_GB2312" w:hAnsi="仿宋" w:eastAsia="仿宋_GB2312"/>
              </w:rPr>
              <w:t>开户银行：</w:t>
            </w:r>
          </w:p>
          <w:p w14:paraId="24F6E2D1">
            <w:pPr>
              <w:keepNext w:val="0"/>
              <w:keepLines w:val="0"/>
              <w:suppressLineNumbers w:val="0"/>
              <w:autoSpaceDE w:val="0"/>
              <w:autoSpaceDN w:val="0"/>
              <w:snapToGrid w:val="0"/>
              <w:spacing w:before="0" w:beforeAutospacing="0" w:after="0" w:afterAutospacing="0" w:line="360" w:lineRule="auto"/>
              <w:ind w:left="0" w:right="-154"/>
              <w:textAlignment w:val="bottom"/>
              <w:rPr>
                <w:rFonts w:hint="default" w:ascii="仿宋_GB2312" w:hAnsi="仿宋" w:eastAsia="仿宋_GB2312"/>
              </w:rPr>
            </w:pPr>
            <w:r>
              <w:rPr>
                <w:rFonts w:hint="eastAsia" w:ascii="仿宋_GB2312" w:hAnsi="仿宋" w:eastAsia="仿宋_GB2312"/>
              </w:rPr>
              <w:t>帐号：</w:t>
            </w:r>
          </w:p>
        </w:tc>
        <w:tc>
          <w:tcPr>
            <w:tcW w:w="3403" w:type="dxa"/>
          </w:tcPr>
          <w:p w14:paraId="66575DDE">
            <w:pPr>
              <w:keepNext w:val="0"/>
              <w:keepLines w:val="0"/>
              <w:suppressLineNumbers w:val="0"/>
              <w:autoSpaceDE w:val="0"/>
              <w:autoSpaceDN w:val="0"/>
              <w:snapToGrid w:val="0"/>
              <w:spacing w:before="0" w:beforeAutospacing="0" w:after="0" w:afterAutospacing="0" w:line="360" w:lineRule="auto"/>
              <w:ind w:left="0" w:right="-154"/>
              <w:textAlignment w:val="bottom"/>
              <w:rPr>
                <w:rFonts w:hint="default" w:ascii="仿宋_GB2312" w:hAnsi="仿宋" w:eastAsia="仿宋_GB2312"/>
              </w:rPr>
            </w:pPr>
            <w:r>
              <w:rPr>
                <w:rFonts w:hint="eastAsia" w:ascii="仿宋_GB2312" w:hAnsi="仿宋" w:eastAsia="仿宋_GB2312"/>
              </w:rPr>
              <w:t>乙方名称</w:t>
            </w:r>
            <w:r>
              <w:rPr>
                <w:rFonts w:hint="eastAsia" w:ascii="仿宋_GB2312" w:hAnsi="仿宋" w:eastAsia="仿宋_GB2312"/>
                <w:spacing w:val="-20"/>
              </w:rPr>
              <w:t>（盖章）</w:t>
            </w:r>
            <w:r>
              <w:rPr>
                <w:rFonts w:hint="eastAsia" w:ascii="仿宋_GB2312" w:hAnsi="仿宋" w:eastAsia="仿宋_GB2312"/>
              </w:rPr>
              <w:t>:</w:t>
            </w:r>
          </w:p>
          <w:p w14:paraId="41E14512">
            <w:pPr>
              <w:keepNext w:val="0"/>
              <w:keepLines w:val="0"/>
              <w:suppressLineNumbers w:val="0"/>
              <w:autoSpaceDE w:val="0"/>
              <w:autoSpaceDN w:val="0"/>
              <w:snapToGrid w:val="0"/>
              <w:spacing w:before="0" w:beforeAutospacing="0" w:after="0" w:afterAutospacing="0" w:line="360" w:lineRule="auto"/>
              <w:ind w:left="0" w:right="-154"/>
              <w:textAlignment w:val="bottom"/>
              <w:rPr>
                <w:rFonts w:hint="default" w:ascii="仿宋_GB2312" w:hAnsi="仿宋" w:eastAsia="仿宋_GB2312"/>
              </w:rPr>
            </w:pPr>
            <w:r>
              <w:rPr>
                <w:rFonts w:hint="eastAsia" w:ascii="仿宋_GB2312" w:hAnsi="仿宋" w:eastAsia="仿宋_GB2312"/>
              </w:rPr>
              <w:t>地址：</w:t>
            </w:r>
          </w:p>
          <w:p w14:paraId="0FB38B53">
            <w:pPr>
              <w:keepNext w:val="0"/>
              <w:keepLines w:val="0"/>
              <w:suppressLineNumbers w:val="0"/>
              <w:autoSpaceDE w:val="0"/>
              <w:autoSpaceDN w:val="0"/>
              <w:snapToGrid w:val="0"/>
              <w:spacing w:before="0" w:beforeAutospacing="0" w:after="0" w:afterAutospacing="0" w:line="360" w:lineRule="auto"/>
              <w:ind w:left="0" w:right="-154"/>
              <w:textAlignment w:val="bottom"/>
              <w:rPr>
                <w:rFonts w:hint="default" w:ascii="仿宋_GB2312" w:hAnsi="仿宋" w:eastAsia="仿宋_GB2312"/>
              </w:rPr>
            </w:pPr>
            <w:r>
              <w:rPr>
                <w:rFonts w:hint="eastAsia" w:ascii="仿宋_GB2312" w:hAnsi="仿宋" w:eastAsia="仿宋_GB2312"/>
              </w:rPr>
              <w:t>代表人（签字）：</w:t>
            </w:r>
          </w:p>
          <w:p w14:paraId="195232C8">
            <w:pPr>
              <w:keepNext w:val="0"/>
              <w:keepLines w:val="0"/>
              <w:suppressLineNumbers w:val="0"/>
              <w:autoSpaceDE w:val="0"/>
              <w:autoSpaceDN w:val="0"/>
              <w:snapToGrid w:val="0"/>
              <w:spacing w:before="0" w:beforeAutospacing="0" w:after="0" w:afterAutospacing="0" w:line="360" w:lineRule="auto"/>
              <w:ind w:left="0" w:right="-154"/>
              <w:textAlignment w:val="bottom"/>
              <w:rPr>
                <w:rFonts w:hint="default" w:ascii="仿宋_GB2312" w:hAnsi="仿宋" w:eastAsia="仿宋_GB2312"/>
              </w:rPr>
            </w:pPr>
            <w:r>
              <w:rPr>
                <w:rFonts w:hint="eastAsia" w:ascii="仿宋_GB2312" w:hAnsi="仿宋" w:eastAsia="仿宋_GB2312"/>
              </w:rPr>
              <w:t>电话：</w:t>
            </w:r>
          </w:p>
          <w:p w14:paraId="39D6D3E1">
            <w:pPr>
              <w:keepNext w:val="0"/>
              <w:keepLines w:val="0"/>
              <w:suppressLineNumbers w:val="0"/>
              <w:autoSpaceDE w:val="0"/>
              <w:autoSpaceDN w:val="0"/>
              <w:snapToGrid w:val="0"/>
              <w:spacing w:before="0" w:beforeAutospacing="0" w:after="0" w:afterAutospacing="0" w:line="360" w:lineRule="auto"/>
              <w:ind w:left="0" w:right="-154"/>
              <w:textAlignment w:val="bottom"/>
              <w:rPr>
                <w:rFonts w:hint="default" w:ascii="仿宋_GB2312" w:hAnsi="仿宋" w:eastAsia="仿宋_GB2312"/>
              </w:rPr>
            </w:pPr>
            <w:r>
              <w:rPr>
                <w:rFonts w:hint="eastAsia" w:ascii="仿宋_GB2312" w:hAnsi="仿宋" w:eastAsia="仿宋_GB2312"/>
              </w:rPr>
              <w:t>开户银行：</w:t>
            </w:r>
          </w:p>
          <w:p w14:paraId="2C338BCA">
            <w:pPr>
              <w:keepNext w:val="0"/>
              <w:keepLines w:val="0"/>
              <w:suppressLineNumbers w:val="0"/>
              <w:autoSpaceDE w:val="0"/>
              <w:autoSpaceDN w:val="0"/>
              <w:snapToGrid w:val="0"/>
              <w:spacing w:before="0" w:beforeAutospacing="0" w:after="0" w:afterAutospacing="0" w:line="360" w:lineRule="auto"/>
              <w:ind w:left="0" w:right="-154"/>
              <w:textAlignment w:val="bottom"/>
              <w:rPr>
                <w:rFonts w:hint="default" w:ascii="仿宋_GB2312" w:hAnsi="仿宋" w:eastAsia="仿宋_GB2312"/>
              </w:rPr>
            </w:pPr>
            <w:r>
              <w:rPr>
                <w:rFonts w:hint="eastAsia" w:ascii="仿宋_GB2312" w:hAnsi="仿宋" w:eastAsia="仿宋_GB2312"/>
              </w:rPr>
              <w:t>帐号：</w:t>
            </w:r>
          </w:p>
        </w:tc>
      </w:tr>
    </w:tbl>
    <w:p w14:paraId="02606863">
      <w:bookmarkStart w:id="33" w:name="_GoBack"/>
      <w:bookmarkEnd w:id="3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E761E3"/>
    <w:rsid w:val="47E761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unhideWhenUsed/>
    <w:qFormat/>
    <w:uiPriority w:val="99"/>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2026-07-31T07:43:00Z</dcterms:created>
  <dc:creator>YY</dc:creator>
  <cp:lastModifiedBy>YY</cp:lastModifiedBy>
  <dcterms:modified xsi:type="dcterms:W3CDTF">2026-07-31T07:43:30Z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D03D7F3CDF2641BC8BF3EA29AEB61E1E_11</vt:lpwstr>
  </property>
  <property fmtid="{D5CDD505-2E9C-101B-9397-08002B2CF9AE}" pid="4" name="KSOTemplateDocerSaveRecord">
    <vt:lpwstr>eyJoZGlkIjoiM2ZkYjQzNTI4OWMzMmU5NWFlMmU0MzVmNTg3MjlmMmMiLCJ1c2VySWQiOiIxNzUzNTMzNTQ0In0=</vt:lpwstr>
  </property>
</Properties>
</file>