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7E4CC8B">
      <w:pPr>
        <w:shd w:val="clear"/>
        <w:autoSpaceDE w:val="0"/>
        <w:autoSpaceDN w:val="0"/>
        <w:adjustRightInd w:val="0"/>
        <w:snapToGrid w:val="0"/>
        <w:spacing w:line="360" w:lineRule="auto"/>
        <w:jc w:val="center"/>
        <w:outlineLvl w:val="0"/>
        <w:rPr>
          <w:rFonts w:hint="eastAsia" w:ascii="黑体" w:hAnsi="黑体" w:eastAsia="黑体" w:cs="黑体"/>
          <w:bCs/>
          <w:sz w:val="36"/>
          <w:szCs w:val="36"/>
        </w:rPr>
      </w:pPr>
      <w:r>
        <w:rPr>
          <w:rFonts w:hint="eastAsia" w:ascii="黑体" w:hAnsi="黑体" w:eastAsia="黑体" w:cs="黑体"/>
          <w:bCs/>
          <w:sz w:val="36"/>
          <w:szCs w:val="36"/>
        </w:rPr>
        <w:t>拟签订采购合同文本</w:t>
      </w:r>
    </w:p>
    <w:p w14:paraId="3217B2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2" w:firstLineChars="200"/>
        <w:jc w:val="left"/>
        <w:textAlignment w:val="auto"/>
        <w:outlineLvl w:val="0"/>
        <w:rPr>
          <w:rFonts w:ascii="仿宋" w:hAnsi="仿宋" w:eastAsia="仿宋" w:cs="仿宋"/>
          <w:b/>
          <w:bCs w:val="0"/>
          <w:sz w:val="22"/>
          <w:szCs w:val="22"/>
        </w:rPr>
      </w:pPr>
      <w:r>
        <w:rPr>
          <w:rFonts w:hint="eastAsia" w:ascii="仿宋" w:hAnsi="仿宋" w:eastAsia="仿宋" w:cs="仿宋"/>
          <w:b/>
          <w:bCs w:val="0"/>
          <w:sz w:val="22"/>
          <w:szCs w:val="22"/>
        </w:rPr>
        <w:t>（注：本合同作为合同的基本格式，签订合同时合同的相关条款及内容</w:t>
      </w:r>
      <w:r>
        <w:rPr>
          <w:rFonts w:hint="eastAsia" w:ascii="仿宋" w:hAnsi="仿宋" w:eastAsia="仿宋" w:cs="仿宋"/>
          <w:b/>
          <w:bCs w:val="0"/>
          <w:sz w:val="22"/>
          <w:szCs w:val="22"/>
          <w:lang w:val="en-US" w:eastAsia="zh-CN"/>
        </w:rPr>
        <w:t>具体以甲方要求为准</w:t>
      </w:r>
      <w:r>
        <w:rPr>
          <w:rFonts w:hint="eastAsia" w:ascii="仿宋" w:hAnsi="仿宋" w:eastAsia="仿宋" w:cs="仿宋"/>
          <w:b/>
          <w:bCs w:val="0"/>
          <w:sz w:val="22"/>
          <w:szCs w:val="22"/>
        </w:rPr>
        <w:t>）</w:t>
      </w:r>
    </w:p>
    <w:p w14:paraId="1DA507D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合同编号： </w:t>
      </w:r>
    </w:p>
    <w:p w14:paraId="3CB48A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签订地点： </w:t>
      </w:r>
    </w:p>
    <w:p w14:paraId="4C8FAB5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签订时间：</w:t>
      </w:r>
    </w:p>
    <w:p w14:paraId="26A50CB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采购人（甲方）：</w:t>
      </w:r>
    </w:p>
    <w:p w14:paraId="0B119F3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lang w:eastAsia="zh-CN"/>
        </w:rPr>
        <w:t>投标人</w:t>
      </w:r>
      <w:r>
        <w:rPr>
          <w:rFonts w:hint="eastAsia" w:ascii="仿宋" w:hAnsi="仿宋" w:eastAsia="仿宋" w:cs="仿宋"/>
          <w:bCs/>
          <w:sz w:val="22"/>
          <w:szCs w:val="22"/>
        </w:rPr>
        <w:t>（乙方）：</w:t>
      </w:r>
    </w:p>
    <w:p w14:paraId="514FDB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根据《中华人民共和国政府采购法》及实施条例、《中华人民共和国民法典》和</w:t>
      </w:r>
      <w:r>
        <w:rPr>
          <w:rFonts w:hint="eastAsia" w:ascii="仿宋" w:hAnsi="仿宋" w:eastAsia="仿宋" w:cs="仿宋"/>
          <w:bCs/>
          <w:sz w:val="22"/>
          <w:szCs w:val="22"/>
          <w:lang w:eastAsia="zh-CN"/>
        </w:rPr>
        <w:t>汉中市宁强县学校食堂大宗食材（肉）配送服务采购项目采购包</w:t>
      </w:r>
      <w:r>
        <w:rPr>
          <w:rFonts w:hint="eastAsia" w:ascii="仿宋" w:hAnsi="仿宋" w:eastAsia="仿宋" w:cs="仿宋"/>
          <w:bCs/>
          <w:sz w:val="22"/>
          <w:szCs w:val="22"/>
          <w:u w:val="single"/>
          <w:lang w:val="en-US" w:eastAsia="zh-CN"/>
        </w:rPr>
        <w:t xml:space="preserve">    </w:t>
      </w:r>
      <w:r>
        <w:rPr>
          <w:rFonts w:hint="eastAsia" w:ascii="仿宋" w:hAnsi="仿宋" w:eastAsia="仿宋" w:cs="仿宋"/>
          <w:bCs/>
          <w:sz w:val="22"/>
          <w:szCs w:val="22"/>
        </w:rPr>
        <w:t>（采购项目编号：HZ-J2026050C）的</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等有关规定，为确保甲方采购项目的顺利实施，甲、乙双方在平等自愿原则下签订本合同，并共同遵守如下条款：</w:t>
      </w:r>
    </w:p>
    <w:p w14:paraId="0D47295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第一条 项目基本情况</w:t>
      </w:r>
    </w:p>
    <w:p w14:paraId="565BB84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第二条 合同期限</w:t>
      </w:r>
    </w:p>
    <w:p w14:paraId="02FFAE2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0" w:name="_Toc225670751"/>
      <w:bookmarkStart w:id="1" w:name="_Toc185395249"/>
      <w:bookmarkStart w:id="2" w:name="_Toc239568418"/>
      <w:bookmarkStart w:id="3" w:name="_Toc241833903"/>
      <w:bookmarkStart w:id="4" w:name="_Toc211911348"/>
      <w:bookmarkStart w:id="5" w:name="_Toc247334841"/>
      <w:bookmarkStart w:id="6" w:name="_Toc237145406"/>
      <w:bookmarkStart w:id="7" w:name="_Toc212019594"/>
      <w:bookmarkStart w:id="8" w:name="_Toc232492928"/>
      <w:bookmarkStart w:id="9" w:name="_Toc225244852"/>
      <w:bookmarkStart w:id="10" w:name="_Toc282696226"/>
      <w:bookmarkStart w:id="11" w:name="_Toc251768862"/>
      <w:bookmarkStart w:id="12" w:name="_Toc286993786"/>
      <w:bookmarkStart w:id="13" w:name="_Toc239233914"/>
      <w:bookmarkStart w:id="14" w:name="_Toc225654644"/>
      <w:bookmarkStart w:id="15" w:name="_Toc283019214"/>
      <w:bookmarkStart w:id="16" w:name="_Toc211854449"/>
      <w:bookmarkStart w:id="17" w:name="_Toc238984975"/>
      <w:r>
        <w:rPr>
          <w:rFonts w:hint="eastAsia" w:ascii="仿宋" w:hAnsi="仿宋" w:eastAsia="仿宋" w:cs="仿宋"/>
          <w:bCs/>
          <w:sz w:val="22"/>
          <w:szCs w:val="22"/>
        </w:rPr>
        <w:t>第三条 服务内容与质量标准</w:t>
      </w:r>
    </w:p>
    <w:p w14:paraId="00E019BF">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本合同所提供的服务项目内容：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（与</w:t>
      </w:r>
      <w:r>
        <w:rPr>
          <w:rFonts w:hint="eastAsia" w:ascii="仿宋" w:hAnsi="仿宋" w:eastAsia="仿宋" w:cs="仿宋"/>
          <w:bCs/>
          <w:sz w:val="22"/>
          <w:szCs w:val="22"/>
          <w:lang w:eastAsia="zh-CN"/>
        </w:rPr>
        <w:t>投标文件</w:t>
      </w:r>
      <w:r>
        <w:rPr>
          <w:rFonts w:hint="eastAsia" w:ascii="仿宋" w:hAnsi="仿宋" w:eastAsia="仿宋" w:cs="仿宋"/>
          <w:bCs/>
          <w:sz w:val="22"/>
          <w:szCs w:val="22"/>
        </w:rPr>
        <w:t>中服务一致）。</w:t>
      </w:r>
    </w:p>
    <w:p w14:paraId="5C39D0C7">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1、</w:t>
      </w:r>
      <w:r>
        <w:rPr>
          <w:rFonts w:hint="eastAsia" w:ascii="仿宋" w:hAnsi="仿宋" w:eastAsia="仿宋" w:cs="仿宋"/>
          <w:bCs/>
          <w:sz w:val="22"/>
          <w:szCs w:val="22"/>
          <w:lang w:eastAsia="zh-CN"/>
        </w:rPr>
        <w:t>服务期限</w:t>
      </w:r>
      <w:r>
        <w:rPr>
          <w:rFonts w:hint="eastAsia" w:ascii="仿宋" w:hAnsi="仿宋" w:eastAsia="仿宋" w:cs="仿宋"/>
          <w:bCs/>
          <w:sz w:val="22"/>
          <w:szCs w:val="22"/>
        </w:rPr>
        <w:t>：</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31D9F5A">
      <w:pPr>
        <w:keepNext w:val="0"/>
        <w:keepLines w:val="0"/>
        <w:pageBreakBefore w:val="0"/>
        <w:widowControl w:val="0"/>
        <w:shd w:val="clear"/>
        <w:kinsoku/>
        <w:wordWrap/>
        <w:overflowPunct/>
        <w:topLinePunct w:val="0"/>
        <w:bidi w:val="0"/>
        <w:snapToGrid w:val="0"/>
        <w:spacing w:line="312" w:lineRule="auto"/>
        <w:ind w:firstLine="482"/>
        <w:textAlignment w:val="auto"/>
        <w:rPr>
          <w:rFonts w:ascii="仿宋" w:hAnsi="仿宋" w:eastAsia="仿宋" w:cs="仿宋"/>
          <w:bCs/>
          <w:sz w:val="22"/>
          <w:szCs w:val="22"/>
        </w:rPr>
      </w:pPr>
      <w:r>
        <w:rPr>
          <w:rFonts w:hint="eastAsia" w:ascii="仿宋" w:hAnsi="仿宋" w:eastAsia="仿宋" w:cs="仿宋"/>
          <w:bCs/>
          <w:sz w:val="22"/>
          <w:szCs w:val="22"/>
        </w:rPr>
        <w:t>2、服务地点：</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w:t>
      </w:r>
    </w:p>
    <w:p w14:paraId="18D65F4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4442EAD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第四条 服务费用</w:t>
      </w:r>
    </w:p>
    <w:p w14:paraId="6305C71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1、服务总费用为人民币大写：</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元， RMB¥</w:t>
      </w:r>
      <w:r>
        <w:rPr>
          <w:rFonts w:hint="eastAsia" w:ascii="仿宋" w:hAnsi="仿宋" w:eastAsia="仿宋" w:cs="仿宋"/>
          <w:bCs/>
          <w:sz w:val="22"/>
          <w:szCs w:val="22"/>
          <w:u w:val="single"/>
        </w:rPr>
        <w:t xml:space="preserve">       </w:t>
      </w:r>
      <w:r>
        <w:rPr>
          <w:rFonts w:hint="eastAsia" w:ascii="仿宋" w:hAnsi="仿宋" w:eastAsia="仿宋" w:cs="仿宋"/>
          <w:bCs/>
          <w:sz w:val="22"/>
          <w:szCs w:val="22"/>
        </w:rPr>
        <w:t xml:space="preserve"> 。</w:t>
      </w:r>
    </w:p>
    <w:p w14:paraId="324454E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2、本项目服务费用由以下组成：</w:t>
      </w:r>
    </w:p>
    <w:p w14:paraId="740A739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（1）XX万元；</w:t>
      </w:r>
    </w:p>
    <w:p w14:paraId="254791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（2）XX万元；</w:t>
      </w:r>
    </w:p>
    <w:p w14:paraId="49E0F28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w:t>
      </w:r>
    </w:p>
    <w:p w14:paraId="778880D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3、本合同执行期间服务总费用不变，甲方无须另向乙方支付本合同规定之外的其他任何费用。</w:t>
      </w:r>
    </w:p>
    <w:p w14:paraId="1CAA0B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rPr>
      </w:pPr>
      <w:r>
        <w:rPr>
          <w:rFonts w:hint="eastAsia" w:ascii="仿宋" w:hAnsi="仿宋" w:eastAsia="仿宋" w:cs="仿宋"/>
          <w:bCs/>
          <w:sz w:val="22"/>
          <w:szCs w:val="22"/>
        </w:rPr>
        <w:t>第五条  服务费支付方式</w:t>
      </w:r>
    </w:p>
    <w:p w14:paraId="13CFC275">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val="en-US" w:eastAsia="zh-CN"/>
        </w:rPr>
      </w:pPr>
      <w:r>
        <w:rPr>
          <w:rFonts w:hint="eastAsia" w:ascii="仿宋" w:hAnsi="仿宋" w:eastAsia="仿宋" w:cs="仿宋"/>
          <w:bCs/>
          <w:sz w:val="22"/>
          <w:szCs w:val="22"/>
          <w:lang w:val="en-US" w:eastAsia="zh-CN"/>
        </w:rPr>
        <w:t>按照招标文件执行。</w:t>
      </w:r>
    </w:p>
    <w:p w14:paraId="16AE04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第六条   知识产权</w:t>
      </w:r>
    </w:p>
    <w:p w14:paraId="57666CE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乙方应保证所提供的服务或其任何一部分均不会侵犯任何第三方的专利权、商标权或著作权。</w:t>
      </w:r>
    </w:p>
    <w:p w14:paraId="486D99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第七条  无产权瑕疵条款</w:t>
      </w:r>
    </w:p>
    <w:p w14:paraId="4D3DED9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乙方保证所提供的服务的所有权完全属于乙方且无任何抵押、查封等产权瑕疵。如有产权瑕疵的，视为乙方违约。乙方应负担由此而产生的一切损失。</w:t>
      </w:r>
    </w:p>
    <w:p w14:paraId="217B5A2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第八条  甲方的权利和义务</w:t>
      </w:r>
    </w:p>
    <w:p w14:paraId="653BBA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1、甲方有权对合同规定范围内乙方的服务行为进行监督和检查，拥有监管权。有权定期核对乙方提供服务所配备的人员数量。对甲方认为不合理的部分有权下达整改通知书，并要求乙方限期整改。</w:t>
      </w:r>
    </w:p>
    <w:p w14:paraId="0F679B9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2、甲方有权依据双方签订的考评办法对乙方提供的服务进行定期考评。</w:t>
      </w:r>
    </w:p>
    <w:p w14:paraId="293FFDF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3、负责检查监督乙方管理工作的实施及制度的执行情况。</w:t>
      </w:r>
    </w:p>
    <w:p w14:paraId="222B207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4、根据本合同规定，按时向乙方支付应付服务费用。</w:t>
      </w:r>
    </w:p>
    <w:p w14:paraId="137EC4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5、国家法律、法规所规定由甲方承担的其它责任。</w:t>
      </w:r>
    </w:p>
    <w:p w14:paraId="5814B23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第九条  乙方的权利和义务</w:t>
      </w:r>
    </w:p>
    <w:p w14:paraId="380B511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1、对本合同规定的委托服务范围内的项目享有管理权及服务义务。</w:t>
      </w:r>
    </w:p>
    <w:p w14:paraId="7FA8B16B">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2、根据本合同的规定向甲方收取相关服务费用，并有权在本项目管理范围内管理及合理使用。</w:t>
      </w:r>
    </w:p>
    <w:p w14:paraId="2CDE480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3、及时向甲方通告本项目服务范围内有关服务的重大事项，及时配合处理投诉。</w:t>
      </w:r>
    </w:p>
    <w:p w14:paraId="3D86B74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4、接受项目行业管理部门及政府有关部门的指导，接受甲方的监督。</w:t>
      </w:r>
    </w:p>
    <w:p w14:paraId="41F455A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5、国家法律、法规所规定由乙方承担的其它责任。</w:t>
      </w:r>
    </w:p>
    <w:p w14:paraId="1D642CB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第十条  违约责任</w:t>
      </w:r>
    </w:p>
    <w:p w14:paraId="31023CE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1、甲乙双方必须遵守本合同并执行合同中的各项规定，保证本合同的正常履行。</w:t>
      </w:r>
    </w:p>
    <w:p w14:paraId="228BA72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w:t>
      </w:r>
    </w:p>
    <w:p w14:paraId="0C7ACE4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第十一条  不可抗力事件处理</w:t>
      </w:r>
    </w:p>
    <w:p w14:paraId="7231C42C">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1、在合同有效期内，任何一方因不可抗力事件导致不能履行合同，则合同履行期可延长，其延长期与不可抗力影响期相同。</w:t>
      </w:r>
    </w:p>
    <w:p w14:paraId="21C3AD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2、不可抗力事件发生后，应立即通知对方，并寄送有关权威机构出具的证明。</w:t>
      </w:r>
    </w:p>
    <w:p w14:paraId="62B989F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3、不可抗力事件延续XX天以上，双方应通过友好协商，确定是否继续履行合同。</w:t>
      </w:r>
    </w:p>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p w14:paraId="2F15E5B0">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18" w:name="_Toc237145411"/>
      <w:bookmarkStart w:id="19" w:name="_Toc225654649"/>
      <w:bookmarkStart w:id="20" w:name="_Toc251768867"/>
      <w:bookmarkStart w:id="21" w:name="_Toc239568423"/>
      <w:bookmarkStart w:id="22" w:name="_Toc225244857"/>
      <w:bookmarkStart w:id="23" w:name="_Toc239233919"/>
      <w:bookmarkStart w:id="24" w:name="_Toc232492933"/>
      <w:bookmarkStart w:id="25" w:name="_Toc225670756"/>
      <w:bookmarkStart w:id="26" w:name="_Toc212019599"/>
      <w:bookmarkStart w:id="27" w:name="_Toc185395254"/>
      <w:bookmarkStart w:id="28" w:name="_Toc211911353"/>
      <w:bookmarkStart w:id="29" w:name="_Toc238984980"/>
      <w:bookmarkStart w:id="30" w:name="_Toc247334846"/>
      <w:bookmarkStart w:id="31" w:name="_Toc286993792"/>
      <w:bookmarkStart w:id="32" w:name="_Toc241833908"/>
      <w:bookmarkStart w:id="33" w:name="_Toc211854454"/>
      <w:r>
        <w:rPr>
          <w:rFonts w:hint="eastAsia" w:ascii="仿宋" w:hAnsi="仿宋" w:eastAsia="仿宋" w:cs="仿宋"/>
          <w:bCs/>
          <w:sz w:val="22"/>
          <w:szCs w:val="22"/>
        </w:rPr>
        <w:t>第十二条  合同的变更和终止</w:t>
      </w:r>
    </w:p>
    <w:p w14:paraId="2EE69753">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除《中华人民共和国政府采购法》第49条、第50条第二款规定的情形外，本合同一经签订，甲乙双方不得擅自变更、中止或终止合同。</w:t>
      </w:r>
    </w:p>
    <w:p w14:paraId="06E434D9">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第十三条  解决合同纠纷的方式</w:t>
      </w:r>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p>
    <w:p w14:paraId="25962E6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1、在执行本合同中发生的或与本合同有关的争端，双方应通过友好协商解决，经协商在XX天内不能达成协议时，则采取以下第____种方式解决争议：</w:t>
      </w:r>
    </w:p>
    <w:p w14:paraId="05B176ED">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（1）向甲方所在地有管辖权的人民法院提起诉讼；</w:t>
      </w:r>
    </w:p>
    <w:p w14:paraId="4DCA4FF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220" w:firstLineChars="1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（2）向____________仲裁委员会按其仲裁规则申请仲裁。</w:t>
      </w:r>
    </w:p>
    <w:p w14:paraId="28C90EA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2、在仲裁期间，本合同应继续履行。</w:t>
      </w:r>
    </w:p>
    <w:p w14:paraId="3BE7479F">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bookmarkStart w:id="34" w:name="_Toc225654650"/>
      <w:bookmarkStart w:id="35" w:name="_Toc282696231"/>
      <w:bookmarkStart w:id="36" w:name="_Toc241833909"/>
      <w:bookmarkStart w:id="37" w:name="_Toc225670757"/>
      <w:bookmarkStart w:id="38" w:name="_Toc286993793"/>
      <w:bookmarkStart w:id="39" w:name="_Toc211854455"/>
      <w:bookmarkStart w:id="40" w:name="_Toc212019600"/>
      <w:bookmarkStart w:id="41" w:name="_Toc185395255"/>
      <w:bookmarkStart w:id="42" w:name="_Toc251768868"/>
      <w:bookmarkStart w:id="43" w:name="_Toc247334847"/>
      <w:bookmarkStart w:id="44" w:name="_Toc239233920"/>
      <w:bookmarkStart w:id="45" w:name="_Toc283019219"/>
      <w:bookmarkStart w:id="46" w:name="_Toc211911354"/>
      <w:bookmarkStart w:id="47" w:name="_Toc238984981"/>
      <w:bookmarkStart w:id="48" w:name="_Toc237145412"/>
      <w:bookmarkStart w:id="49" w:name="_Toc239568424"/>
      <w:bookmarkStart w:id="50" w:name="_Toc232492934"/>
      <w:bookmarkStart w:id="51" w:name="_Toc225244858"/>
      <w:r>
        <w:rPr>
          <w:rFonts w:hint="eastAsia" w:ascii="仿宋" w:hAnsi="仿宋" w:eastAsia="仿宋" w:cs="仿宋"/>
          <w:bCs/>
          <w:sz w:val="22"/>
          <w:szCs w:val="22"/>
        </w:rPr>
        <w:t>第十四条  合同</w:t>
      </w:r>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r>
        <w:rPr>
          <w:rFonts w:hint="eastAsia" w:ascii="仿宋" w:hAnsi="仿宋" w:eastAsia="仿宋" w:cs="仿宋"/>
          <w:bCs/>
          <w:sz w:val="22"/>
          <w:szCs w:val="22"/>
        </w:rPr>
        <w:t>生效及其他</w:t>
      </w:r>
    </w:p>
    <w:p w14:paraId="062197D8">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1、合同经双方法定代表人或授权委托代理人签字并加盖单位公章后生效。</w:t>
      </w:r>
    </w:p>
    <w:p w14:paraId="2160C73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2、合同执行中涉及采购资金和采购内容修改或补充的，须经政府采购监管部门审批，并签书面补充协议报政府采购监督管理部门备案，方可作为主合同不可分割的一部分。</w:t>
      </w:r>
    </w:p>
    <w:p w14:paraId="06B015BE">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3、本合同一式XX份，自双方签章之日起起效。甲方XX份，乙方XX份，政府采购代理机构XX份，同级财政部门备案XX份，具有同等法律效力。</w:t>
      </w:r>
    </w:p>
    <w:p w14:paraId="036DFAD2">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第十五条  附件</w:t>
      </w:r>
    </w:p>
    <w:p w14:paraId="7E7E9426">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1、项目</w:t>
      </w:r>
      <w:r>
        <w:rPr>
          <w:rFonts w:hint="eastAsia" w:ascii="仿宋" w:hAnsi="仿宋" w:eastAsia="仿宋" w:cs="仿宋"/>
          <w:bCs/>
          <w:sz w:val="22"/>
          <w:szCs w:val="22"/>
          <w:lang w:eastAsia="zh-CN"/>
        </w:rPr>
        <w:t>招标</w:t>
      </w:r>
      <w:r>
        <w:rPr>
          <w:rFonts w:hint="eastAsia" w:ascii="仿宋" w:hAnsi="仿宋" w:eastAsia="仿宋" w:cs="仿宋"/>
          <w:bCs/>
          <w:sz w:val="22"/>
          <w:szCs w:val="22"/>
        </w:rPr>
        <w:t>文件</w:t>
      </w:r>
    </w:p>
    <w:p w14:paraId="6E98C26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2、项目修改澄清文件</w:t>
      </w:r>
    </w:p>
    <w:p w14:paraId="64D9FE94">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hint="eastAsia" w:ascii="仿宋" w:hAnsi="仿宋" w:eastAsia="仿宋" w:cs="仿宋"/>
          <w:bCs/>
          <w:sz w:val="22"/>
          <w:szCs w:val="22"/>
          <w:lang w:eastAsia="zh-CN"/>
        </w:rPr>
      </w:pPr>
      <w:r>
        <w:rPr>
          <w:rFonts w:hint="eastAsia" w:ascii="仿宋" w:hAnsi="仿宋" w:eastAsia="仿宋" w:cs="仿宋"/>
          <w:bCs/>
          <w:sz w:val="22"/>
          <w:szCs w:val="22"/>
        </w:rPr>
        <w:t>3、项目</w:t>
      </w:r>
      <w:r>
        <w:rPr>
          <w:rFonts w:hint="eastAsia" w:ascii="仿宋" w:hAnsi="仿宋" w:eastAsia="仿宋" w:cs="仿宋"/>
          <w:bCs/>
          <w:sz w:val="22"/>
          <w:szCs w:val="22"/>
          <w:lang w:eastAsia="zh-CN"/>
        </w:rPr>
        <w:t>投标文件</w:t>
      </w:r>
    </w:p>
    <w:p w14:paraId="1B812031">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4、</w:t>
      </w:r>
      <w:r>
        <w:rPr>
          <w:rFonts w:hint="eastAsia" w:ascii="仿宋" w:hAnsi="仿宋" w:eastAsia="仿宋" w:cs="仿宋"/>
          <w:bCs/>
          <w:sz w:val="22"/>
          <w:szCs w:val="22"/>
          <w:lang w:val="en-US" w:eastAsia="zh-CN"/>
        </w:rPr>
        <w:t>中标</w:t>
      </w:r>
      <w:r>
        <w:rPr>
          <w:rFonts w:hint="eastAsia" w:ascii="仿宋" w:hAnsi="仿宋" w:eastAsia="仿宋" w:cs="仿宋"/>
          <w:bCs/>
          <w:sz w:val="22"/>
          <w:szCs w:val="22"/>
        </w:rPr>
        <w:t>通知书</w:t>
      </w:r>
    </w:p>
    <w:p w14:paraId="4EE22C57">
      <w:pPr>
        <w:keepNext w:val="0"/>
        <w:keepLines w:val="0"/>
        <w:pageBreakBefore w:val="0"/>
        <w:widowControl w:val="0"/>
        <w:shd w:val="clear"/>
        <w:kinsoku/>
        <w:wordWrap/>
        <w:overflowPunct/>
        <w:topLinePunct w:val="0"/>
        <w:autoSpaceDE w:val="0"/>
        <w:autoSpaceDN w:val="0"/>
        <w:bidi w:val="0"/>
        <w:adjustRightInd w:val="0"/>
        <w:snapToGrid w:val="0"/>
        <w:spacing w:line="312" w:lineRule="auto"/>
        <w:ind w:firstLine="440" w:firstLineChars="200"/>
        <w:jc w:val="left"/>
        <w:textAlignment w:val="auto"/>
        <w:outlineLvl w:val="0"/>
        <w:rPr>
          <w:rFonts w:ascii="仿宋" w:hAnsi="仿宋" w:eastAsia="仿宋" w:cs="仿宋"/>
          <w:bCs/>
          <w:sz w:val="22"/>
          <w:szCs w:val="22"/>
        </w:rPr>
      </w:pPr>
      <w:r>
        <w:rPr>
          <w:rFonts w:hint="eastAsia" w:ascii="仿宋" w:hAnsi="仿宋" w:eastAsia="仿宋" w:cs="仿宋"/>
          <w:bCs/>
          <w:sz w:val="22"/>
          <w:szCs w:val="22"/>
        </w:rPr>
        <w:t>5、其他</w:t>
      </w:r>
    </w:p>
    <w:p w14:paraId="521DC075">
      <w:pPr>
        <w:keepNext w:val="0"/>
        <w:keepLines w:val="0"/>
        <w:pageBreakBefore w:val="0"/>
        <w:widowControl w:val="0"/>
        <w:shd w:val="clear"/>
        <w:kinsoku/>
        <w:wordWrap/>
        <w:overflowPunct/>
        <w:topLinePunct w:val="0"/>
        <w:bidi w:val="0"/>
        <w:spacing w:line="312" w:lineRule="auto"/>
        <w:textAlignment w:val="auto"/>
        <w:rPr>
          <w:rFonts w:ascii="仿宋" w:hAnsi="仿宋" w:eastAsia="仿宋" w:cs="仿宋"/>
          <w:bCs/>
          <w:sz w:val="22"/>
          <w:szCs w:val="22"/>
        </w:rPr>
      </w:pPr>
    </w:p>
    <w:p w14:paraId="3219222D">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8EF1974">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117B5E50">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4BAAA708">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78AFAC2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5AE9F10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hint="eastAsia" w:ascii="仿宋" w:hAnsi="仿宋" w:eastAsia="仿宋" w:cs="仿宋"/>
          <w:bCs/>
          <w:sz w:val="22"/>
          <w:szCs w:val="22"/>
        </w:rPr>
      </w:pPr>
    </w:p>
    <w:p w14:paraId="200B80BF">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 xml:space="preserve">甲方：   （盖章）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乙方：   （盖章）</w:t>
      </w:r>
    </w:p>
    <w:p w14:paraId="4A2A5199">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法定代表人（授权代表）：              法定代表人（授权代表）：</w:t>
      </w:r>
    </w:p>
    <w:p w14:paraId="3D10F9F2">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地    址：                            地    址：</w:t>
      </w:r>
    </w:p>
    <w:p w14:paraId="709F846B">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开户银行：                            开户银行：</w:t>
      </w:r>
    </w:p>
    <w:p w14:paraId="5686CF7E">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账号：                                账号：</w:t>
      </w:r>
    </w:p>
    <w:p w14:paraId="71F97FFA">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电    话：                            电    话：</w:t>
      </w:r>
    </w:p>
    <w:p w14:paraId="08DD34E5">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rPr>
          <w:rFonts w:ascii="仿宋" w:hAnsi="仿宋" w:eastAsia="仿宋" w:cs="仿宋"/>
          <w:bCs/>
          <w:sz w:val="22"/>
          <w:szCs w:val="22"/>
        </w:rPr>
      </w:pPr>
      <w:r>
        <w:rPr>
          <w:rFonts w:hint="eastAsia" w:ascii="仿宋" w:hAnsi="仿宋" w:eastAsia="仿宋" w:cs="仿宋"/>
          <w:bCs/>
          <w:sz w:val="22"/>
          <w:szCs w:val="22"/>
        </w:rPr>
        <w:t>传    真：                            传    真：</w:t>
      </w:r>
    </w:p>
    <w:p w14:paraId="614E033C">
      <w:pPr>
        <w:keepNext w:val="0"/>
        <w:keepLines w:val="0"/>
        <w:pageBreakBefore w:val="0"/>
        <w:widowControl w:val="0"/>
        <w:shd w:val="clear"/>
        <w:kinsoku/>
        <w:wordWrap/>
        <w:overflowPunct/>
        <w:topLinePunct w:val="0"/>
        <w:autoSpaceDE w:val="0"/>
        <w:autoSpaceDN w:val="0"/>
        <w:bidi w:val="0"/>
        <w:adjustRightInd w:val="0"/>
        <w:snapToGrid w:val="0"/>
        <w:spacing w:line="312" w:lineRule="auto"/>
        <w:jc w:val="left"/>
        <w:textAlignment w:val="auto"/>
        <w:outlineLvl w:val="0"/>
      </w:pPr>
      <w:r>
        <w:rPr>
          <w:rFonts w:hint="eastAsia" w:ascii="仿宋" w:hAnsi="仿宋" w:eastAsia="仿宋" w:cs="仿宋"/>
          <w:bCs/>
          <w:sz w:val="22"/>
          <w:szCs w:val="22"/>
        </w:rPr>
        <w:t xml:space="preserve">签约日期：  年  月  日 </w:t>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ab/>
      </w:r>
      <w:r>
        <w:rPr>
          <w:rFonts w:hint="eastAsia" w:ascii="仿宋" w:hAnsi="仿宋" w:eastAsia="仿宋" w:cs="仿宋"/>
          <w:bCs/>
          <w:sz w:val="22"/>
          <w:szCs w:val="22"/>
        </w:rPr>
        <w:t xml:space="preserve">    签约日期：  年  </w:t>
      </w:r>
      <w:bookmarkStart w:id="52" w:name="_GoBack"/>
      <w:bookmarkEnd w:id="52"/>
      <w:r>
        <w:rPr>
          <w:rFonts w:hint="eastAsia" w:ascii="仿宋" w:hAnsi="仿宋" w:eastAsia="仿宋" w:cs="仿宋"/>
          <w:bCs/>
          <w:sz w:val="22"/>
          <w:szCs w:val="22"/>
        </w:rPr>
        <w:t>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A"/>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书宋简体">
    <w:altName w:val="宋体"/>
    <w:panose1 w:val="00000000000000000000"/>
    <w:charset w:val="86"/>
    <w:family w:val="script"/>
    <w:pitch w:val="default"/>
    <w:sig w:usb0="00000000" w:usb1="00000000" w:usb2="00000010" w:usb3="00000000" w:csb0="0004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7947B50"/>
    <w:rsid w:val="1ADD31A7"/>
    <w:rsid w:val="22510B56"/>
    <w:rsid w:val="302F284D"/>
    <w:rsid w:val="323E76AB"/>
    <w:rsid w:val="34812909"/>
    <w:rsid w:val="35AD6836"/>
    <w:rsid w:val="45FE32DD"/>
    <w:rsid w:val="538A1C04"/>
    <w:rsid w:val="74571F81"/>
    <w:rsid w:val="77F454E0"/>
    <w:rsid w:val="781B6C6A"/>
    <w:rsid w:val="78DD3EC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qFormat="1" w:unhideWhenUsed="0" w:uiPriority="99"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99"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Calibri" w:hAnsi="Calibri" w:eastAsia="宋体" w:cs="Times New Roman"/>
      <w:kern w:val="2"/>
      <w:sz w:val="21"/>
      <w:szCs w:val="24"/>
      <w:lang w:val="en-US" w:eastAsia="zh-CN" w:bidi="ar-SA"/>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8">
    <w:name w:val="Default Paragraph Font"/>
    <w:semiHidden/>
    <w:qFormat/>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2">
    <w:name w:val="Plain Text"/>
    <w:basedOn w:val="1"/>
    <w:qFormat/>
    <w:uiPriority w:val="99"/>
    <w:rPr>
      <w:rFonts w:ascii="宋体" w:hAnsi="宋体"/>
      <w:szCs w:val="21"/>
    </w:rPr>
  </w:style>
  <w:style w:type="paragraph" w:styleId="4">
    <w:name w:val="Body Text Indent"/>
    <w:basedOn w:val="1"/>
    <w:qFormat/>
    <w:uiPriority w:val="99"/>
    <w:pPr>
      <w:autoSpaceDE w:val="0"/>
      <w:autoSpaceDN w:val="0"/>
      <w:adjustRightInd w:val="0"/>
      <w:spacing w:line="600" w:lineRule="exact"/>
      <w:ind w:firstLine="560"/>
    </w:pPr>
    <w:rPr>
      <w:rFonts w:ascii="方正书宋简体" w:eastAsia="方正书宋简体"/>
      <w:kern w:val="0"/>
      <w:sz w:val="28"/>
      <w:szCs w:val="28"/>
    </w:rPr>
  </w:style>
  <w:style w:type="paragraph" w:styleId="5">
    <w:name w:val="Normal (Web)"/>
    <w:basedOn w:val="1"/>
    <w:qFormat/>
    <w:uiPriority w:val="0"/>
    <w:pPr>
      <w:spacing w:before="0" w:beforeAutospacing="1" w:after="0" w:afterAutospacing="1"/>
      <w:ind w:left="0" w:right="0"/>
      <w:jc w:val="left"/>
    </w:pPr>
    <w:rPr>
      <w:kern w:val="0"/>
      <w:sz w:val="24"/>
      <w:lang w:val="en-US" w:eastAsia="zh-CN" w:bidi="ar"/>
    </w:rPr>
  </w:style>
  <w:style w:type="paragraph" w:styleId="6">
    <w:name w:val="Body Text First Indent 2"/>
    <w:basedOn w:val="4"/>
    <w:qFormat/>
    <w:uiPriority w:val="99"/>
    <w:pPr>
      <w:spacing w:after="120" w:line="240" w:lineRule="auto"/>
      <w:ind w:left="420" w:leftChars="200" w:firstLine="420" w:firstLineChars="200"/>
    </w:pPr>
    <w:rPr>
      <w:rFonts w:ascii="Times New Roman" w:hAnsi="Times New Roman"/>
      <w:sz w:val="21"/>
      <w:szCs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1709</Words>
  <Characters>1748</Characters>
  <Lines>0</Lines>
  <Paragraphs>0</Paragraphs>
  <TotalTime>13</TotalTime>
  <ScaleCrop>false</ScaleCrop>
  <LinksUpToDate>false</LinksUpToDate>
  <CharactersWithSpaces>2099</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2025-09-09T03:29:00Z</dcterms:created>
  <dc:creator>0002</dc:creator>
  <cp:lastModifiedBy>微笑</cp:lastModifiedBy>
  <dcterms:modified xsi:type="dcterms:W3CDTF">2026-08-05T14:21:38Z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eyJoZGlkIjoiYTc5NTVlZWY0ZTBmZGIxMDBkZGNlMzkwYzU5MTNlOGMiLCJ1c2VySWQiOiI5OTMzMzU0MzgifQ==</vt:lpwstr>
  </property>
  <property fmtid="{D5CDD505-2E9C-101B-9397-08002B2CF9AE}" pid="4" name="ICV">
    <vt:lpwstr>A84E0B86E9B5467BA1A00AAD0656B0AC_12</vt:lpwstr>
  </property>
</Properties>
</file>