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版本号：XBZB-SE260608-11920260615001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西安市气象数值预报计算服务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XBZB-SE260608-119</w:t>
      </w:r>
      <w:r>
        <w:br/>
      </w:r>
      <w:r>
        <w:br/>
      </w:r>
      <w:r>
        <w:br/>
      </w:r>
    </w:p>
    <w:p>
      <w:pPr>
        <w:pStyle w:val="null3"/>
        <w:jc w:val="center"/>
        <w:outlineLvl w:val="2"/>
      </w:pPr>
      <w:r>
        <w:rPr>
          <w:rFonts w:ascii="仿宋_GB2312" w:hAnsi="仿宋_GB2312" w:cs="仿宋_GB2312" w:eastAsia="仿宋_GB2312"/>
          <w:sz w:val="28"/>
          <w:b/>
        </w:rPr>
        <w:t>西安市气象局</w:t>
      </w:r>
    </w:p>
    <w:p>
      <w:pPr>
        <w:pStyle w:val="null3"/>
        <w:jc w:val="center"/>
        <w:outlineLvl w:val="2"/>
      </w:pPr>
      <w:r>
        <w:rPr>
          <w:rFonts w:ascii="仿宋_GB2312" w:hAnsi="仿宋_GB2312" w:cs="仿宋_GB2312" w:eastAsia="仿宋_GB2312"/>
          <w:sz w:val="28"/>
          <w:b/>
        </w:rPr>
        <w:t>西北国际（陕西）造价管理集团有限公司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西北国际（陕西）造价管理集团有限公司</w:t>
      </w:r>
      <w:r>
        <w:rPr>
          <w:rFonts w:ascii="仿宋_GB2312" w:hAnsi="仿宋_GB2312" w:cs="仿宋_GB2312" w:eastAsia="仿宋_GB2312"/>
        </w:rPr>
        <w:t>（以下简称“代理机构”）受</w:t>
      </w:r>
      <w:r>
        <w:rPr>
          <w:rFonts w:ascii="仿宋_GB2312" w:hAnsi="仿宋_GB2312" w:cs="仿宋_GB2312" w:eastAsia="仿宋_GB2312"/>
        </w:rPr>
        <w:t>西安市气象局</w:t>
      </w:r>
      <w:r>
        <w:rPr>
          <w:rFonts w:ascii="仿宋_GB2312" w:hAnsi="仿宋_GB2312" w:cs="仿宋_GB2312" w:eastAsia="仿宋_GB2312"/>
        </w:rPr>
        <w:t>委托，拟对</w:t>
      </w:r>
      <w:r>
        <w:rPr>
          <w:rFonts w:ascii="仿宋_GB2312" w:hAnsi="仿宋_GB2312" w:cs="仿宋_GB2312" w:eastAsia="仿宋_GB2312"/>
        </w:rPr>
        <w:t>西安市气象数值预报计算服务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XBZB-SE260608-119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西安市气象数值预报计算服务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全球气候变化导致极端天气事件频发，城市气象灾害防控形势日趋严峻。西安市作为国家中心城市、关中平原城市群核心城市，人口集聚度高、城市基础设施密集，对精细化、高精度、高时效的气象预报服务需求突出。为补齐超大城市极端天气预警、应急保障短板，全面提升城市气象灾害防御能力，亟需升级优化本地气象预报保障体系。 为贯彻落实国家气象现代化及防灾减灾救灾工作部署，依据《西安市“十四五”气象事业发展规划》《西安大城市气象保障服务高质量发展工作方案（2021—2025）》文件精神，针对传统气象预报分辨率低、更新频次不足、极端天气捕捉滞后等短板，西安市气象局启动西安都市圈数值天气预报系统项目建设。本次采购高性能计算、存储、网络资源及配套技术服务，搭建高效稳定的本地化数值天气预报运行平台，支撑西安都市圈1公里分辨率、逐小时更新的高精度数值预报模式常态化业务运行，有效提升短时临近极端天气预报准确率及预警提前量，为城市防灾减灾、应急管理、智能交通、生态治理、智慧农业等领域提供精准气象数据保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采购包1（西安市气象数值预报计算服务）：属于专门面向中小企业采购。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1、法定代表人证明书或者授权委托书：法定代表人参加开标时，提供法定代表人证明书；授权代表参加开标时，提供法定代表人授权书；非法人单位参照执行。</w:t>
      </w:r>
    </w:p>
    <w:p>
      <w:pPr>
        <w:pStyle w:val="null3"/>
      </w:pPr>
      <w:r>
        <w:rPr>
          <w:rFonts w:ascii="仿宋_GB2312" w:hAnsi="仿宋_GB2312" w:cs="仿宋_GB2312" w:eastAsia="仿宋_GB2312"/>
        </w:rPr>
        <w:t>2、信用记录：供应商未被“信用中国”网站（www.creditchina.gov.cn）列入失信被执行人、重大税收违法失信主体名单，未被中国政府采购网（www.ccgp.gov.cn）列入政府采购严重违法失信行为记录名单。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西安市气象局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西安市未央路102-1号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窦老师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02986251034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西北国际（陕西）造价管理集团有限公司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陕西省西安市碑林区长安国际中心F座17层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15202924802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采购包1：1,092,000.00元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标准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西安市气象局</w:t>
      </w:r>
      <w:r>
        <w:rPr>
          <w:rFonts w:ascii="仿宋_GB2312" w:hAnsi="仿宋_GB2312" w:cs="仿宋_GB2312" w:eastAsia="仿宋_GB2312"/>
        </w:rPr>
        <w:t>和</w:t>
      </w:r>
      <w:r>
        <w:rPr>
          <w:rFonts w:ascii="仿宋_GB2312" w:hAnsi="仿宋_GB2312" w:cs="仿宋_GB2312" w:eastAsia="仿宋_GB2312"/>
        </w:rPr>
        <w:t>西北国际（陕西）造价管理集团有限公司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西安市气象局</w:t>
      </w:r>
      <w:r>
        <w:rPr>
          <w:rFonts w:ascii="仿宋_GB2312" w:hAnsi="仿宋_GB2312" w:cs="仿宋_GB2312" w:eastAsia="仿宋_GB2312"/>
        </w:rPr>
        <w:t>负责解释。除上述磋商文件内容，其他内容由</w:t>
      </w:r>
      <w:r>
        <w:rPr>
          <w:rFonts w:ascii="仿宋_GB2312" w:hAnsi="仿宋_GB2312" w:cs="仿宋_GB2312" w:eastAsia="仿宋_GB2312"/>
        </w:rPr>
        <w:t>西北国际（陕西）造价管理集团有限公司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西安市气象局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西北国际（陕西）造价管理集团有限公司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按照国家、行业标准、采购合同、响应文件的全部技术、服务、标准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联系人：张圆</w:t>
      </w:r>
    </w:p>
    <w:p>
      <w:pPr>
        <w:pStyle w:val="null3"/>
      </w:pPr>
      <w:r>
        <w:rPr>
          <w:rFonts w:ascii="仿宋_GB2312" w:hAnsi="仿宋_GB2312" w:cs="仿宋_GB2312" w:eastAsia="仿宋_GB2312"/>
        </w:rPr>
        <w:t>联系电话：15202924802</w:t>
      </w:r>
    </w:p>
    <w:p>
      <w:pPr>
        <w:pStyle w:val="null3"/>
      </w:pPr>
      <w:r>
        <w:rPr>
          <w:rFonts w:ascii="仿宋_GB2312" w:hAnsi="仿宋_GB2312" w:cs="仿宋_GB2312" w:eastAsia="仿宋_GB2312"/>
        </w:rPr>
        <w:t>地址：陕西省西安市未央区西派中心写字楼C座1单元10层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全球气候变化导致极端天气事件频发，城市气象灾害防控形势日趋严峻。西安市作为国家中心城市、关中平原城市群核心城市，人口集聚度高、城市基础设施密集，对精细化、高精度、高时效的气象预报服务需求突出。为补齐超大城市极端天气预警、应急保障短板，全面提升城市气象灾害防御能力，亟需升级优化本地气象预报保障体系。 为贯彻落实国家气象现代化及防灾减灾救灾工作部署，依据《西安市“十四五”气象事业发展规划》《西安大城市气象保障服务高质量发展工作方案（2021—2025）》文件精神，针对传统气象预报分辨率低、更新频次不足、极端天气捕捉滞后等短板，西安市气象局启动西安都市圈数值天气预报系统项目建设。本次采购高性能计算、存储、网络资源及配套技术服务，搭建高效稳定的本地化数值天气预报运行平台，支撑西安都市圈1公里分辨率、逐小时更新的高精度数值预报模式常态化业务运行，有效提升短时临近极端天气预报准确率及预警提前量，为城市防灾减灾、应急管理、智能交通、生态治理、智慧农业等领域提供精准气象数据保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1,092,000.00</w:t>
      </w:r>
    </w:p>
    <w:p>
      <w:pPr>
        <w:pStyle w:val="null3"/>
      </w:pPr>
      <w:r>
        <w:rPr>
          <w:rFonts w:ascii="仿宋_GB2312" w:hAnsi="仿宋_GB2312" w:cs="仿宋_GB2312" w:eastAsia="仿宋_GB2312"/>
        </w:rPr>
        <w:t>采购包最高限价（元）: 1,092,000.00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高性能计算资源（月均使用算力1920核）、存储资源（提供500T高性能分布式文件对象存储空间）、网络资源及配套技术服务。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1,092,000.00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标的名称：高性能计算资源（月均使用算力1920核）、存储资源（提供500T高性能分布式文件对象存储空间）、网络资源及配套技术服务。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ind w:firstLine="480"/>
            </w:pPr>
            <w:r>
              <w:rPr>
                <w:rFonts w:ascii="仿宋_GB2312" w:hAnsi="仿宋_GB2312" w:cs="仿宋_GB2312" w:eastAsia="仿宋_GB2312"/>
              </w:rPr>
              <w:t>全球气候变化导致极端天气事件频发，城市气象灾害防控形势日趋严峻。西安市作为国家中心城市、关中平原城市群核心城市，人口集聚度高、城市基础设施密集，对精细化、高精度、高时效的气象预报服务需求突出。为补齐超大城市极端天气预警、应急保障短板，全面提升城市气象灾害防御能力，亟需升级优化本地气象预报保障体系。</w:t>
            </w:r>
          </w:p>
          <w:p>
            <w:pPr>
              <w:pStyle w:val="null3"/>
              <w:ind w:firstLine="200"/>
            </w:pPr>
            <w:r>
              <w:rPr>
                <w:rFonts w:ascii="仿宋_GB2312" w:hAnsi="仿宋_GB2312" w:cs="仿宋_GB2312" w:eastAsia="仿宋_GB2312"/>
              </w:rPr>
              <w:t>为贯彻落实国家气象现代化及防灾减灾救灾工作部署，依据《西安市</w:t>
            </w:r>
            <w:r>
              <w:rPr>
                <w:rFonts w:ascii="仿宋_GB2312" w:hAnsi="仿宋_GB2312" w:cs="仿宋_GB2312" w:eastAsia="仿宋_GB2312"/>
              </w:rPr>
              <w:t>“十四五”气象事业发展规划》《西安大城市气象保障服务高质量发展工作方案（2021—2025）》文件精神，针对传统气象预报分辨率低、更新频次不足、极端天气捕捉滞后等短板，西安市气象局启动西安都市圈数值天气预报系统项目建设。本次采购高性能计算、存储、网络资源及配套技术服务，搭建高效稳定的本地化数值天气预报运行平台，支撑西安都市圈1公里分辨率、逐小时更新的高精度数值预报模式常态化业务运行，有效提升短时临近极端天气预报准确率及预警提前量，为城市防灾减灾、应急管理、智能交通、生态治理、智慧农业等领域提供精准气象数据保障。</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服务内容</w:t>
            </w:r>
          </w:p>
          <w:p>
            <w:pPr>
              <w:pStyle w:val="null3"/>
              <w:ind w:firstLine="200"/>
            </w:pPr>
            <w:r>
              <w:rPr>
                <w:rFonts w:ascii="仿宋_GB2312" w:hAnsi="仿宋_GB2312" w:cs="仿宋_GB2312" w:eastAsia="仿宋_GB2312"/>
              </w:rPr>
              <w:t>本次采购采用资源租赁</w:t>
            </w:r>
            <w:r>
              <w:rPr>
                <w:rFonts w:ascii="仿宋_GB2312" w:hAnsi="仿宋_GB2312" w:cs="仿宋_GB2312" w:eastAsia="仿宋_GB2312"/>
              </w:rPr>
              <w:t>+技术服务一体化模式，采购内容涵盖高性能计算资源、分布式存储资源、高速网络资源及配套技术服务，服务周期为1年，具体需求如下：</w:t>
            </w:r>
          </w:p>
          <w:p>
            <w:pPr>
              <w:pStyle w:val="null3"/>
              <w:ind w:firstLine="200"/>
            </w:pPr>
            <w:r>
              <w:rPr>
                <w:rFonts w:ascii="仿宋_GB2312" w:hAnsi="仿宋_GB2312" w:cs="仿宋_GB2312" w:eastAsia="仿宋_GB2312"/>
              </w:rPr>
              <w:t>（一）高性能计算资源</w:t>
            </w:r>
          </w:p>
          <w:tbl>
            <w:tblPr>
              <w:tblInd w:type="dxa" w:w="135"/>
              <w:tblBorders>
                <w:top w:val="none" w:color="000000" w:sz="4"/>
                <w:left w:val="none" w:color="000000" w:sz="4"/>
                <w:bottom w:val="none" w:color="000000" w:sz="4"/>
                <w:right w:val="none" w:color="000000" w:sz="4"/>
                <w:insideH w:val="none"/>
                <w:insideV w:val="none"/>
              </w:tblBorders>
            </w:tblPr>
            <w:tblGrid>
              <w:gridCol w:w="226"/>
              <w:gridCol w:w="200"/>
              <w:gridCol w:w="195"/>
              <w:gridCol w:w="164"/>
              <w:gridCol w:w="169"/>
              <w:gridCol w:w="174"/>
              <w:gridCol w:w="190"/>
              <w:gridCol w:w="169"/>
              <w:gridCol w:w="184"/>
              <w:gridCol w:w="159"/>
              <w:gridCol w:w="164"/>
              <w:gridCol w:w="184"/>
              <w:gridCol w:w="174"/>
              <w:gridCol w:w="159"/>
            </w:tblGrid>
            <w:tr>
              <w:tc>
                <w:tcPr>
                  <w:tcW w:type="dxa" w:w="2511"/>
                  <w:gridSpan w:val="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市气象局数值计算资源需求计划</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月份</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一月</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二月</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三月</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四月</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五月</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六月</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七月</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八月</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九月</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十月</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十一月</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十二月</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月均</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计算资源（核）</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1280</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1280</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2560</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1280</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1920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2560</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2560</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2560</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1920</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1920</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19 20</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1280</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1920</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存储资源（</w:t>
                  </w:r>
                  <w:r>
                    <w:rPr>
                      <w:rFonts w:ascii="仿宋_GB2312" w:hAnsi="仿宋_GB2312" w:cs="仿宋_GB2312" w:eastAsia="仿宋_GB2312"/>
                      <w:sz w:val="13"/>
                      <w:color w:val="000000"/>
                    </w:rPr>
                    <w:t>T）</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500</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500</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500</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500</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500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500</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500</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500</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500</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500</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500</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500</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500</w:t>
                  </w:r>
                </w:p>
              </w:tc>
            </w:tr>
          </w:tbl>
          <w:p>
            <w:pPr>
              <w:pStyle w:val="null3"/>
              <w:ind w:firstLine="400"/>
              <w:jc w:val="both"/>
            </w:pPr>
            <w:r>
              <w:rPr>
                <w:rFonts w:ascii="仿宋_GB2312" w:hAnsi="仿宋_GB2312" w:cs="仿宋_GB2312" w:eastAsia="仿宋_GB2312"/>
                <w:sz w:val="20"/>
              </w:rPr>
              <w:t>单台计算节点配置：搭载</w:t>
            </w:r>
            <w:r>
              <w:rPr>
                <w:rFonts w:ascii="仿宋_GB2312" w:hAnsi="仿宋_GB2312" w:cs="仿宋_GB2312" w:eastAsia="仿宋_GB2312"/>
                <w:sz w:val="20"/>
              </w:rPr>
              <w:t>2</w:t>
            </w:r>
            <w:r>
              <w:rPr>
                <w:rFonts w:ascii="仿宋_GB2312" w:hAnsi="仿宋_GB2312" w:cs="仿宋_GB2312" w:eastAsia="仿宋_GB2312"/>
                <w:sz w:val="20"/>
              </w:rPr>
              <w:t>颗</w:t>
            </w:r>
            <w:r>
              <w:rPr>
                <w:rFonts w:ascii="仿宋_GB2312" w:hAnsi="仿宋_GB2312" w:cs="仿宋_GB2312" w:eastAsia="仿宋_GB2312"/>
                <w:sz w:val="20"/>
              </w:rPr>
              <w:t>X86 32</w:t>
            </w:r>
            <w:r>
              <w:rPr>
                <w:rFonts w:ascii="仿宋_GB2312" w:hAnsi="仿宋_GB2312" w:cs="仿宋_GB2312" w:eastAsia="仿宋_GB2312"/>
                <w:sz w:val="20"/>
              </w:rPr>
              <w:t>核</w:t>
            </w:r>
            <w:r>
              <w:rPr>
                <w:rFonts w:ascii="仿宋_GB2312" w:hAnsi="仿宋_GB2312" w:cs="仿宋_GB2312" w:eastAsia="仿宋_GB2312"/>
                <w:sz w:val="20"/>
              </w:rPr>
              <w:t>2.5GHz</w:t>
            </w:r>
            <w:r>
              <w:rPr>
                <w:rFonts w:ascii="仿宋_GB2312" w:hAnsi="仿宋_GB2312" w:cs="仿宋_GB2312" w:eastAsia="仿宋_GB2312"/>
                <w:sz w:val="20"/>
              </w:rPr>
              <w:t>处理器，配备</w:t>
            </w:r>
            <w:r>
              <w:rPr>
                <w:rFonts w:ascii="仿宋_GB2312" w:hAnsi="仿宋_GB2312" w:cs="仿宋_GB2312" w:eastAsia="仿宋_GB2312"/>
                <w:sz w:val="20"/>
              </w:rPr>
              <w:t>256GB</w:t>
            </w:r>
            <w:r>
              <w:rPr>
                <w:rFonts w:ascii="仿宋_GB2312" w:hAnsi="仿宋_GB2312" w:cs="仿宋_GB2312" w:eastAsia="仿宋_GB2312"/>
                <w:sz w:val="20"/>
              </w:rPr>
              <w:t>内存，接入</w:t>
            </w:r>
            <w:r>
              <w:rPr>
                <w:rFonts w:ascii="仿宋_GB2312" w:hAnsi="仿宋_GB2312" w:cs="仿宋_GB2312" w:eastAsia="仿宋_GB2312"/>
                <w:sz w:val="20"/>
              </w:rPr>
              <w:t>200Gb</w:t>
            </w:r>
            <w:r>
              <w:rPr>
                <w:rFonts w:ascii="仿宋_GB2312" w:hAnsi="仿宋_GB2312" w:cs="仿宋_GB2312" w:eastAsia="仿宋_GB2312"/>
                <w:sz w:val="20"/>
              </w:rPr>
              <w:t>高速</w:t>
            </w:r>
            <w:r>
              <w:rPr>
                <w:rFonts w:ascii="仿宋_GB2312" w:hAnsi="仿宋_GB2312" w:cs="仿宋_GB2312" w:eastAsia="仿宋_GB2312"/>
                <w:sz w:val="20"/>
              </w:rPr>
              <w:t>InfiniBand</w:t>
            </w:r>
            <w:r>
              <w:rPr>
                <w:rFonts w:ascii="仿宋_GB2312" w:hAnsi="仿宋_GB2312" w:cs="仿宋_GB2312" w:eastAsia="仿宋_GB2312"/>
                <w:sz w:val="20"/>
              </w:rPr>
              <w:t>计算网络，支持大规模并行计算，满足</w:t>
            </w:r>
            <w:r>
              <w:rPr>
                <w:rFonts w:ascii="仿宋_GB2312" w:hAnsi="仿宋_GB2312" w:cs="仿宋_GB2312" w:eastAsia="仿宋_GB2312"/>
                <w:sz w:val="20"/>
              </w:rPr>
              <w:t>WRF</w:t>
            </w:r>
            <w:r>
              <w:rPr>
                <w:rFonts w:ascii="仿宋_GB2312" w:hAnsi="仿宋_GB2312" w:cs="仿宋_GB2312" w:eastAsia="仿宋_GB2312"/>
                <w:sz w:val="20"/>
              </w:rPr>
              <w:t>三层嵌套数值模式、海量网格数据运算、多要素气象参数模拟的算力需求，保障</w:t>
            </w:r>
            <w:r>
              <w:rPr>
                <w:rFonts w:ascii="仿宋_GB2312" w:hAnsi="仿宋_GB2312" w:cs="仿宋_GB2312" w:eastAsia="仿宋_GB2312"/>
                <w:sz w:val="20"/>
              </w:rPr>
              <w:t>D01</w:t>
            </w:r>
            <w:r>
              <w:rPr>
                <w:rFonts w:ascii="仿宋_GB2312" w:hAnsi="仿宋_GB2312" w:cs="仿宋_GB2312" w:eastAsia="仿宋_GB2312"/>
                <w:sz w:val="20"/>
              </w:rPr>
              <w:t>、</w:t>
            </w:r>
            <w:r>
              <w:rPr>
                <w:rFonts w:ascii="仿宋_GB2312" w:hAnsi="仿宋_GB2312" w:cs="仿宋_GB2312" w:eastAsia="仿宋_GB2312"/>
                <w:sz w:val="20"/>
              </w:rPr>
              <w:t>D02</w:t>
            </w:r>
            <w:r>
              <w:rPr>
                <w:rFonts w:ascii="仿宋_GB2312" w:hAnsi="仿宋_GB2312" w:cs="仿宋_GB2312" w:eastAsia="仿宋_GB2312"/>
                <w:sz w:val="20"/>
              </w:rPr>
              <w:t>、</w:t>
            </w:r>
            <w:r>
              <w:rPr>
                <w:rFonts w:ascii="仿宋_GB2312" w:hAnsi="仿宋_GB2312" w:cs="仿宋_GB2312" w:eastAsia="仿宋_GB2312"/>
                <w:sz w:val="20"/>
              </w:rPr>
              <w:t>D03</w:t>
            </w:r>
            <w:r>
              <w:rPr>
                <w:rFonts w:ascii="仿宋_GB2312" w:hAnsi="仿宋_GB2312" w:cs="仿宋_GB2312" w:eastAsia="仿宋_GB2312"/>
                <w:sz w:val="20"/>
              </w:rPr>
              <w:t>三层模式常态化运行，实现</w:t>
            </w:r>
            <w:r>
              <w:rPr>
                <w:rFonts w:ascii="仿宋_GB2312" w:hAnsi="仿宋_GB2312" w:cs="仿宋_GB2312" w:eastAsia="仿宋_GB2312"/>
                <w:sz w:val="20"/>
              </w:rPr>
              <w:t>1</w:t>
            </w:r>
            <w:r>
              <w:rPr>
                <w:rFonts w:ascii="仿宋_GB2312" w:hAnsi="仿宋_GB2312" w:cs="仿宋_GB2312" w:eastAsia="仿宋_GB2312"/>
                <w:sz w:val="20"/>
              </w:rPr>
              <w:t>公里分辨率预报逐小时更新、每日</w:t>
            </w:r>
            <w:r>
              <w:rPr>
                <w:rFonts w:ascii="仿宋_GB2312" w:hAnsi="仿宋_GB2312" w:cs="仿宋_GB2312" w:eastAsia="仿宋_GB2312"/>
                <w:sz w:val="20"/>
              </w:rPr>
              <w:t>24</w:t>
            </w:r>
            <w:r>
              <w:rPr>
                <w:rFonts w:ascii="仿宋_GB2312" w:hAnsi="仿宋_GB2312" w:cs="仿宋_GB2312" w:eastAsia="仿宋_GB2312"/>
                <w:sz w:val="20"/>
              </w:rPr>
              <w:t>次迭代运算。</w:t>
            </w:r>
          </w:p>
          <w:p>
            <w:pPr>
              <w:pStyle w:val="null3"/>
            </w:pPr>
            <w:r>
              <w:rPr>
                <w:rFonts w:ascii="仿宋_GB2312" w:hAnsi="仿宋_GB2312" w:cs="仿宋_GB2312" w:eastAsia="仿宋_GB2312"/>
              </w:rPr>
              <w:t>（二）高性能存储资源</w:t>
            </w:r>
          </w:p>
          <w:p>
            <w:pPr>
              <w:pStyle w:val="null3"/>
            </w:pPr>
            <w:r>
              <w:rPr>
                <w:rFonts w:ascii="仿宋_GB2312" w:hAnsi="仿宋_GB2312" w:cs="仿宋_GB2312" w:eastAsia="仿宋_GB2312"/>
              </w:rPr>
              <w:t>全年提供</w:t>
            </w:r>
            <w:r>
              <w:rPr>
                <w:rFonts w:ascii="仿宋_GB2312" w:hAnsi="仿宋_GB2312" w:cs="仿宋_GB2312" w:eastAsia="仿宋_GB2312"/>
              </w:rPr>
              <w:t>500TB</w:t>
            </w:r>
            <w:r>
              <w:rPr>
                <w:rFonts w:ascii="仿宋_GB2312" w:hAnsi="仿宋_GB2312" w:cs="仿宋_GB2312" w:eastAsia="仿宋_GB2312"/>
              </w:rPr>
              <w:t>高性能分布式文件</w:t>
            </w:r>
            <w:r>
              <w:rPr>
                <w:rFonts w:ascii="仿宋_GB2312" w:hAnsi="仿宋_GB2312" w:cs="仿宋_GB2312" w:eastAsia="仿宋_GB2312"/>
              </w:rPr>
              <w:t>/</w:t>
            </w:r>
            <w:r>
              <w:rPr>
                <w:rFonts w:ascii="仿宋_GB2312" w:hAnsi="仿宋_GB2312" w:cs="仿宋_GB2312" w:eastAsia="仿宋_GB2312"/>
              </w:rPr>
              <w:t>对象存储空间，支持</w:t>
            </w:r>
            <w:r>
              <w:rPr>
                <w:rFonts w:ascii="仿宋_GB2312" w:hAnsi="仿宋_GB2312" w:cs="仿宋_GB2312" w:eastAsia="仿宋_GB2312"/>
              </w:rPr>
              <w:t>POSIX+RDMA</w:t>
            </w:r>
            <w:r>
              <w:rPr>
                <w:rFonts w:ascii="仿宋_GB2312" w:hAnsi="仿宋_GB2312" w:cs="仿宋_GB2312" w:eastAsia="仿宋_GB2312"/>
              </w:rPr>
              <w:t>高速访问协议，适配气象业务海量数据读写需求。可承载每日近</w:t>
            </w:r>
            <w:r>
              <w:rPr>
                <w:rFonts w:ascii="仿宋_GB2312" w:hAnsi="仿宋_GB2312" w:cs="仿宋_GB2312" w:eastAsia="仿宋_GB2312"/>
              </w:rPr>
              <w:t>1.3TB</w:t>
            </w:r>
            <w:r>
              <w:rPr>
                <w:rFonts w:ascii="仿宋_GB2312" w:hAnsi="仿宋_GB2312" w:cs="仿宋_GB2312" w:eastAsia="仿宋_GB2312"/>
              </w:rPr>
              <w:t>的前处理输入数据（地面自动站、雷达、卫星、</w:t>
            </w:r>
            <w:r>
              <w:rPr>
                <w:rFonts w:ascii="仿宋_GB2312" w:hAnsi="仿宋_GB2312" w:cs="仿宋_GB2312" w:eastAsia="仿宋_GB2312"/>
              </w:rPr>
              <w:t>GPS/MET</w:t>
            </w:r>
            <w:r>
              <w:rPr>
                <w:rFonts w:ascii="仿宋_GB2312" w:hAnsi="仿宋_GB2312" w:cs="仿宋_GB2312" w:eastAsia="仿宋_GB2312"/>
              </w:rPr>
              <w:t>等观测数据）与后处理输出预报数据，满足每日</w:t>
            </w:r>
            <w:r>
              <w:rPr>
                <w:rFonts w:ascii="仿宋_GB2312" w:hAnsi="仿宋_GB2312" w:cs="仿宋_GB2312" w:eastAsia="仿宋_GB2312"/>
              </w:rPr>
              <w:t>440GB</w:t>
            </w:r>
            <w:r>
              <w:rPr>
                <w:rFonts w:ascii="仿宋_GB2312" w:hAnsi="仿宋_GB2312" w:cs="仿宋_GB2312" w:eastAsia="仿宋_GB2312"/>
              </w:rPr>
              <w:t>预报数据存储、历史气象模拟数据留存、科研数据归档需求，保障数据读写高速、稳定、不卡顿。</w:t>
            </w:r>
          </w:p>
          <w:p>
            <w:pPr>
              <w:pStyle w:val="null3"/>
            </w:pPr>
            <w:r>
              <w:rPr>
                <w:rFonts w:ascii="仿宋_GB2312" w:hAnsi="仿宋_GB2312" w:cs="仿宋_GB2312" w:eastAsia="仿宋_GB2312"/>
              </w:rPr>
              <w:t>（三）高速网络资源</w:t>
            </w:r>
          </w:p>
          <w:p>
            <w:pPr>
              <w:pStyle w:val="null3"/>
            </w:pPr>
            <w:r>
              <w:rPr>
                <w:rFonts w:ascii="仿宋_GB2312" w:hAnsi="仿宋_GB2312" w:cs="仿宋_GB2312" w:eastAsia="仿宋_GB2312"/>
              </w:rPr>
              <w:t>开通专属专线接入国家超级计算中心，搭建双向高速、低延迟、高可靠的数据传输通道，实现气象观测数据、模式运算数据、预报产品数据的实时同步，保障业务流程全链条数据传输稳定、安全、高效，杜绝网络延迟、中断影响预报产品准时发布。</w:t>
            </w:r>
          </w:p>
          <w:p>
            <w:pPr>
              <w:pStyle w:val="null3"/>
            </w:pPr>
            <w:r>
              <w:rPr>
                <w:rFonts w:ascii="仿宋_GB2312" w:hAnsi="仿宋_GB2312" w:cs="仿宋_GB2312" w:eastAsia="仿宋_GB2312"/>
              </w:rPr>
              <w:t>（四）配套技术服务</w:t>
            </w:r>
          </w:p>
          <w:p>
            <w:pPr>
              <w:pStyle w:val="null3"/>
            </w:pPr>
            <w:r>
              <w:rPr>
                <w:rFonts w:ascii="仿宋_GB2312" w:hAnsi="仿宋_GB2312" w:cs="仿宋_GB2312" w:eastAsia="仿宋_GB2312"/>
              </w:rPr>
              <w:t xml:space="preserve">1. </w:t>
            </w:r>
            <w:r>
              <w:rPr>
                <w:rFonts w:ascii="仿宋_GB2312" w:hAnsi="仿宋_GB2312" w:cs="仿宋_GB2312" w:eastAsia="仿宋_GB2312"/>
              </w:rPr>
              <w:t>作业调度优化：针对气象数值预报并行计算特点，优化作业调度策略，提升算力利用率与模式运行效率，保障各层级预报模式按时完成运算。</w:t>
            </w:r>
          </w:p>
          <w:p>
            <w:pPr>
              <w:pStyle w:val="null3"/>
            </w:pPr>
            <w:r>
              <w:rPr>
                <w:rFonts w:ascii="仿宋_GB2312" w:hAnsi="仿宋_GB2312" w:cs="仿宋_GB2312" w:eastAsia="仿宋_GB2312"/>
              </w:rPr>
              <w:t xml:space="preserve">2. </w:t>
            </w:r>
            <w:r>
              <w:rPr>
                <w:rFonts w:ascii="仿宋_GB2312" w:hAnsi="仿宋_GB2312" w:cs="仿宋_GB2312" w:eastAsia="仿宋_GB2312"/>
              </w:rPr>
              <w:t>应用适配调优：负责</w:t>
            </w:r>
            <w:r>
              <w:rPr>
                <w:rFonts w:ascii="仿宋_GB2312" w:hAnsi="仿宋_GB2312" w:cs="仿宋_GB2312" w:eastAsia="仿宋_GB2312"/>
              </w:rPr>
              <w:t>WRF</w:t>
            </w:r>
            <w:r>
              <w:rPr>
                <w:rFonts w:ascii="仿宋_GB2312" w:hAnsi="仿宋_GB2312" w:cs="仿宋_GB2312" w:eastAsia="仿宋_GB2312"/>
              </w:rPr>
              <w:t>数值模式程序移植、适配与性能调优，匹配超算平台硬件架构，解决模式运行适配问题。</w:t>
            </w:r>
          </w:p>
          <w:p>
            <w:pPr>
              <w:pStyle w:val="null3"/>
            </w:pPr>
            <w:r>
              <w:rPr>
                <w:rFonts w:ascii="仿宋_GB2312" w:hAnsi="仿宋_GB2312" w:cs="仿宋_GB2312" w:eastAsia="仿宋_GB2312"/>
              </w:rPr>
              <w:t xml:space="preserve">3. </w:t>
            </w:r>
            <w:r>
              <w:rPr>
                <w:rFonts w:ascii="仿宋_GB2312" w:hAnsi="仿宋_GB2312" w:cs="仿宋_GB2312" w:eastAsia="仿宋_GB2312"/>
              </w:rPr>
              <w:t>故障应急处置：提供</w:t>
            </w:r>
            <w:r>
              <w:rPr>
                <w:rFonts w:ascii="仿宋_GB2312" w:hAnsi="仿宋_GB2312" w:cs="仿宋_GB2312" w:eastAsia="仿宋_GB2312"/>
              </w:rPr>
              <w:t>7</w:t>
            </w:r>
            <w:r>
              <w:rPr>
                <w:rFonts w:ascii="仿宋_GB2312" w:hAnsi="仿宋_GB2312" w:cs="仿宋_GB2312" w:eastAsia="仿宋_GB2312"/>
              </w:rPr>
              <w:t>×</w:t>
            </w:r>
            <w:r>
              <w:rPr>
                <w:rFonts w:ascii="仿宋_GB2312" w:hAnsi="仿宋_GB2312" w:cs="仿宋_GB2312" w:eastAsia="仿宋_GB2312"/>
              </w:rPr>
              <w:t>24</w:t>
            </w:r>
            <w:r>
              <w:rPr>
                <w:rFonts w:ascii="仿宋_GB2312" w:hAnsi="仿宋_GB2312" w:cs="仿宋_GB2312" w:eastAsia="仿宋_GB2312"/>
              </w:rPr>
              <w:t>小时故障排查、运维保障服务，针对硬件故障、网络中断、程序异常等问题快速响应、快速修复，保障业务无人值守自动化运行。</w:t>
            </w:r>
          </w:p>
          <w:p>
            <w:pPr>
              <w:pStyle w:val="null3"/>
            </w:pPr>
            <w:r>
              <w:rPr>
                <w:rFonts w:ascii="仿宋_GB2312" w:hAnsi="仿宋_GB2312" w:cs="仿宋_GB2312" w:eastAsia="仿宋_GB2312"/>
              </w:rPr>
              <w:t xml:space="preserve">4. </w:t>
            </w:r>
            <w:r>
              <w:rPr>
                <w:rFonts w:ascii="仿宋_GB2312" w:hAnsi="仿宋_GB2312" w:cs="仿宋_GB2312" w:eastAsia="仿宋_GB2312"/>
              </w:rPr>
              <w:t>技术培训支撑：为气象局技术人员提供超算平台操作、模式运维、数据处理、故障处置等专项培训，培育本地气象高性能计算运维人才。</w:t>
            </w:r>
          </w:p>
          <w:p>
            <w:pPr>
              <w:pStyle w:val="null3"/>
              <w:jc w:val="both"/>
            </w:pPr>
            <w:r>
              <w:rPr>
                <w:rFonts w:ascii="仿宋_GB2312" w:hAnsi="仿宋_GB2312" w:cs="仿宋_GB2312" w:eastAsia="仿宋_GB2312"/>
                <w:sz w:val="21"/>
              </w:rPr>
              <w:t xml:space="preserve">5. </w:t>
            </w:r>
            <w:r>
              <w:rPr>
                <w:rFonts w:ascii="仿宋_GB2312" w:hAnsi="仿宋_GB2312" w:cs="仿宋_GB2312" w:eastAsia="仿宋_GB2312"/>
                <w:sz w:val="21"/>
              </w:rPr>
              <w:t>业务监控保障：搭建全流程业务监控体系，实现数据前处理、模式运算、产品后处理、数据发布全环节监控，具备异常告警、自动故障恢复能力。</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w:t>
            </w:r>
            <w:r>
              <w:rPr>
                <w:rFonts w:ascii="仿宋_GB2312" w:hAnsi="仿宋_GB2312" w:cs="仿宋_GB2312" w:eastAsia="仿宋_GB2312"/>
                <w:sz w:val="21"/>
                <w:b/>
              </w:rPr>
              <w:t>服务要求</w:t>
            </w:r>
          </w:p>
          <w:p>
            <w:pPr>
              <w:pStyle w:val="null3"/>
            </w:pPr>
            <w:r>
              <w:rPr>
                <w:rFonts w:ascii="仿宋_GB2312" w:hAnsi="仿宋_GB2312" w:cs="仿宋_GB2312" w:eastAsia="仿宋_GB2312"/>
                <w:sz w:val="21"/>
                <w:b/>
              </w:rPr>
              <w:t>1</w:t>
            </w:r>
            <w:r>
              <w:rPr>
                <w:rFonts w:ascii="仿宋_GB2312" w:hAnsi="仿宋_GB2312" w:cs="仿宋_GB2312" w:eastAsia="仿宋_GB2312"/>
              </w:rPr>
              <w:t>.</w:t>
            </w:r>
            <w:r>
              <w:rPr>
                <w:rFonts w:ascii="仿宋_GB2312" w:hAnsi="仿宋_GB2312" w:cs="仿宋_GB2312" w:eastAsia="仿宋_GB2312"/>
              </w:rPr>
              <w:t>质保期：</w:t>
            </w:r>
          </w:p>
          <w:p>
            <w:pPr>
              <w:pStyle w:val="null3"/>
            </w:pPr>
            <w:r>
              <w:rPr>
                <w:rFonts w:ascii="仿宋_GB2312" w:hAnsi="仿宋_GB2312" w:cs="仿宋_GB2312" w:eastAsia="仿宋_GB2312"/>
              </w:rPr>
              <w:t>服务期限内即自合同签订之日起免费质保一年。</w:t>
            </w:r>
          </w:p>
          <w:p>
            <w:pPr>
              <w:pStyle w:val="null3"/>
            </w:pPr>
            <w:r>
              <w:rPr>
                <w:rFonts w:ascii="仿宋_GB2312" w:hAnsi="仿宋_GB2312" w:cs="仿宋_GB2312" w:eastAsia="仿宋_GB2312"/>
              </w:rPr>
              <w:t>2.</w:t>
            </w:r>
            <w:r>
              <w:rPr>
                <w:rFonts w:ascii="仿宋_GB2312" w:hAnsi="仿宋_GB2312" w:cs="仿宋_GB2312" w:eastAsia="仿宋_GB2312"/>
              </w:rPr>
              <w:t>故障响应</w:t>
            </w:r>
          </w:p>
          <w:p>
            <w:pPr>
              <w:pStyle w:val="null3"/>
            </w:pPr>
            <w:r>
              <w:rPr>
                <w:rFonts w:ascii="仿宋_GB2312" w:hAnsi="仿宋_GB2312" w:cs="仿宋_GB2312" w:eastAsia="仿宋_GB2312"/>
              </w:rPr>
              <w:t>(1</w:t>
            </w:r>
            <w:r>
              <w:rPr>
                <w:rFonts w:ascii="仿宋_GB2312" w:hAnsi="仿宋_GB2312" w:cs="仿宋_GB2312" w:eastAsia="仿宋_GB2312"/>
              </w:rPr>
              <w:t>）在接到用户的服务要求通知后，</w:t>
            </w:r>
            <w:r>
              <w:rPr>
                <w:rFonts w:ascii="仿宋_GB2312" w:hAnsi="仿宋_GB2312" w:cs="仿宋_GB2312" w:eastAsia="仿宋_GB2312"/>
              </w:rPr>
              <w:t>10</w:t>
            </w:r>
            <w:r>
              <w:rPr>
                <w:rFonts w:ascii="仿宋_GB2312" w:hAnsi="仿宋_GB2312" w:cs="仿宋_GB2312" w:eastAsia="仿宋_GB2312"/>
              </w:rPr>
              <w:t>分钟内响应，售后服务人员须在</w:t>
            </w:r>
            <w:r>
              <w:rPr>
                <w:rFonts w:ascii="仿宋_GB2312" w:hAnsi="仿宋_GB2312" w:cs="仿宋_GB2312" w:eastAsia="仿宋_GB2312"/>
              </w:rPr>
              <w:t>2</w:t>
            </w:r>
            <w:r>
              <w:rPr>
                <w:rFonts w:ascii="仿宋_GB2312" w:hAnsi="仿宋_GB2312" w:cs="仿宋_GB2312" w:eastAsia="仿宋_GB2312"/>
              </w:rPr>
              <w:t>小时内提供技术支持。</w:t>
            </w:r>
          </w:p>
          <w:p>
            <w:pPr>
              <w:pStyle w:val="null3"/>
            </w:pPr>
            <w:r>
              <w:rPr>
                <w:rFonts w:ascii="仿宋_GB2312" w:hAnsi="仿宋_GB2312" w:cs="仿宋_GB2312" w:eastAsia="仿宋_GB2312"/>
              </w:rPr>
              <w:t>(2)</w:t>
            </w:r>
            <w:r>
              <w:rPr>
                <w:rFonts w:ascii="仿宋_GB2312" w:hAnsi="仿宋_GB2312" w:cs="仿宋_GB2312" w:eastAsia="仿宋_GB2312"/>
              </w:rPr>
              <w:t>一般问题</w:t>
            </w:r>
            <w:r>
              <w:rPr>
                <w:rFonts w:ascii="仿宋_GB2312" w:hAnsi="仿宋_GB2312" w:cs="仿宋_GB2312" w:eastAsia="仿宋_GB2312"/>
              </w:rPr>
              <w:t>2</w:t>
            </w:r>
            <w:r>
              <w:rPr>
                <w:rFonts w:ascii="仿宋_GB2312" w:hAnsi="仿宋_GB2312" w:cs="仿宋_GB2312" w:eastAsia="仿宋_GB2312"/>
              </w:rPr>
              <w:t>小时内解决；较大问题在</w:t>
            </w:r>
            <w:r>
              <w:rPr>
                <w:rFonts w:ascii="仿宋_GB2312" w:hAnsi="仿宋_GB2312" w:cs="仿宋_GB2312" w:eastAsia="仿宋_GB2312"/>
              </w:rPr>
              <w:t>4</w:t>
            </w:r>
            <w:r>
              <w:rPr>
                <w:rFonts w:ascii="仿宋_GB2312" w:hAnsi="仿宋_GB2312" w:cs="仿宋_GB2312" w:eastAsia="仿宋_GB2312"/>
              </w:rPr>
              <w:t>小时以内解决；重大问题</w:t>
            </w:r>
            <w:r>
              <w:rPr>
                <w:rFonts w:ascii="仿宋_GB2312" w:hAnsi="仿宋_GB2312" w:cs="仿宋_GB2312" w:eastAsia="仿宋_GB2312"/>
              </w:rPr>
              <w:t>4</w:t>
            </w:r>
            <w:r>
              <w:rPr>
                <w:rFonts w:ascii="仿宋_GB2312" w:hAnsi="仿宋_GB2312" w:cs="仿宋_GB2312" w:eastAsia="仿宋_GB2312"/>
              </w:rPr>
              <w:t>小时内提出解决方案，并在</w:t>
            </w:r>
            <w:r>
              <w:rPr>
                <w:rFonts w:ascii="仿宋_GB2312" w:hAnsi="仿宋_GB2312" w:cs="仿宋_GB2312" w:eastAsia="仿宋_GB2312"/>
              </w:rPr>
              <w:t>24</w:t>
            </w:r>
            <w:r>
              <w:rPr>
                <w:rFonts w:ascii="仿宋_GB2312" w:hAnsi="仿宋_GB2312" w:cs="仿宋_GB2312" w:eastAsia="仿宋_GB2312"/>
              </w:rPr>
              <w:t>小时内解决。</w:t>
            </w:r>
          </w:p>
          <w:p>
            <w:pPr>
              <w:pStyle w:val="null3"/>
            </w:pPr>
            <w:r>
              <w:rPr>
                <w:rFonts w:ascii="仿宋_GB2312" w:hAnsi="仿宋_GB2312" w:cs="仿宋_GB2312" w:eastAsia="仿宋_GB2312"/>
              </w:rPr>
              <w:t>(3</w:t>
            </w:r>
            <w:r>
              <w:rPr>
                <w:rFonts w:ascii="仿宋_GB2312" w:hAnsi="仿宋_GB2312" w:cs="仿宋_GB2312" w:eastAsia="仿宋_GB2312"/>
              </w:rPr>
              <w:t>）如需现场服务的，应具有解决故障能力的工程师在接到报修通知次日到达现场。</w:t>
            </w:r>
          </w:p>
          <w:p>
            <w:pPr>
              <w:pStyle w:val="null3"/>
            </w:pPr>
            <w:r>
              <w:rPr>
                <w:rFonts w:ascii="仿宋_GB2312" w:hAnsi="仿宋_GB2312" w:cs="仿宋_GB2312" w:eastAsia="仿宋_GB2312"/>
              </w:rPr>
              <w:t>(4</w:t>
            </w:r>
            <w:r>
              <w:rPr>
                <w:rFonts w:ascii="仿宋_GB2312" w:hAnsi="仿宋_GB2312" w:cs="仿宋_GB2312" w:eastAsia="仿宋_GB2312"/>
              </w:rPr>
              <w:t>）供应商所投算力中心须免费提供每周</w:t>
            </w:r>
            <w:r>
              <w:rPr>
                <w:rFonts w:ascii="仿宋_GB2312" w:hAnsi="仿宋_GB2312" w:cs="仿宋_GB2312" w:eastAsia="仿宋_GB2312"/>
              </w:rPr>
              <w:t>7</w:t>
            </w:r>
            <w:r>
              <w:rPr>
                <w:rFonts w:ascii="仿宋_GB2312" w:hAnsi="仿宋_GB2312" w:cs="仿宋_GB2312" w:eastAsia="仿宋_GB2312"/>
              </w:rPr>
              <w:t>天，每天</w:t>
            </w:r>
            <w:r>
              <w:rPr>
                <w:rFonts w:ascii="仿宋_GB2312" w:hAnsi="仿宋_GB2312" w:cs="仿宋_GB2312" w:eastAsia="仿宋_GB2312"/>
              </w:rPr>
              <w:t>15</w:t>
            </w:r>
            <w:r>
              <w:rPr>
                <w:rFonts w:ascii="仿宋_GB2312" w:hAnsi="仿宋_GB2312" w:cs="仿宋_GB2312" w:eastAsia="仿宋_GB2312"/>
              </w:rPr>
              <w:t>小时的支持服务。</w:t>
            </w:r>
          </w:p>
          <w:p>
            <w:pPr>
              <w:pStyle w:val="null3"/>
            </w:pPr>
            <w:r>
              <w:rPr>
                <w:rFonts w:ascii="仿宋_GB2312" w:hAnsi="仿宋_GB2312" w:cs="仿宋_GB2312" w:eastAsia="仿宋_GB2312"/>
              </w:rPr>
              <w:t>3.</w:t>
            </w:r>
            <w:r>
              <w:rPr>
                <w:rFonts w:ascii="仿宋_GB2312" w:hAnsi="仿宋_GB2312" w:cs="仿宋_GB2312" w:eastAsia="仿宋_GB2312"/>
              </w:rPr>
              <w:t>售后技术支持：</w:t>
            </w:r>
          </w:p>
          <w:p>
            <w:pPr>
              <w:pStyle w:val="null3"/>
            </w:pPr>
            <w:r>
              <w:rPr>
                <w:rFonts w:ascii="仿宋_GB2312" w:hAnsi="仿宋_GB2312" w:cs="仿宋_GB2312" w:eastAsia="仿宋_GB2312"/>
              </w:rPr>
              <w:t>供应商所投算力中心须具备提供基础系统维护服务、协助采购人进行气象计算软件及系统部署能力，以保障对用户服务需求及时快速的响应能力。必要时须能够提供驻场服务，可由供应商和采购人协商。</w:t>
            </w:r>
          </w:p>
          <w:p>
            <w:pPr>
              <w:pStyle w:val="null3"/>
            </w:pPr>
            <w:r>
              <w:rPr>
                <w:rFonts w:ascii="仿宋_GB2312" w:hAnsi="仿宋_GB2312" w:cs="仿宋_GB2312" w:eastAsia="仿宋_GB2312"/>
              </w:rPr>
              <w:t>4.</w:t>
            </w:r>
            <w:r>
              <w:rPr>
                <w:rFonts w:ascii="仿宋_GB2312" w:hAnsi="仿宋_GB2312" w:cs="仿宋_GB2312" w:eastAsia="仿宋_GB2312"/>
              </w:rPr>
              <w:t>培训服务</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）培训时间、地点、方式由供应商和采购人协商；</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）培训内容包括：算力平台介绍及基础操作培训、算力平台资源环境配置培训、气象领域高性能计算及相关业务程序部署培训等，满足采购人日常使用需求。培训课程内容可由供应商和采购人协商；</w:t>
            </w:r>
          </w:p>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）培训对象须覆盖采购人系统管理员、操作员等，可由供应商和采购人协商；</w:t>
            </w:r>
          </w:p>
          <w:p>
            <w:pPr>
              <w:pStyle w:val="null3"/>
            </w:pPr>
            <w:r>
              <w:rPr>
                <w:rFonts w:ascii="仿宋_GB2312" w:hAnsi="仿宋_GB2312" w:cs="仿宋_GB2312" w:eastAsia="仿宋_GB2312"/>
              </w:rPr>
              <w:t>5.</w:t>
            </w:r>
            <w:r>
              <w:rPr>
                <w:rFonts w:ascii="仿宋_GB2312" w:hAnsi="仿宋_GB2312" w:cs="仿宋_GB2312" w:eastAsia="仿宋_GB2312"/>
              </w:rPr>
              <w:t>重大项目保障服务</w:t>
            </w:r>
          </w:p>
          <w:p>
            <w:pPr>
              <w:pStyle w:val="null3"/>
            </w:pPr>
            <w:r>
              <w:rPr>
                <w:rFonts w:ascii="仿宋_GB2312" w:hAnsi="仿宋_GB2312" w:cs="仿宋_GB2312" w:eastAsia="仿宋_GB2312"/>
              </w:rPr>
              <w:t>供应商所投算力中心须提供重大项目专属保障服务、重大项目关键节点支撑能力快速扩展服务。</w:t>
            </w:r>
          </w:p>
          <w:p>
            <w:pPr>
              <w:pStyle w:val="null3"/>
            </w:pPr>
            <w:r>
              <w:rPr>
                <w:rFonts w:ascii="仿宋_GB2312" w:hAnsi="仿宋_GB2312" w:cs="仿宋_GB2312" w:eastAsia="仿宋_GB2312"/>
              </w:rPr>
              <w:t>6.</w:t>
            </w:r>
            <w:r>
              <w:rPr>
                <w:rFonts w:ascii="仿宋_GB2312" w:hAnsi="仿宋_GB2312" w:cs="仿宋_GB2312" w:eastAsia="仿宋_GB2312"/>
              </w:rPr>
              <w:t>气象服务支撑</w:t>
            </w:r>
          </w:p>
          <w:p>
            <w:pPr>
              <w:pStyle w:val="null3"/>
              <w:jc w:val="both"/>
            </w:pPr>
            <w:r>
              <w:rPr>
                <w:rFonts w:ascii="仿宋_GB2312" w:hAnsi="仿宋_GB2312" w:cs="仿宋_GB2312" w:eastAsia="仿宋_GB2312"/>
                <w:sz w:val="21"/>
              </w:rPr>
              <w:t>供应商所投算力中心须具备提供多样的气象服务支撑，包括：气象人工智能应用支撑服务、气象科研创新应用开发技术支撑服务、气象科研创新应用测试验证支撑服务等，具体支撑服务内容可由供应商和采购人协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详见服务内容及服务要求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自合同签订之日起一年,具体以甲方签约时间为准。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采购人指定区域</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服务验收标准：（一）资源配置验收 供应商需严格按照月度算力配置标准、500TB存储资源、200Gb高速网络标准提供服务，确保资源足额、专属、独享，可实时查询资源占用、运行状态，无资源挤占、带宽受限等问题。 （二）业务运行验收 1.模式运行稳定：三层嵌套WRF数值模式常态化稳定运行，D03层1公里分辨率预报每日完成24次逐小时更新，各层级预报时效、更新频次完全达标。 2.数据处理合规：每日顺利完成近20GB输入数据同化、440GB预报数据输出，数据完整、准确，164项气象要素输出齐全，无数据缺失、错乱、延迟问题。 3.传输高效安全：专线网络传输稳定，低延迟、高可靠，满足每日海量数据读写、同步需求，数据传输全程安全可控。 （三）技术服务验收 供应商7×24小时响应运维需求，故障处置及时高效，系统无长时间停机、业务中断情况；定期完成系统优化、算力调度升级；按要求完成技术培训，形成完整运维、培训台账；全流程监控告警、故障恢复机制完善，业务自动化运行顺畅。 （四）阶段性验收机制 实行月度核查、年度总验收机制。每月核查资源配置、业务运行情况；年度服务期满后，完成整体项目验收，出具验收报告。</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预付款，本项目采用年度服务、分期支付模式，严格按照财政资金支付流程及合同约定执行。 合同签订生效后，达到付款条件起10个工作日内，支付合同总金额的70.0%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进度款，供应商根据甲方需求出完成周年服务实施方案并经过甲方评审通过后，达到付款条件起10个工作日内，支付合同总金额的30.0%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投标文件，同时，于开标前线下提交投标响应客户端生成带水印的投标文件纸质版至西安市气象局四楼会议，投标文件正本一份，副本二份，电子 U 盘二份。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提供（1）或提供（2）：（1）提供2024年度或2025年度财务报告复印件，应满足以下要求 ： ①供应商是企业的，财务报告是指经会计师事务所审计的上述指定年度整个会计年度财务报表（须提供会计师事务所出具的审计报告复印件）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财务报表复印件（不要求必须是经审计的）。（2）提供资信证明原件或复印件，应满足以下要求： ① 资信证明须为递交响应文件截止时间前六个月内由供应商基本账户开户银行出具。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银行出具的存款证明不能替代银行资信证明；供应商需在项目电子化交易系统中按要求上传相应证明文件并进行电子签章。供应商需在项目电子化交易系统中按要求上传相应证明文件并进行电子签章。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法定代表人证明书或者授权委托书</w:t>
            </w:r>
          </w:p>
        </w:tc>
        <w:tc>
          <w:tcPr>
            <w:tcW w:type="dxa" w:w="3322"/>
          </w:tcPr>
          <w:p>
            <w:pPr>
              <w:pStyle w:val="null3"/>
            </w:pPr>
            <w:r>
              <w:rPr>
                <w:rFonts w:ascii="仿宋_GB2312" w:hAnsi="仿宋_GB2312" w:cs="仿宋_GB2312" w:eastAsia="仿宋_GB2312"/>
              </w:rPr>
              <w:t>法定代表人参加开标时，提供法定代表人证明书；授权代表参加开标时，提供法定代表人授权书；非法人单位参照执行。</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供应商未被“信用中国”网站（www.creditchina.gov.cn）列入失信被执行人、重大税收违法失信主体名单，未被中国政府采购网（www.ccgp.gov.cn）列入政府采购严重违法失信行为记录名单。</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分项报价表（1）.docx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分项报价表（1）.docx 标的清单 服务内容及服务邀请应答表.docx 供应商资格证明文件.docx 商务应答表.docx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分项报价表（1）.docx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商务应答表.docx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服务配置参数响应</w:t>
            </w:r>
          </w:p>
        </w:tc>
        <w:tc>
          <w:tcPr>
            <w:tcW w:type="dxa" w:w="2492"/>
          </w:tcPr>
          <w:p>
            <w:pPr>
              <w:pStyle w:val="null3"/>
            </w:pPr>
            <w:r>
              <w:rPr>
                <w:rFonts w:ascii="仿宋_GB2312" w:hAnsi="仿宋_GB2312" w:cs="仿宋_GB2312" w:eastAsia="仿宋_GB2312"/>
              </w:rPr>
              <w:t>①满足高性能计算资源配置要求得9分，每有1项不满扣1分，扣完为止； ②高性能存储资源配置要求得9分，每有1项不满扣1分，扣完为止； ③满足高速网络资源要求得3分，每有1项不满扣0.5分，扣完为止。 提供相应证明材料(不限于承诺书、服务参数响应表、授权等)</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整体技术服务方案</w:t>
            </w:r>
          </w:p>
        </w:tc>
        <w:tc>
          <w:tcPr>
            <w:tcW w:type="dxa" w:w="2492"/>
          </w:tcPr>
          <w:p>
            <w:pPr>
              <w:pStyle w:val="null3"/>
            </w:pPr>
            <w:r>
              <w:rPr>
                <w:rFonts w:ascii="仿宋_GB2312" w:hAnsi="仿宋_GB2312" w:cs="仿宋_GB2312" w:eastAsia="仿宋_GB2312"/>
              </w:rPr>
              <w:t>根据采购要求和响应情况，对供应商提供的整体技术服务方案进行综合评价： 技术服务方案内容完整且包含采购需求中的所有内容、科学合理、针对性强，有清晰的思路，同时针对项目实施过程中遇到的问题及因素有充分的可行建议和措施，并能完全满足采购文件要求的得10分； 评审内容有一项内容缺陷扣0.5分，扣完为止（缺陷是指：内容表述简略，内容空泛或有遗漏，针对性不足，架构杂乱，逻辑，层级条理不清，适配性不足等情形）。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①项目负责人具有专科学历得0.5分，本科及以上学历得1分； ②具备计算机技术与软件专业技术资格证书中级专业技术职称得1分；具有计算机技术与软件专业技术资格证书（信息系统项目管理师证书）得3分。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技术团队配备</w:t>
            </w:r>
          </w:p>
        </w:tc>
        <w:tc>
          <w:tcPr>
            <w:tcW w:type="dxa" w:w="2492"/>
          </w:tcPr>
          <w:p>
            <w:pPr>
              <w:pStyle w:val="null3"/>
            </w:pPr>
            <w:r>
              <w:rPr>
                <w:rFonts w:ascii="仿宋_GB2312" w:hAnsi="仿宋_GB2312" w:cs="仿宋_GB2312" w:eastAsia="仿宋_GB2312"/>
              </w:rPr>
              <w:t>为保证服务质量，提供针对本项目特点的专业技术人员配备。 团队人员配备： 1.人员组织架构完整，岗位设置合理、明确，技术人员专业性、经验性强，且对本项目有针对性，得6分； 2.组织架构较为完整，岗位设置基本合理；技术人员专业功底扎实、经验充足，人员配置对项目有较强针对性得4分； 3.组织架构基本完整，岗位划分大体明确；技术人员具备相应专业能力与工作经验，可满足项目常规需求得2分；4.组织架构较为简单，岗位界定模糊、分工不够清晰得1分； 5.其他或未提供不得分。 备注：以上人员提供证书复印件并加盖公章。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服务质量保证承诺</w:t>
            </w:r>
          </w:p>
        </w:tc>
        <w:tc>
          <w:tcPr>
            <w:tcW w:type="dxa" w:w="2492"/>
          </w:tcPr>
          <w:p>
            <w:pPr>
              <w:pStyle w:val="null3"/>
            </w:pPr>
            <w:r>
              <w:rPr>
                <w:rFonts w:ascii="仿宋_GB2312" w:hAnsi="仿宋_GB2312" w:cs="仿宋_GB2312" w:eastAsia="仿宋_GB2312"/>
              </w:rPr>
              <w:t>评审内容：根据供应商针对本项目的①健全的质量控制体系②质量保证措施③质量控制目标的合理分解④质量目标无法实现时的认罚承诺。 评审标准：方案各部分内容全面详细、阐述条理清晰详尽、符合本项目采购需求得6分；评审内容每缺一项扣1.5分，扣完为止；评审内容有一项内容缺陷扣0.5分（缺陷是指：内容表述简略，承诺模糊或不全，服务内容不全，针对性不足，反馈渠道单一，问题难解决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供应商具有完善的售后服务体系能够保证 7*24h 不间断运行，故障响应及质保满足采购需求。①售后服务内容及流程；②售后服务人员配置情况；③解决问题及补救措施方案；④定期跟踪与持续改进方案等； 评审标准：方案各部分内容全面详细、阐述条理清晰详尽、符合本项目采购需求得6分；评审内容每缺一项扣1.5分，扣完为止；评审内容有一项内容缺陷扣0.5分（缺陷是指：内容表述简略，响应模糊，服务内容不全，针对性不足，反馈渠道单一，问题难解决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根据供应商针对本项目的①培训计划②培训内容与课程安排③培训方式④培训目标考核；评审标准：方案各部分内容全面详细、阐述条理清晰详尽、符合本项目采购需求得4分；评审内容每缺一项扣1分，扣完为止；评审内容有一项内容缺陷扣0.5分（缺陷是指：内容表述简略，目标设定空泛，针对性不足，效果追踪缺失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运维保障方案</w:t>
            </w:r>
          </w:p>
        </w:tc>
        <w:tc>
          <w:tcPr>
            <w:tcW w:type="dxa" w:w="2492"/>
          </w:tcPr>
          <w:p>
            <w:pPr>
              <w:pStyle w:val="null3"/>
            </w:pPr>
            <w:r>
              <w:rPr>
                <w:rFonts w:ascii="仿宋_GB2312" w:hAnsi="仿宋_GB2312" w:cs="仿宋_GB2312" w:eastAsia="仿宋_GB2312"/>
              </w:rPr>
              <w:t>评审内容：根据供应商针对本项目的①故障诊断②故障恢复③维护管理④紧急故障处理预案及应急措施；评审标准：方案各部分内容全面详细，合理可行，逻辑清楚，针对性及可行性强得8分；评审内容每缺一项扣2分，扣完为止；评审内容有一项内容缺陷扣0.5分（缺陷是指：内容表述简略，处置流程脱节，责任不明确，关键环节有遗漏，支撑条件不足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故障响应时间</w:t>
            </w:r>
          </w:p>
        </w:tc>
        <w:tc>
          <w:tcPr>
            <w:tcW w:type="dxa" w:w="2492"/>
          </w:tcPr>
          <w:p>
            <w:pPr>
              <w:pStyle w:val="null3"/>
            </w:pPr>
            <w:r>
              <w:rPr>
                <w:rFonts w:ascii="仿宋_GB2312" w:hAnsi="仿宋_GB2312" w:cs="仿宋_GB2312" w:eastAsia="仿宋_GB2312"/>
              </w:rPr>
              <w:t>①故障响应≤10分钟、技术支持≤2小时响应得1分；②一般问题≤2小时、较大问题≤4小时；重大问题4小时内提出解决方案，并在24小时内解决得1分；③如需现场服务的，应具有解决故障能力的工程师在接到报修通知次日到达现场得1分；④供应商所投算力中心须免费提供每周7天，每天≥15小时的支持服务得1分。（提供承诺书并提供相应保证团队架构及值班制度，提供资料不全或时限不满足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服务保证</w:t>
            </w:r>
          </w:p>
        </w:tc>
        <w:tc>
          <w:tcPr>
            <w:tcW w:type="dxa" w:w="2492"/>
          </w:tcPr>
          <w:p>
            <w:pPr>
              <w:pStyle w:val="null3"/>
            </w:pPr>
            <w:r>
              <w:rPr>
                <w:rFonts w:ascii="仿宋_GB2312" w:hAnsi="仿宋_GB2312" w:cs="仿宋_GB2312" w:eastAsia="仿宋_GB2312"/>
              </w:rPr>
              <w:t>服务能力证明：提供算力中心的计算资源服务的销售协议或代理协议或授权等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 绩</w:t>
            </w:r>
          </w:p>
        </w:tc>
        <w:tc>
          <w:tcPr>
            <w:tcW w:type="dxa" w:w="2492"/>
          </w:tcPr>
          <w:p>
            <w:pPr>
              <w:pStyle w:val="null3"/>
            </w:pPr>
            <w:r>
              <w:rPr>
                <w:rFonts w:ascii="仿宋_GB2312" w:hAnsi="仿宋_GB2312" w:cs="仿宋_GB2312" w:eastAsia="仿宋_GB2312"/>
              </w:rPr>
              <w:t>供应商具有2022年1月1日至今类似项目业绩，1份得3分，最多9分，以加盖单位公章合同或协议复印件或扫描件为准，时间以合同或协议签订日期为准。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（1）投标（响应）报价低于最高限价45%的，即投标（响应）报价&lt;最高限价×45%。 （2）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1、经初审合格的响应文件，其磋商报价为有效磋商报价，并对有效磋商报价进行政策性扣减，并依据扣减后的价格（评审价格）进行价格评审。 2、综合评分法中的价格分统一采用低价优先法计算，即满足采购文件要求且最后报价最低的供应商报价为投标基准价，其价格分为满分。其他供应商的价格分统一按照下列公式计算： 磋商报价得分=（投标基准价/磋商最终报价）×价格权值（20%）×100，超出最高限价的报价为无效报价。</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详见附件：分项报价表（1）.docx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详见附件：拟签订合同西安市气象数值预报计算服务项目.docx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