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版本号：JHZB202600720260518001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《汉中市应急避难场所专项规划(2024-2035年)》编制项目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JHZB2026007</w:t>
      </w:r>
      <w:r>
        <w:br/>
      </w:r>
      <w:r>
        <w:br/>
      </w:r>
      <w:r>
        <w:br/>
      </w:r>
    </w:p>
    <w:p>
      <w:pPr>
        <w:pStyle w:val="null3"/>
        <w:jc w:val="center"/>
        <w:outlineLvl w:val="2"/>
      </w:pPr>
      <w:r>
        <w:rPr>
          <w:rFonts w:ascii="仿宋_GB2312" w:hAnsi="仿宋_GB2312" w:cs="仿宋_GB2312" w:eastAsia="仿宋_GB2312"/>
          <w:sz w:val="28"/>
          <w:b/>
        </w:rPr>
        <w:t>汉中市应急管理局</w:t>
      </w:r>
    </w:p>
    <w:p>
      <w:pPr>
        <w:pStyle w:val="null3"/>
        <w:jc w:val="center"/>
        <w:outlineLvl w:val="2"/>
      </w:pPr>
      <w:r>
        <w:rPr>
          <w:rFonts w:ascii="仿宋_GB2312" w:hAnsi="仿宋_GB2312" w:cs="仿宋_GB2312" w:eastAsia="仿宋_GB2312"/>
          <w:sz w:val="28"/>
          <w:b/>
        </w:rPr>
        <w:t>陕西建华工程咨询有限公司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陕西建华工程咨询有限公司</w:t>
      </w:r>
      <w:r>
        <w:rPr>
          <w:rFonts w:ascii="仿宋_GB2312" w:hAnsi="仿宋_GB2312" w:cs="仿宋_GB2312" w:eastAsia="仿宋_GB2312"/>
        </w:rPr>
        <w:t>（以下简称“代理机构”）受</w:t>
      </w:r>
      <w:r>
        <w:rPr>
          <w:rFonts w:ascii="仿宋_GB2312" w:hAnsi="仿宋_GB2312" w:cs="仿宋_GB2312" w:eastAsia="仿宋_GB2312"/>
        </w:rPr>
        <w:t>汉中市应急管理局</w:t>
      </w:r>
      <w:r>
        <w:rPr>
          <w:rFonts w:ascii="仿宋_GB2312" w:hAnsi="仿宋_GB2312" w:cs="仿宋_GB2312" w:eastAsia="仿宋_GB2312"/>
        </w:rPr>
        <w:t>委托，拟对</w:t>
      </w:r>
      <w:r>
        <w:rPr>
          <w:rFonts w:ascii="仿宋_GB2312" w:hAnsi="仿宋_GB2312" w:cs="仿宋_GB2312" w:eastAsia="仿宋_GB2312"/>
        </w:rPr>
        <w:t>《汉中市应急避难场所专项规划(2024-2035年)》编制项目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JHZB2026007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《汉中市应急避难场所专项规划(2024-2035年)》编制项目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应急管理局《汉中市应急避难场所专项规划（2024-2035年）》编制项目，基于经济社会、应急管理、应急避难场所发展现状等有关因素和应急避难人口需求，开展应急避难资源调查分析，制定规划目标和应急避难策略，进行应急避难场所发展布局规划。</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采购包1（汉中市应急管理局《汉中市应急避难场所专项规划（2024-2035年）》编制项目）：属于专门面向中小企业采购。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能力的法人、其他组织或自然人，并出具合法有效的营业执照或事业单位法人证或组织机构代码证等国家规定的相关证明文件，自然人参与的提供身份证明文件；（提供加盖投标供应商公章的营业执照等复印件）</w:t>
      </w:r>
    </w:p>
    <w:p>
      <w:pPr>
        <w:pStyle w:val="null3"/>
      </w:pPr>
      <w:r>
        <w:rPr>
          <w:rFonts w:ascii="仿宋_GB2312" w:hAnsi="仿宋_GB2312" w:cs="仿宋_GB2312" w:eastAsia="仿宋_GB2312"/>
        </w:rPr>
        <w:t>2、法定代表人身份证明或授权委托书：法定代表人参加投标须提供《法定代表人身份证明》及身份证复印件；法定代表人授权他人参加投标，须提供《法定代表人授权委托书》及委托代理人身份证复印件；（提供加盖投标供应商公章的法定代表人身份证明原件和其身份证复印件或法定代表人授权委托书原件及被授权人身份证复印件）</w:t>
      </w:r>
    </w:p>
    <w:p>
      <w:pPr>
        <w:pStyle w:val="null3"/>
      </w:pPr>
      <w:r>
        <w:rPr>
          <w:rFonts w:ascii="仿宋_GB2312" w:hAnsi="仿宋_GB2312" w:cs="仿宋_GB2312" w:eastAsia="仿宋_GB2312"/>
        </w:rPr>
        <w:t>3、供应商及项目负责人资格：供应商须具备行政主管部门颁发的【城乡规划编制乙级】及以上资质，并在人员、设备、资金等方面具有相应的服务能力；拟派项目负责人具有中级及以上职称证书和注册规划师执业资格且在本单位注册。（提供加盖投标供应商公章的企业资质及项目负责人证书复印件）</w:t>
      </w:r>
    </w:p>
    <w:p>
      <w:pPr>
        <w:pStyle w:val="null3"/>
      </w:pPr>
      <w:r>
        <w:rPr>
          <w:rFonts w:ascii="仿宋_GB2312" w:hAnsi="仿宋_GB2312" w:cs="仿宋_GB2312" w:eastAsia="仿宋_GB2312"/>
        </w:rPr>
        <w:t>4、供应商信誉：供应商须具有健全的财务会计制度、履行合同所需的设备和专业技术能力、依法缴纳税收和社会保障资金，以及参加采购活动前3年内经营活动无重大违法活动记录，供应商须提供《汉中市政府采购供应商资格承诺函》并加盖公章；</w:t>
      </w:r>
    </w:p>
    <w:p>
      <w:pPr>
        <w:pStyle w:val="null3"/>
      </w:pPr>
      <w:r>
        <w:rPr>
          <w:rFonts w:ascii="仿宋_GB2312" w:hAnsi="仿宋_GB2312" w:cs="仿宋_GB2312" w:eastAsia="仿宋_GB2312"/>
        </w:rPr>
        <w:t>5、非联合体投标声明：本项目不接受联合体投标，单位负责人为同一人或者存在直接控股、管理关系的不同供应商，不得参加同一合同项下的政府采购活动；供应商须提供《非联合体投标声明》</w:t>
      </w:r>
    </w:p>
    <w:p>
      <w:pPr>
        <w:pStyle w:val="null3"/>
      </w:pPr>
      <w:r>
        <w:rPr>
          <w:rFonts w:ascii="仿宋_GB2312" w:hAnsi="仿宋_GB2312" w:cs="仿宋_GB2312" w:eastAsia="仿宋_GB2312"/>
        </w:rPr>
        <w:t>6、符合本次采购项目的供应商企业类型：本项目为专门面向中小企业的项目，供应商须为中小企业（需如实填写《中小企业声明函》）。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汉中市汉台区光辉路光辉社区B区东侧50米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0916-2626643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陕西建华工程咨询有限公司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汉中市汉台区东新街地旺花苑小区15号楼2层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0916-2523740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开户名称：陕西建华工程咨询有限公司</w:t>
            </w:r>
          </w:p>
          <w:p>
            <w:pPr>
              <w:pStyle w:val="null3"/>
            </w:pPr>
            <w:r>
              <w:rPr>
                <w:rFonts w:ascii="仿宋_GB2312" w:hAnsi="仿宋_GB2312" w:cs="仿宋_GB2312" w:eastAsia="仿宋_GB2312"/>
              </w:rPr>
              <w:t>开户银行：工行汉中西环路支行</w:t>
            </w:r>
          </w:p>
          <w:p>
            <w:pPr>
              <w:pStyle w:val="null3"/>
            </w:pPr>
            <w:r>
              <w:rPr>
                <w:rFonts w:ascii="仿宋_GB2312" w:hAnsi="仿宋_GB2312" w:cs="仿宋_GB2312" w:eastAsia="仿宋_GB2312"/>
              </w:rPr>
              <w:t>银行账号：2606053909000001816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代理服务费收费标准：参照国家计委颁布《招标代理服务收费管理暂行办法》（计价格[2002]1980 号）和《关于招标代理服务收费有关问题的通知》（发改办价格[2003]857 号）文件有关规定，依据招标代理合同计取。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汉中市应急管理局</w:t>
      </w:r>
      <w:r>
        <w:rPr>
          <w:rFonts w:ascii="仿宋_GB2312" w:hAnsi="仿宋_GB2312" w:cs="仿宋_GB2312" w:eastAsia="仿宋_GB2312"/>
        </w:rPr>
        <w:t>和</w:t>
      </w:r>
      <w:r>
        <w:rPr>
          <w:rFonts w:ascii="仿宋_GB2312" w:hAnsi="仿宋_GB2312" w:cs="仿宋_GB2312" w:eastAsia="仿宋_GB2312"/>
        </w:rPr>
        <w:t>陕西建华工程咨询有限公司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陕西建华工程咨询有限公司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陕西建华工程咨询有限公司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质量要求和技术指标(包括每一项技术和商务要求的履约情况)、供应商的响应文件及承诺与本合同约定标准进行验收；合同双方如对质量要求和技术指标的约定标准有相互抵触或异议的事项，由采购人在国家有关规定、磋商文件、响应文件及承诺与采购合同约定中按质量要求和技术指标比较优胜的原则确定该项的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陕西建华工程咨询有限公司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陕西建华工程咨询有限公司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陕西建华工程咨询有限公司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联系人：武女士</w:t>
      </w:r>
    </w:p>
    <w:p>
      <w:pPr>
        <w:pStyle w:val="null3"/>
      </w:pPr>
      <w:r>
        <w:rPr>
          <w:rFonts w:ascii="仿宋_GB2312" w:hAnsi="仿宋_GB2312" w:cs="仿宋_GB2312" w:eastAsia="仿宋_GB2312"/>
        </w:rPr>
        <w:t>联系电话：0916-2523740</w:t>
      </w:r>
    </w:p>
    <w:p>
      <w:pPr>
        <w:pStyle w:val="null3"/>
      </w:pPr>
      <w:r>
        <w:rPr>
          <w:rFonts w:ascii="仿宋_GB2312" w:hAnsi="仿宋_GB2312" w:cs="仿宋_GB2312" w:eastAsia="仿宋_GB2312"/>
        </w:rPr>
        <w:t>地址：汉中市汉台区东新街地旺花苑小区15号楼2层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应急管理局《汉中市应急避难场所专项规划（2024-2035年）》编制项目，基于经济社会、应急管理、应急避难场所发展现状等有关因素和应急避难人口需求，开展应急避难资源调查分析，制定规划目标和应急避难策略，进行应急避难场所发展布局规划。</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汉中市应急避难场所专项规划(2024-2035年)编制项目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标的名称：汉中市应急避难场所专项规划(2024-2035年)编制项目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、项目名称：</w:t>
            </w:r>
            <w:r>
              <w:rPr>
                <w:rFonts w:ascii="仿宋_GB2312" w:hAnsi="仿宋_GB2312" w:cs="仿宋_GB2312" w:eastAsia="仿宋_GB2312"/>
                <w:sz w:val="24"/>
              </w:rPr>
              <w:t>汉中市应急管理局《汉中市应急避难场所专项规划（</w:t>
            </w:r>
            <w:r>
              <w:rPr>
                <w:rFonts w:ascii="仿宋_GB2312" w:hAnsi="仿宋_GB2312" w:cs="仿宋_GB2312" w:eastAsia="仿宋_GB2312"/>
                <w:sz w:val="24"/>
              </w:rPr>
              <w:t>2024-2035年）》编制项目</w:t>
            </w:r>
          </w:p>
          <w:p>
            <w:pPr>
              <w:pStyle w:val="null3"/>
              <w:ind w:firstLine="480"/>
              <w:jc w:val="both"/>
            </w:pPr>
            <w:r>
              <w:rPr>
                <w:rFonts w:ascii="仿宋_GB2312" w:hAnsi="仿宋_GB2312" w:cs="仿宋_GB2312" w:eastAsia="仿宋_GB2312"/>
                <w:sz w:val="24"/>
              </w:rPr>
              <w:t>2、采购内容:汉中市应急管理局《汉中市应急避难场所专项规划（2024-2035年）》编制</w:t>
            </w:r>
            <w:r>
              <w:rPr>
                <w:rFonts w:ascii="仿宋_GB2312" w:hAnsi="仿宋_GB2312" w:cs="仿宋_GB2312" w:eastAsia="仿宋_GB2312"/>
                <w:sz w:val="24"/>
              </w:rPr>
              <w:t>项目</w:t>
            </w:r>
            <w:r>
              <w:rPr>
                <w:rFonts w:ascii="仿宋_GB2312" w:hAnsi="仿宋_GB2312" w:cs="仿宋_GB2312" w:eastAsia="仿宋_GB2312"/>
                <w:sz w:val="24"/>
              </w:rPr>
              <w:t>，基于经济社会、应急管理、应急避难场所发展现状等有关因素和应急避难人口需求，开展应急避难资源调查分析，制定规划目标和应急避难策略，进行应急避难场所发展布局规划</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3、主要功能或目标:开展科学合理的规划选址，完善专业应急救援体系构建，最大限度发挥其作用，提升全市域应急救援水平。规划成果应形成汉中市应急避难场所专题研究报告、文本、图集、说明书及数据库。</w:t>
            </w:r>
          </w:p>
          <w:p>
            <w:pPr>
              <w:pStyle w:val="null3"/>
              <w:ind w:firstLine="480"/>
              <w:jc w:val="both"/>
            </w:pPr>
            <w:r>
              <w:rPr>
                <w:rFonts w:ascii="仿宋_GB2312" w:hAnsi="仿宋_GB2312" w:cs="仿宋_GB2312" w:eastAsia="仿宋_GB2312"/>
                <w:sz w:val="24"/>
              </w:rPr>
              <w:t>4、需满足的要求:成果质量符合国家相关技术规范，并通过专家评审及相关监管部门符合性审查。</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预算金额：</w:t>
            </w:r>
            <w:r>
              <w:rPr>
                <w:rFonts w:ascii="仿宋_GB2312" w:hAnsi="仿宋_GB2312" w:cs="仿宋_GB2312" w:eastAsia="仿宋_GB2312"/>
                <w:sz w:val="24"/>
              </w:rPr>
              <w:t>60</w:t>
            </w:r>
            <w:r>
              <w:rPr>
                <w:rFonts w:ascii="仿宋_GB2312" w:hAnsi="仿宋_GB2312" w:cs="仿宋_GB2312" w:eastAsia="仿宋_GB2312"/>
                <w:sz w:val="24"/>
              </w:rPr>
              <w:t>0000.00</w:t>
            </w:r>
            <w:r>
              <w:rPr>
                <w:rFonts w:ascii="仿宋_GB2312" w:hAnsi="仿宋_GB2312" w:cs="仿宋_GB2312" w:eastAsia="仿宋_GB2312"/>
                <w:sz w:val="24"/>
              </w:rPr>
              <w:t>元</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合同履行期限</w:t>
            </w:r>
            <w:r>
              <w:rPr>
                <w:rFonts w:ascii="仿宋_GB2312" w:hAnsi="仿宋_GB2312" w:cs="仿宋_GB2312" w:eastAsia="仿宋_GB2312"/>
                <w:sz w:val="24"/>
              </w:rPr>
              <w:t>：</w:t>
            </w:r>
            <w:r>
              <w:rPr>
                <w:rFonts w:ascii="仿宋_GB2312" w:hAnsi="仿宋_GB2312" w:cs="仿宋_GB2312" w:eastAsia="仿宋_GB2312"/>
                <w:sz w:val="24"/>
              </w:rPr>
              <w:t>自合同签订之日起</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180</w:t>
            </w:r>
            <w:r>
              <w:rPr>
                <w:rFonts w:ascii="仿宋_GB2312" w:hAnsi="仿宋_GB2312" w:cs="仿宋_GB2312" w:eastAsia="仿宋_GB2312"/>
                <w:sz w:val="24"/>
                <w:u w:val="single"/>
              </w:rPr>
              <w:t xml:space="preserve"> </w:t>
            </w:r>
            <w:r>
              <w:rPr>
                <w:rFonts w:ascii="仿宋_GB2312" w:hAnsi="仿宋_GB2312" w:cs="仿宋_GB2312" w:eastAsia="仿宋_GB2312"/>
                <w:sz w:val="24"/>
              </w:rPr>
              <w:t>日历天</w:t>
            </w:r>
          </w:p>
          <w:p>
            <w:pPr>
              <w:pStyle w:val="null3"/>
              <w:ind w:firstLine="482"/>
              <w:jc w:val="both"/>
            </w:pPr>
            <w:r>
              <w:rPr>
                <w:rFonts w:ascii="仿宋_GB2312" w:hAnsi="仿宋_GB2312" w:cs="仿宋_GB2312" w:eastAsia="仿宋_GB2312"/>
                <w:sz w:val="24"/>
                <w:b/>
              </w:rPr>
              <w:t>二、服务内容</w:t>
            </w:r>
          </w:p>
          <w:p>
            <w:pPr>
              <w:pStyle w:val="null3"/>
              <w:ind w:left="480"/>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规划编制背景</w:t>
            </w:r>
          </w:p>
          <w:p>
            <w:pPr>
              <w:pStyle w:val="null3"/>
              <w:ind w:firstLine="480"/>
              <w:jc w:val="both"/>
            </w:pPr>
            <w:r>
              <w:rPr>
                <w:rFonts w:ascii="仿宋_GB2312" w:hAnsi="仿宋_GB2312" w:cs="仿宋_GB2312" w:eastAsia="仿宋_GB2312"/>
                <w:sz w:val="24"/>
              </w:rPr>
              <w:t>2023</w:t>
            </w:r>
            <w:r>
              <w:rPr>
                <w:rFonts w:ascii="仿宋_GB2312" w:hAnsi="仿宋_GB2312" w:cs="仿宋_GB2312" w:eastAsia="仿宋_GB2312"/>
                <w:sz w:val="24"/>
              </w:rPr>
              <w:t>年</w:t>
            </w:r>
            <w:r>
              <w:rPr>
                <w:rFonts w:ascii="仿宋_GB2312" w:hAnsi="仿宋_GB2312" w:cs="仿宋_GB2312" w:eastAsia="仿宋_GB2312"/>
                <w:sz w:val="24"/>
              </w:rPr>
              <w:t>7</w:t>
            </w:r>
            <w:r>
              <w:rPr>
                <w:rFonts w:ascii="仿宋_GB2312" w:hAnsi="仿宋_GB2312" w:cs="仿宋_GB2312" w:eastAsia="仿宋_GB2312"/>
                <w:sz w:val="24"/>
              </w:rPr>
              <w:t>月，应急管理部等</w:t>
            </w:r>
            <w:r>
              <w:rPr>
                <w:rFonts w:ascii="仿宋_GB2312" w:hAnsi="仿宋_GB2312" w:cs="仿宋_GB2312" w:eastAsia="仿宋_GB2312"/>
                <w:sz w:val="24"/>
              </w:rPr>
              <w:t>12</w:t>
            </w:r>
            <w:r>
              <w:rPr>
                <w:rFonts w:ascii="仿宋_GB2312" w:hAnsi="仿宋_GB2312" w:cs="仿宋_GB2312" w:eastAsia="仿宋_GB2312"/>
                <w:sz w:val="24"/>
              </w:rPr>
              <w:t>部委联合印发了《关于加强应急避难场所建设的指导意见》（应急〔</w:t>
            </w:r>
            <w:r>
              <w:rPr>
                <w:rFonts w:ascii="仿宋_GB2312" w:hAnsi="仿宋_GB2312" w:cs="仿宋_GB2312" w:eastAsia="仿宋_GB2312"/>
                <w:sz w:val="24"/>
              </w:rPr>
              <w:t>2023</w:t>
            </w:r>
            <w:r>
              <w:rPr>
                <w:rFonts w:ascii="仿宋_GB2312" w:hAnsi="仿宋_GB2312" w:cs="仿宋_GB2312" w:eastAsia="仿宋_GB2312"/>
                <w:sz w:val="24"/>
              </w:rPr>
              <w:t>〕</w:t>
            </w:r>
            <w:r>
              <w:rPr>
                <w:rFonts w:ascii="仿宋_GB2312" w:hAnsi="仿宋_GB2312" w:cs="仿宋_GB2312" w:eastAsia="仿宋_GB2312"/>
                <w:sz w:val="24"/>
              </w:rPr>
              <w:t>76</w:t>
            </w:r>
            <w:r>
              <w:rPr>
                <w:rFonts w:ascii="仿宋_GB2312" w:hAnsi="仿宋_GB2312" w:cs="仿宋_GB2312" w:eastAsia="仿宋_GB2312"/>
                <w:sz w:val="24"/>
              </w:rPr>
              <w:t>号），意见中明确指出：</w:t>
            </w:r>
            <w:r>
              <w:rPr>
                <w:rFonts w:ascii="仿宋_GB2312" w:hAnsi="仿宋_GB2312" w:cs="仿宋_GB2312" w:eastAsia="仿宋_GB2312"/>
                <w:sz w:val="24"/>
              </w:rPr>
              <w:t>2025</w:t>
            </w:r>
            <w:r>
              <w:rPr>
                <w:rFonts w:ascii="仿宋_GB2312" w:hAnsi="仿宋_GB2312" w:cs="仿宋_GB2312" w:eastAsia="仿宋_GB2312"/>
                <w:sz w:val="24"/>
              </w:rPr>
              <w:t>年底前，全面开展省、市、县应急避难场所专项规划编制，批复后按程序纳入详细规划及国土空间“一张图”，形成省、市、县、乡镇（街道）和村（社区）五级应急避难场所布局体系。</w:t>
            </w:r>
            <w:r>
              <w:rPr>
                <w:rFonts w:ascii="仿宋_GB2312" w:hAnsi="仿宋_GB2312" w:cs="仿宋_GB2312" w:eastAsia="仿宋_GB2312"/>
                <w:sz w:val="24"/>
              </w:rPr>
              <w:t>2035</w:t>
            </w:r>
            <w:r>
              <w:rPr>
                <w:rFonts w:ascii="仿宋_GB2312" w:hAnsi="仿宋_GB2312" w:cs="仿宋_GB2312" w:eastAsia="仿宋_GB2312"/>
                <w:sz w:val="24"/>
              </w:rPr>
              <w:t>年底前，全省各级应急避难场所体系全面建立，满足城乡人口避难需求的应急避难场所全覆盖。</w:t>
            </w:r>
          </w:p>
          <w:p>
            <w:pPr>
              <w:pStyle w:val="null3"/>
              <w:ind w:left="480"/>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编制主要内容</w:t>
            </w:r>
          </w:p>
          <w:p>
            <w:pPr>
              <w:pStyle w:val="null3"/>
              <w:ind w:left="1065"/>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总体要求</w:t>
            </w:r>
          </w:p>
          <w:p>
            <w:pPr>
              <w:pStyle w:val="null3"/>
              <w:ind w:firstLine="482"/>
              <w:jc w:val="both"/>
            </w:pPr>
            <w:r>
              <w:rPr>
                <w:rFonts w:ascii="仿宋_GB2312" w:hAnsi="仿宋_GB2312" w:cs="仿宋_GB2312" w:eastAsia="仿宋_GB2312"/>
                <w:sz w:val="24"/>
                <w:b/>
              </w:rPr>
              <w:t>科学布局各级各类应急避难场所。</w:t>
            </w:r>
            <w:r>
              <w:rPr>
                <w:rFonts w:ascii="仿宋_GB2312" w:hAnsi="仿宋_GB2312" w:cs="仿宋_GB2312" w:eastAsia="仿宋_GB2312"/>
                <w:sz w:val="24"/>
              </w:rPr>
              <w:t>按照分级负责、属地为主、分级响应调度资源的原则，在遵循国土空间规划、开展国土空间规划专项评估的前提下，以社区生活圈为基本安全单元，合理规划省级、市级、县级、乡镇（街道）级和村（社区）级应急避难场所发展布局。</w:t>
            </w:r>
          </w:p>
          <w:p>
            <w:pPr>
              <w:pStyle w:val="null3"/>
              <w:ind w:firstLine="482"/>
              <w:jc w:val="both"/>
            </w:pPr>
            <w:r>
              <w:rPr>
                <w:rFonts w:ascii="仿宋_GB2312" w:hAnsi="仿宋_GB2312" w:cs="仿宋_GB2312" w:eastAsia="仿宋_GB2312"/>
                <w:sz w:val="24"/>
                <w:b/>
              </w:rPr>
              <w:t>应急避难场所分级分类体系。</w:t>
            </w:r>
            <w:r>
              <w:rPr>
                <w:rFonts w:ascii="仿宋_GB2312" w:hAnsi="仿宋_GB2312" w:cs="仿宋_GB2312" w:eastAsia="仿宋_GB2312"/>
                <w:sz w:val="24"/>
              </w:rPr>
              <w:t>依据应急避难场所分级分类标准规范，设计构建适宜级别和类型的应急避难场所及其数量和规模。省级专项规划明确省级应急避难场所发展布局与要求，并对下级应急避难场所发展布局进行指导。市、县级专项规划落实上级规划要求，重点明确本级应急避难场所发展布局与要求，并对下级应急避难场所发展布局进行指导。乡镇（街道）和村（社区）重点落实上级规划要求进行建设，也可结合实际编制实施本级规划。</w:t>
            </w:r>
          </w:p>
          <w:p>
            <w:pPr>
              <w:pStyle w:val="null3"/>
              <w:ind w:left="1065"/>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规划范围、期限和层次</w:t>
            </w:r>
          </w:p>
          <w:p>
            <w:pPr>
              <w:pStyle w:val="null3"/>
              <w:ind w:firstLine="480"/>
              <w:jc w:val="both"/>
            </w:pPr>
            <w:r>
              <w:rPr>
                <w:rFonts w:ascii="仿宋_GB2312" w:hAnsi="仿宋_GB2312" w:cs="仿宋_GB2312" w:eastAsia="仿宋_GB2312"/>
                <w:sz w:val="24"/>
              </w:rPr>
              <w:t>市级应急避难场所专项规划应落实省级应急避难场专项规划要求，重点明确本级应急避难场所发展布局与要求，并对县级应急避难场所发展布局进行指导。《汉中市应急避难场所专项规划（</w:t>
            </w:r>
            <w:r>
              <w:rPr>
                <w:rFonts w:ascii="仿宋_GB2312" w:hAnsi="仿宋_GB2312" w:cs="仿宋_GB2312" w:eastAsia="仿宋_GB2312"/>
                <w:sz w:val="24"/>
              </w:rPr>
              <w:t>2024-2035</w:t>
            </w:r>
            <w:r>
              <w:rPr>
                <w:rFonts w:ascii="仿宋_GB2312" w:hAnsi="仿宋_GB2312" w:cs="仿宋_GB2312" w:eastAsia="仿宋_GB2312"/>
                <w:sz w:val="24"/>
              </w:rPr>
              <w:t>年）》应衔接《汉中市国土空间总体规划（</w:t>
            </w:r>
            <w:r>
              <w:rPr>
                <w:rFonts w:ascii="仿宋_GB2312" w:hAnsi="仿宋_GB2312" w:cs="仿宋_GB2312" w:eastAsia="仿宋_GB2312"/>
                <w:sz w:val="24"/>
              </w:rPr>
              <w:t>2021-2035</w:t>
            </w:r>
            <w:r>
              <w:rPr>
                <w:rFonts w:ascii="仿宋_GB2312" w:hAnsi="仿宋_GB2312" w:cs="仿宋_GB2312" w:eastAsia="仿宋_GB2312"/>
                <w:sz w:val="24"/>
              </w:rPr>
              <w:t>年）》及《汉中市国土空间规划实施评估》成果。</w:t>
            </w:r>
          </w:p>
          <w:p>
            <w:pPr>
              <w:pStyle w:val="null3"/>
              <w:ind w:firstLine="480"/>
              <w:jc w:val="both"/>
            </w:pPr>
            <w:r>
              <w:rPr>
                <w:rFonts w:ascii="仿宋_GB2312" w:hAnsi="仿宋_GB2312" w:cs="仿宋_GB2312" w:eastAsia="仿宋_GB2312"/>
                <w:sz w:val="24"/>
              </w:rPr>
              <w:t>规划范围包括市级行政辖区内全部陆域国土空间。规划期限原则上与本级国土空间总体规划保持一致，规划目标年为</w:t>
            </w:r>
            <w:r>
              <w:rPr>
                <w:rFonts w:ascii="仿宋_GB2312" w:hAnsi="仿宋_GB2312" w:cs="仿宋_GB2312" w:eastAsia="仿宋_GB2312"/>
                <w:sz w:val="24"/>
              </w:rPr>
              <w:t>2035</w:t>
            </w:r>
            <w:r>
              <w:rPr>
                <w:rFonts w:ascii="仿宋_GB2312" w:hAnsi="仿宋_GB2312" w:cs="仿宋_GB2312" w:eastAsia="仿宋_GB2312"/>
                <w:sz w:val="24"/>
              </w:rPr>
              <w:t>年，近期至</w:t>
            </w:r>
            <w:r>
              <w:rPr>
                <w:rFonts w:ascii="仿宋_GB2312" w:hAnsi="仿宋_GB2312" w:cs="仿宋_GB2312" w:eastAsia="仿宋_GB2312"/>
                <w:sz w:val="24"/>
              </w:rPr>
              <w:t>2027</w:t>
            </w:r>
            <w:r>
              <w:rPr>
                <w:rFonts w:ascii="仿宋_GB2312" w:hAnsi="仿宋_GB2312" w:cs="仿宋_GB2312" w:eastAsia="仿宋_GB2312"/>
                <w:sz w:val="24"/>
              </w:rPr>
              <w:t>年。</w:t>
            </w:r>
          </w:p>
          <w:p>
            <w:pPr>
              <w:pStyle w:val="null3"/>
              <w:ind w:firstLine="482"/>
              <w:jc w:val="both"/>
            </w:pPr>
            <w:r>
              <w:rPr>
                <w:rFonts w:ascii="仿宋_GB2312" w:hAnsi="仿宋_GB2312" w:cs="仿宋_GB2312" w:eastAsia="仿宋_GB2312"/>
                <w:sz w:val="24"/>
                <w:b/>
              </w:rPr>
              <w:t>规划包括市域和中心城区两侧层次。</w:t>
            </w:r>
            <w:r>
              <w:rPr>
                <w:rFonts w:ascii="仿宋_GB2312" w:hAnsi="仿宋_GB2312" w:cs="仿宋_GB2312" w:eastAsia="仿宋_GB2312"/>
                <w:sz w:val="24"/>
              </w:rPr>
              <w:t>市域统筹应急避难场所发展布局和要求，指导各县区应急避难场所发展布局和要求，提出应急避难场所规划目标、策略和分级分类体系。中心城区细化应急避难场所空间布局，合理确定不同级别、不同类型应急避难场所的数量、规模和建设要求等，侧重功能完善和体系优化。</w:t>
            </w:r>
          </w:p>
          <w:p>
            <w:pPr>
              <w:pStyle w:val="null3"/>
              <w:ind w:left="1065"/>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规划成果</w:t>
            </w:r>
          </w:p>
          <w:p>
            <w:pPr>
              <w:pStyle w:val="null3"/>
              <w:ind w:firstLine="480"/>
              <w:jc w:val="both"/>
            </w:pPr>
            <w:r>
              <w:rPr>
                <w:rFonts w:ascii="仿宋_GB2312" w:hAnsi="仿宋_GB2312" w:cs="仿宋_GB2312" w:eastAsia="仿宋_GB2312"/>
                <w:sz w:val="24"/>
              </w:rPr>
              <w:t>规划成果包括</w:t>
            </w:r>
            <w:r>
              <w:rPr>
                <w:rFonts w:ascii="仿宋_GB2312" w:hAnsi="仿宋_GB2312" w:cs="仿宋_GB2312" w:eastAsia="仿宋_GB2312"/>
                <w:sz w:val="24"/>
              </w:rPr>
              <w:t>3</w:t>
            </w:r>
            <w:r>
              <w:rPr>
                <w:rFonts w:ascii="仿宋_GB2312" w:hAnsi="仿宋_GB2312" w:cs="仿宋_GB2312" w:eastAsia="仿宋_GB2312"/>
                <w:sz w:val="24"/>
              </w:rPr>
              <w:t>个部分</w:t>
            </w:r>
            <w:r>
              <w:rPr>
                <w:rFonts w:ascii="仿宋_GB2312" w:hAnsi="仿宋_GB2312" w:cs="仿宋_GB2312" w:eastAsia="仿宋_GB2312"/>
                <w:sz w:val="24"/>
              </w:rPr>
              <w:t>5</w:t>
            </w:r>
            <w:r>
              <w:rPr>
                <w:rFonts w:ascii="仿宋_GB2312" w:hAnsi="仿宋_GB2312" w:cs="仿宋_GB2312" w:eastAsia="仿宋_GB2312"/>
                <w:sz w:val="24"/>
              </w:rPr>
              <w:t>个内容。</w:t>
            </w:r>
          </w:p>
          <w:p>
            <w:pPr>
              <w:pStyle w:val="null3"/>
              <w:ind w:firstLine="482"/>
              <w:jc w:val="both"/>
            </w:pPr>
            <w:r>
              <w:rPr>
                <w:rFonts w:ascii="仿宋_GB2312" w:hAnsi="仿宋_GB2312" w:cs="仿宋_GB2312" w:eastAsia="仿宋_GB2312"/>
                <w:sz w:val="24"/>
                <w:b/>
              </w:rPr>
              <w:t>第一部分专题研究。</w:t>
            </w:r>
            <w:r>
              <w:rPr>
                <w:rFonts w:ascii="仿宋_GB2312" w:hAnsi="仿宋_GB2312" w:cs="仿宋_GB2312" w:eastAsia="仿宋_GB2312"/>
                <w:sz w:val="24"/>
              </w:rPr>
              <w:t>对影响应急避难场所专项规划的重要问题开展研究，包括灾害事故风险分析、应急避难资源调查分析、应急避难人口分析，形成</w:t>
            </w:r>
            <w:r>
              <w:rPr>
                <w:rFonts w:ascii="仿宋_GB2312" w:hAnsi="仿宋_GB2312" w:cs="仿宋_GB2312" w:eastAsia="仿宋_GB2312"/>
                <w:sz w:val="24"/>
              </w:rPr>
              <w:t>3</w:t>
            </w:r>
            <w:r>
              <w:rPr>
                <w:rFonts w:ascii="仿宋_GB2312" w:hAnsi="仿宋_GB2312" w:cs="仿宋_GB2312" w:eastAsia="仿宋_GB2312"/>
                <w:sz w:val="24"/>
              </w:rPr>
              <w:t>个专题研究报告。</w:t>
            </w:r>
          </w:p>
          <w:p>
            <w:pPr>
              <w:pStyle w:val="null3"/>
              <w:ind w:firstLine="482"/>
              <w:jc w:val="both"/>
            </w:pPr>
            <w:r>
              <w:rPr>
                <w:rFonts w:ascii="仿宋_GB2312" w:hAnsi="仿宋_GB2312" w:cs="仿宋_GB2312" w:eastAsia="仿宋_GB2312"/>
                <w:sz w:val="24"/>
                <w:b/>
              </w:rPr>
              <w:t>第二部分文本、图集、说明书。</w:t>
            </w:r>
            <w:r>
              <w:rPr>
                <w:rFonts w:ascii="仿宋_GB2312" w:hAnsi="仿宋_GB2312" w:cs="仿宋_GB2312" w:eastAsia="仿宋_GB2312"/>
                <w:sz w:val="24"/>
              </w:rPr>
              <w:t>汇总提炼相关研究成果，落实规划任务，制作规划成果，形成文本、图集、说明书。文本应以条文形式概括规划结论，文字表达规范、准确、清晰，内容明确简练，具有指导性和可操作性。图集包括应急避难场所资源分布图、灾害事故风险分析图、需避难人口分布图等基础图件，和应急避难场所布局体系规划图、应急通道规划图、应急避难场所服务范围规划图等图件。说明书按照编制内容要求，对应规划文本相关章节，逐条进行详细说明，需重点说明的内容可适当增加篇幅，或另附专章说明，作为规划文本的支撑。</w:t>
            </w:r>
          </w:p>
          <w:p>
            <w:pPr>
              <w:pStyle w:val="null3"/>
              <w:ind w:firstLine="482"/>
              <w:jc w:val="both"/>
            </w:pPr>
            <w:r>
              <w:rPr>
                <w:rFonts w:ascii="仿宋_GB2312" w:hAnsi="仿宋_GB2312" w:cs="仿宋_GB2312" w:eastAsia="仿宋_GB2312"/>
                <w:sz w:val="24"/>
                <w:b/>
              </w:rPr>
              <w:t>第三部分数据库。</w:t>
            </w:r>
            <w:r>
              <w:rPr>
                <w:rFonts w:ascii="仿宋_GB2312" w:hAnsi="仿宋_GB2312" w:cs="仿宋_GB2312" w:eastAsia="仿宋_GB2312"/>
                <w:sz w:val="24"/>
              </w:rPr>
              <w:t>按照应急管理数据资源管理规定和国土空间规划成果数据汇交要求，制作应急避难场所专项规划相关数据库，成果纳入应急管理大数据应用平台和国土空间规划</w:t>
            </w:r>
            <w:r>
              <w:rPr>
                <w:rFonts w:ascii="仿宋_GB2312" w:hAnsi="仿宋_GB2312" w:cs="仿宋_GB2312" w:eastAsia="仿宋_GB2312"/>
                <w:sz w:val="24"/>
              </w:rPr>
              <w:t>“一张图”实施监督信息系统。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供应商需针对本项目配置相应的服务人员。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180 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按国家有关规定以及磋商文件的质量要求和技术指标(包括每一项技术和商务要求的履约情况)、供应商的响应文件及承诺与本合同约定标准进行验收。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进度款，专家评审通过后，达到付款条件起3个工作日内，支付合同总金额的25.0%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进度款，提交正式成果，达到付款条件起3个工作日内，支付合同总金额的5.0%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合同履行期间，若双方发生争议，可协商或由有关部门调解解决，协商或调解不成的，向采购人所在地人民法院起诉。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其他组织或自然人，并出具合法有效的营业执照或事业单位法人证或组织机构代码证等国家规定的相关证明文件，自然人参与的提供身份证明文件；（提供加盖投标供应商公章的营业执照等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及委托代理人身份证复印件；（提供加盖投标供应商公章的法定代表人身份证明原件和其身份证复印件或法定代表人授权委托书原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供应商及项目负责人资格</w:t>
            </w:r>
          </w:p>
        </w:tc>
        <w:tc>
          <w:tcPr>
            <w:tcW w:type="dxa" w:w="3322"/>
          </w:tcPr>
          <w:p>
            <w:pPr>
              <w:pStyle w:val="null3"/>
            </w:pPr>
            <w:r>
              <w:rPr>
                <w:rFonts w:ascii="仿宋_GB2312" w:hAnsi="仿宋_GB2312" w:cs="仿宋_GB2312" w:eastAsia="仿宋_GB2312"/>
              </w:rPr>
              <w:t>供应商须具备行政主管部门颁发的【城乡规划编制乙级】及以上资质，并在人员、设备、资金等方面具有相应的服务能力；拟派项目负责人具有中级及以上职称证书和注册规划师执业资格且在本单位注册。（提供加盖投标供应商公章的企业资质及项目负责人证书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须具有健全的财务会计制度、履行合同所需的设备和专业技术能力、依法缴纳税收和社会保障资金，以及参加采购活动前3年内经营活动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本项目不接受联合体投标，单位负责人为同一人或者存在直接控股、管理关系的不同供应商，不得参加同一合同项下的政府采购活动；供应商须提供《非联合体投标声明》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符合本次采购项目的供应商企业类型</w:t>
            </w:r>
          </w:p>
        </w:tc>
        <w:tc>
          <w:tcPr>
            <w:tcW w:type="dxa" w:w="3322"/>
          </w:tcPr>
          <w:p>
            <w:pPr>
              <w:pStyle w:val="null3"/>
            </w:pPr>
            <w:r>
              <w:rPr>
                <w:rFonts w:ascii="仿宋_GB2312" w:hAnsi="仿宋_GB2312" w:cs="仿宋_GB2312" w:eastAsia="仿宋_GB2312"/>
              </w:rPr>
              <w:t>本项目为专门面向中小企业的项目，供应商须为中小企业（需如实填写《中小企业声明函》）。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技术方案.docx 供应商应提交的相关资格证明材料.docx 中小企业声明函 残疾人福利性单位声明函 商务应答表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响应文件封面、磋商响应函、法定代表人授权委托书三处的项目名称、项目编号、标段（如有）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响应文件封面 技术方案.docx 供应商应提交的相关资格证明材料.docx 中小企业声明函 残疾人福利性单位声明函 商务应答表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均按磋商文件格式要求签字、盖章（评分标准中要求提供的证明材料除外）。</w:t>
            </w:r>
          </w:p>
        </w:tc>
        <w:tc>
          <w:tcPr>
            <w:tcW w:type="dxa" w:w="1661"/>
          </w:tcPr>
          <w:p>
            <w:pPr>
              <w:pStyle w:val="null3"/>
            </w:pPr>
            <w:r>
              <w:rPr>
                <w:rFonts w:ascii="仿宋_GB2312" w:hAnsi="仿宋_GB2312" w:cs="仿宋_GB2312" w:eastAsia="仿宋_GB2312"/>
              </w:rPr>
              <w:t>响应文件封面 技术方案.docx 供应商应提交的相关资格证明材料.docx 中小企业声明函 残疾人福利性单位声明函 商务应答表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技术方案.docx 供应商应提交的相关资格证明材料.docx 中小企业声明函 残疾人福利性单位声明函 商务应答表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磋商报价表（首次）</w:t>
            </w:r>
          </w:p>
        </w:tc>
        <w:tc>
          <w:tcPr>
            <w:tcW w:type="dxa" w:w="3322"/>
          </w:tcPr>
          <w:p>
            <w:pPr>
              <w:pStyle w:val="null3"/>
            </w:pPr>
            <w:r>
              <w:rPr>
                <w:rFonts w:ascii="仿宋_GB2312" w:hAnsi="仿宋_GB2312" w:cs="仿宋_GB2312" w:eastAsia="仿宋_GB2312"/>
              </w:rPr>
              <w:t>（1）磋商报价表填写符合要求； （2）计量单位、报价货币均符合磋商文件要求； （3）磋商报价未超出采购预算金额或磋商文件规定的最高限价。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响应文件封面 技术方案.docx 供应商应提交的相关资格证明材料.docx 中小企业声明函 残疾人福利性单位声明函 商务应答表 标的清单 服务内容及服务要求应答表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项目背景调查及分析</w:t>
            </w:r>
          </w:p>
        </w:tc>
        <w:tc>
          <w:tcPr>
            <w:tcW w:type="dxa" w:w="2492"/>
          </w:tcPr>
          <w:p>
            <w:pPr>
              <w:pStyle w:val="null3"/>
            </w:pPr>
            <w:r>
              <w:rPr>
                <w:rFonts w:ascii="仿宋_GB2312" w:hAnsi="仿宋_GB2312" w:cs="仿宋_GB2312" w:eastAsia="仿宋_GB2312"/>
              </w:rPr>
              <w:t>供应商对应急避难场所专项规划编制背景调查分析，从项目背景调查、数据收集整理，应急避难资源调查分析等方面进行阐述。 内容完全满足采购需求计10分；内容较满足采购需求计8分；内容基本满足采购需求计6分；内容不详尽计4分；内容不适用本项目或未提供的计0分。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供应商认为需要提供的其他内容.docx</w:t>
            </w:r>
          </w:p>
        </w:tc>
      </w:tr>
      <w:tr>
        <w:tc>
          <w:tcPr>
            <w:tcW w:type="dxa" w:w="831"/>
            <w:vMerge/>
          </w:tcPr>
          <w:p/>
        </w:tc>
        <w:tc>
          <w:tcPr>
            <w:tcW w:type="dxa" w:w="1661"/>
          </w:tcPr>
          <w:p>
            <w:pPr>
              <w:pStyle w:val="null3"/>
            </w:pPr>
            <w:r>
              <w:rPr>
                <w:rFonts w:ascii="仿宋_GB2312" w:hAnsi="仿宋_GB2312" w:cs="仿宋_GB2312" w:eastAsia="仿宋_GB2312"/>
              </w:rPr>
              <w:t>规划设计方案</w:t>
            </w:r>
          </w:p>
        </w:tc>
        <w:tc>
          <w:tcPr>
            <w:tcW w:type="dxa" w:w="2492"/>
          </w:tcPr>
          <w:p>
            <w:pPr>
              <w:pStyle w:val="null3"/>
            </w:pPr>
            <w:r>
              <w:rPr>
                <w:rFonts w:ascii="仿宋_GB2312" w:hAnsi="仿宋_GB2312" w:cs="仿宋_GB2312" w:eastAsia="仿宋_GB2312"/>
              </w:rPr>
              <w:t>供应商针对本项目的规划设计方案，充分了解项目需求，对项目从工作内容、规划设计思路、规划设计方案、项目的工作要点、技术要求等方面进行论述。 方案内容完全满足采购需求计14分；方案内容较满足采购需求计11分；方案内容基本满足采购需求计8分；方案内容不详尽计5分；不适用本项目或未提供的计0分。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供应商认为需要提供的其他内容.docx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供应商针对应急避难场所专项规划编制过程中的重点和难点进行分析，主要包括：制定规划目标和应急避难策略，进行应急避难场所发展布局规划等重点和难点情况进行分析论述。 分析描述全面完整，重点及难点把握准确，分析到位，解决措施科学完善、切实可行计12分；描述较全面，重点及难点把握较准确，分析较到位，解决措施较合理计10分；描述基本全面，重点及难点把握基本准确，分析简单，解决措施基本合理计8分；描述简单，重点及难点把握有偏差，分析欠缺，计5分；不适用本项目或未提供的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供应商认为需要提供的其他内容.docx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供应商对本项目工作质量的控制、质量保证体系及措施的完善性和合理性进行论述。 质量体系健全，质量保证措施全面、细致，完全满足采购人需求计10分；质量体系较健全，质量保证措施较全面，能满足采购人需求计8分；质量体系基本健全，质量保证措施基本全面，基本满足采购人需求计6分；质量体系一般，质量保证措施欠缺计4分；不适用本项目或未提供的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供应商认为需要提供的其他内容.docx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供应商对本项目的进度控制目标，进度控制措施，合同履行期限保证措施；项目总体进度计划安排应具有合理性、先进性、可靠性和安全性。 进度安排详细完整、合理可行，控制措施紧密有效，针对性强计10分；进度安排较完整可行，控制措施有效，针对性较强计8分；进度安排基本可行，控制措施有一定针对性计6分；进度安排内容简单笼统，控制措施无针对性计4分；不适用本项目或未提供的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供应商认为需要提供的其他内容.docx</w:t>
            </w:r>
          </w:p>
        </w:tc>
      </w:tr>
      <w:tr>
        <w:tc>
          <w:tcPr>
            <w:tcW w:type="dxa" w:w="831"/>
            <w:vMerge/>
          </w:tcPr>
          <w:p/>
        </w:tc>
        <w:tc>
          <w:tcPr>
            <w:tcW w:type="dxa" w:w="1661"/>
          </w:tcPr>
          <w:p>
            <w:pPr>
              <w:pStyle w:val="null3"/>
            </w:pPr>
            <w:r>
              <w:rPr>
                <w:rFonts w:ascii="仿宋_GB2312" w:hAnsi="仿宋_GB2312" w:cs="仿宋_GB2312" w:eastAsia="仿宋_GB2312"/>
              </w:rPr>
              <w:t>技术服务保障措施</w:t>
            </w:r>
          </w:p>
        </w:tc>
        <w:tc>
          <w:tcPr>
            <w:tcW w:type="dxa" w:w="2492"/>
          </w:tcPr>
          <w:p>
            <w:pPr>
              <w:pStyle w:val="null3"/>
            </w:pPr>
            <w:r>
              <w:rPr>
                <w:rFonts w:ascii="仿宋_GB2312" w:hAnsi="仿宋_GB2312" w:cs="仿宋_GB2312" w:eastAsia="仿宋_GB2312"/>
              </w:rPr>
              <w:t>供应商有针对本项目的技术服务保障措施及技术管理措施，主要内容包括：技术服务保障目标，技术服务人员保证安排，有针对本项目的技术管理措施等。 措施内容完全满足采购需求计8分；措施内容较满足采购需求计6分；措施内容基本满足采购需求计4分；措施内容不详尽有欠缺计2分；不适用本项目或未提供的计0分。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供应商认为需要提供的其他内容.docx</w:t>
            </w:r>
          </w:p>
        </w:tc>
      </w:tr>
      <w:tr>
        <w:tc>
          <w:tcPr>
            <w:tcW w:type="dxa" w:w="831"/>
            <w:vMerge/>
          </w:tcPr>
          <w:p/>
        </w:tc>
        <w:tc>
          <w:tcPr>
            <w:tcW w:type="dxa" w:w="1661"/>
          </w:tcPr>
          <w:p>
            <w:pPr>
              <w:pStyle w:val="null3"/>
            </w:pPr>
            <w:r>
              <w:rPr>
                <w:rFonts w:ascii="仿宋_GB2312" w:hAnsi="仿宋_GB2312" w:cs="仿宋_GB2312" w:eastAsia="仿宋_GB2312"/>
              </w:rPr>
              <w:t>其他合理化建议</w:t>
            </w:r>
          </w:p>
        </w:tc>
        <w:tc>
          <w:tcPr>
            <w:tcW w:type="dxa" w:w="2492"/>
          </w:tcPr>
          <w:p>
            <w:pPr>
              <w:pStyle w:val="null3"/>
            </w:pPr>
            <w:r>
              <w:rPr>
                <w:rFonts w:ascii="仿宋_GB2312" w:hAnsi="仿宋_GB2312" w:cs="仿宋_GB2312" w:eastAsia="仿宋_GB2312"/>
              </w:rPr>
              <w:t>针对本项目的其他合理化建议及意见。内容合理、完全满足采购需求计6分；内容较合理、较满足采购需求计5分；内容基本合理、基本满足采购需求计4分；合理性差、内容不详尽计3分；不适用本项目或未提供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供应商认为需要提供的其他内容.docx</w:t>
            </w:r>
          </w:p>
        </w:tc>
      </w:tr>
      <w:tr>
        <w:tc>
          <w:tcPr>
            <w:tcW w:type="dxa" w:w="831"/>
            <w:vMerge/>
          </w:tcPr>
          <w:p/>
        </w:tc>
        <w:tc>
          <w:tcPr>
            <w:tcW w:type="dxa" w:w="1661"/>
          </w:tcPr>
          <w:p>
            <w:pPr>
              <w:pStyle w:val="null3"/>
            </w:pPr>
            <w:r>
              <w:rPr>
                <w:rFonts w:ascii="仿宋_GB2312" w:hAnsi="仿宋_GB2312" w:cs="仿宋_GB2312" w:eastAsia="仿宋_GB2312"/>
              </w:rPr>
              <w:t>团队综合实力</w:t>
            </w:r>
          </w:p>
        </w:tc>
        <w:tc>
          <w:tcPr>
            <w:tcW w:type="dxa" w:w="2492"/>
          </w:tcPr>
          <w:p>
            <w:pPr>
              <w:pStyle w:val="null3"/>
            </w:pPr>
            <w:r>
              <w:rPr>
                <w:rFonts w:ascii="仿宋_GB2312" w:hAnsi="仿宋_GB2312" w:cs="仿宋_GB2312" w:eastAsia="仿宋_GB2312"/>
              </w:rPr>
              <w:t>根据投标供应商综合实力、项目团队成员资质情况综合判定，需提供完整的项目团队成员信息和分工信息，项目负责人信息明确，组织机构完整，主要人员具备相关项目工作经历。由磋商小组对供应商响应内容进行评审，人员配备齐全合理，实力强，完全满足采购需求计10分；人员配备较齐全，实力较强，满足采购需求计8分；人员配备基本齐全理，实力一般，基本满足采购需求计6分；人员配备不齐全，实力欠缺计4分；不适用本项目或未提供的计0分。 （注：供应商需提供以上项目团队人员身份证、职称证书或执业资格注册证书、学历证书复印件并加盖供应商公章）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拟投入本项目人员配置情况表.docx</w:t>
            </w:r>
          </w:p>
          <w:p>
            <w:pPr>
              <w:pStyle w:val="null3"/>
            </w:pPr>
            <w:r>
              <w:rPr>
                <w:rFonts w:ascii="仿宋_GB2312" w:hAnsi="仿宋_GB2312" w:cs="仿宋_GB2312" w:eastAsia="仿宋_GB2312"/>
              </w:rPr>
              <w:t>供应商认为需要提供的其他内容.docx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供应商提供近4年 (2022年1月1日至响应文件递交截止时间，以合同签订的时间为准) 项目规划编制业绩，每提供1个业绩得3分，本项最高得6分，未提供业绩或不符合要求的业绩不得分。 (注：投标供应商提供业绩合同复印件并加盖供应商公章)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类似项目业绩.docx</w:t>
            </w:r>
          </w:p>
          <w:p>
            <w:pPr>
              <w:pStyle w:val="null3"/>
            </w:pPr>
            <w:r>
              <w:rPr>
                <w:rFonts w:ascii="仿宋_GB2312" w:hAnsi="仿宋_GB2312" w:cs="仿宋_GB2312" w:eastAsia="仿宋_GB2312"/>
              </w:rPr>
              <w:t>供应商认为需要提供的其他内容.docx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供应商须对以下事项做出服务承诺：（1）承诺遵守数据信息保密要求。（2）在整个服务期间，按采购人要求提供此项工作技术支持。 须提供加盖供应商公章的承诺书，每有一项承诺得2分，本项最高得4分，不能承诺或未提供承诺的不得分。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政府采购供应商拒绝政府采购领域商业贿赂承诺书.docx</w:t>
            </w:r>
          </w:p>
          <w:p>
            <w:pPr>
              <w:pStyle w:val="null3"/>
            </w:pPr>
            <w:r>
              <w:rPr>
                <w:rFonts w:ascii="仿宋_GB2312" w:hAnsi="仿宋_GB2312" w:cs="仿宋_GB2312" w:eastAsia="仿宋_GB2312"/>
              </w:rPr>
              <w:t>供应商认为需要提供的其他内容.docx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满足磋商文件要求且最终报价最低的供应商的价格为磋商基准价得10分，其他各供应商的最终磋商报价得分按下列公式计算：（磋商基准价/最终磋商报价）×10%×100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详见附件：供应商认为需要提供的其他内容.docx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