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469" w:afterLines="150" w:line="360" w:lineRule="auto"/>
        <w:ind w:leftChars="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技术响应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方案</w:t>
      </w:r>
    </w:p>
    <w:p>
      <w:pPr>
        <w:ind w:firstLine="562" w:firstLineChars="200"/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技术响应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方案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</w:rPr>
        <w:t>格式自拟，内容包括但不限于：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项目背景调查及分析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规划设计方案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重点难点分析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质量保证措施、进度安排、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技术服务保障措施、其他合理化建议</w:t>
      </w:r>
      <w:r>
        <w:rPr>
          <w:rFonts w:ascii="宋体" w:hAnsi="宋体" w:eastAsia="宋体" w:cs="宋体"/>
          <w:sz w:val="24"/>
          <w:szCs w:val="24"/>
        </w:rPr>
        <w:t>等）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1C027A58"/>
    <w:rsid w:val="5D354844"/>
    <w:rsid w:val="63395E02"/>
    <w:rsid w:val="6F1E7303"/>
    <w:rsid w:val="6FCFB689"/>
    <w:rsid w:val="7B7B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赵丽</cp:lastModifiedBy>
  <dcterms:modified xsi:type="dcterms:W3CDTF">2026-05-18T03:28:45Z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BF0BD238BF5F4A13A41D14FBCD51F31B</vt:lpwstr>
  </property>
</Properties>
</file>