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版本号：HBLY-2026-00620260712001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HBLY-2026-006</w:t>
      </w:r>
      <w:r>
        <w:br/>
      </w:r>
      <w:r>
        <w:br/>
      </w:r>
      <w:r>
        <w:br/>
      </w:r>
    </w:p>
    <w:p>
      <w:pPr>
        <w:pStyle w:val="null3"/>
        <w:jc w:val="center"/>
        <w:outlineLvl w:val="2"/>
      </w:pPr>
      <w:r>
        <w:rPr>
          <w:rFonts w:ascii="仿宋_GB2312" w:hAnsi="仿宋_GB2312" w:cs="仿宋_GB2312" w:eastAsia="仿宋_GB2312"/>
          <w:sz w:val="28"/>
          <w:b/>
        </w:rPr>
        <w:t>韩城市职业中等专业学校</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韩城市职业中等专业学校</w:t>
      </w:r>
      <w:r>
        <w:rPr>
          <w:rFonts w:ascii="仿宋_GB2312" w:hAnsi="仿宋_GB2312" w:cs="仿宋_GB2312" w:eastAsia="仿宋_GB2312"/>
        </w:rPr>
        <w:t>委托，拟对</w:t>
      </w:r>
      <w:r>
        <w:rPr>
          <w:rFonts w:ascii="仿宋_GB2312" w:hAnsi="仿宋_GB2312" w:cs="仿宋_GB2312" w:eastAsia="仿宋_GB2312"/>
        </w:rPr>
        <w:t>2026年提升改造工程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逸夫教学楼教室、走廊的墙面、天棚、墙裙的改造；男生公寓盥洗间卫生间的地面、墙面、天棚的改造；拆除原有厕所，新建厕所，建筑面积382.38㎡。</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采购包1（2026年韩城市职业中等专业学校(芝川校区)提升改造工程）：属于专门面向中小企业采购。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8、拟派项目经理：拟派项目经理须具备建筑工程专业二级及以上注册建造师执业资格，并具有合法有效的安全生产考核合格证，且未担任其他在建工程项目经理，提供本单位的社保缴纳证明</w:t>
      </w:r>
    </w:p>
    <w:p>
      <w:pPr>
        <w:pStyle w:val="null3"/>
      </w:pPr>
      <w:r>
        <w:rPr>
          <w:rFonts w:ascii="仿宋_GB2312" w:hAnsi="仿宋_GB2312" w:cs="仿宋_GB2312" w:eastAsia="仿宋_GB2312"/>
        </w:rPr>
        <w:t>9、供应商授权合法的人员参加磋商全过程：法定代表人直接参加投标的，须出具法定代表人身份证明；授权代表参加投标的，须出具法定代表人授权书并附法定代表人和被授权人身份证及被授权人社保缴纳证明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pPr>
        <w:pStyle w:val="null3"/>
      </w:pPr>
      <w:r>
        <w:rPr>
          <w:rFonts w:ascii="仿宋_GB2312" w:hAnsi="仿宋_GB2312" w:cs="仿宋_GB2312" w:eastAsia="仿宋_GB2312"/>
        </w:rPr>
        <w:t>12、专门面向中小企业：本项目专门面向中小企业采购，仅限符合《政府采购促进中小企业发展管理办法》的通知(财库〔2020〕46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高智伟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18165141098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采购包1：2,370,427.69元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韩城市职业中等专业学校</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2,370,427.69</w:t>
      </w:r>
    </w:p>
    <w:p>
      <w:pPr>
        <w:pStyle w:val="null3"/>
      </w:pPr>
      <w:r>
        <w:rPr>
          <w:rFonts w:ascii="仿宋_GB2312" w:hAnsi="仿宋_GB2312" w:cs="仿宋_GB2312" w:eastAsia="仿宋_GB2312"/>
        </w:rPr>
        <w:t>采购包最高限价（元）: 2,370,427.69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新建厕所、教学楼室内维修、男生宿舍厕所维修改造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2,370,427.69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标的名称：新建厕所、教学楼室内维修、男生宿舍厕所维修改造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left="105" w:right="2310" w:firstLine="6"/>
            </w:pPr>
            <w:r>
              <w:rPr>
                <w:rFonts w:ascii="仿宋_GB2312" w:hAnsi="仿宋_GB2312" w:cs="仿宋_GB2312" w:eastAsia="仿宋_GB2312"/>
              </w:rPr>
              <w:t>一、工程概况：</w:t>
            </w:r>
          </w:p>
          <w:p>
            <w:pPr>
              <w:pStyle w:val="null3"/>
            </w:pPr>
            <w:r>
              <w:rPr>
                <w:rFonts w:ascii="仿宋_GB2312" w:hAnsi="仿宋_GB2312" w:cs="仿宋_GB2312" w:eastAsia="仿宋_GB2312"/>
              </w:rPr>
              <w:t>1．工程名称：2026年韩城市职业中等专业学校（芝川校区）提升改造工程</w:t>
            </w:r>
          </w:p>
          <w:p>
            <w:pPr>
              <w:pStyle w:val="null3"/>
            </w:pPr>
            <w:r>
              <w:rPr>
                <w:rFonts w:ascii="仿宋_GB2312" w:hAnsi="仿宋_GB2312" w:cs="仿宋_GB2312" w:eastAsia="仿宋_GB2312"/>
              </w:rPr>
              <w:t>2．建设单位：韩城市职业中等专业学校</w:t>
            </w:r>
          </w:p>
          <w:p>
            <w:pPr>
              <w:pStyle w:val="null3"/>
            </w:pPr>
            <w:r>
              <w:rPr>
                <w:rFonts w:ascii="仿宋_GB2312" w:hAnsi="仿宋_GB2312" w:cs="仿宋_GB2312" w:eastAsia="仿宋_GB2312"/>
              </w:rPr>
              <w:t>3．建设地点： 韩城市职业中等专业学校（芝川校区）</w:t>
            </w:r>
          </w:p>
          <w:p>
            <w:pPr>
              <w:pStyle w:val="null3"/>
            </w:pPr>
            <w:r>
              <w:rPr>
                <w:rFonts w:ascii="仿宋_GB2312" w:hAnsi="仿宋_GB2312" w:cs="仿宋_GB2312" w:eastAsia="仿宋_GB2312"/>
              </w:rPr>
              <w:t>4．资金来源：财政资金</w:t>
            </w:r>
          </w:p>
          <w:p>
            <w:pPr>
              <w:pStyle w:val="null3"/>
            </w:pPr>
            <w:r>
              <w:rPr>
                <w:rFonts w:ascii="仿宋_GB2312" w:hAnsi="仿宋_GB2312" w:cs="仿宋_GB2312" w:eastAsia="仿宋_GB2312"/>
              </w:rPr>
              <w:t>5．主要工程建设内容：逸夫教学楼教室、走廊的墙面、天棚、墙裙的改造；男生公寓盥洗间卫生间的地面、墙面、天棚的改造；拆除原有厕所，新建厕所，建筑面积382.38㎡。</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1、工期：45日历天</w:t>
            </w:r>
          </w:p>
          <w:p>
            <w:pPr>
              <w:pStyle w:val="null3"/>
            </w:pPr>
            <w:r>
              <w:rPr>
                <w:rFonts w:ascii="仿宋_GB2312" w:hAnsi="仿宋_GB2312" w:cs="仿宋_GB2312" w:eastAsia="仿宋_GB2312"/>
              </w:rPr>
              <w:t>2、缺陷责任期：工程竣工验收合格之日起1年</w:t>
            </w:r>
          </w:p>
          <w:p>
            <w:pPr>
              <w:pStyle w:val="null3"/>
            </w:pPr>
            <w:r>
              <w:rPr>
                <w:rFonts w:ascii="仿宋_GB2312" w:hAnsi="仿宋_GB2312" w:cs="仿宋_GB2312" w:eastAsia="仿宋_GB2312"/>
              </w:rPr>
              <w:t>3、付款方式：</w:t>
            </w:r>
          </w:p>
          <w:p>
            <w:pPr>
              <w:pStyle w:val="null3"/>
            </w:pPr>
            <w:r>
              <w:rPr>
                <w:rFonts w:ascii="仿宋_GB2312" w:hAnsi="仿宋_GB2312" w:cs="仿宋_GB2312" w:eastAsia="仿宋_GB2312"/>
              </w:rPr>
              <w:t>付款条件说明，工程完工并验收合格后，达到付款条件起30个工作日内，支付合同总金额的80.0%</w:t>
            </w:r>
          </w:p>
          <w:p>
            <w:pPr>
              <w:pStyle w:val="null3"/>
            </w:pPr>
            <w:r>
              <w:rPr>
                <w:rFonts w:ascii="仿宋_GB2312" w:hAnsi="仿宋_GB2312" w:cs="仿宋_GB2312" w:eastAsia="仿宋_GB2312"/>
              </w:rPr>
              <w:t>付款条件说明，通过审计后，达到付款条件起30个工作日内，支付合同总金额的17.0%</w:t>
            </w:r>
          </w:p>
          <w:p>
            <w:pPr>
              <w:pStyle w:val="null3"/>
            </w:pPr>
            <w:r>
              <w:rPr>
                <w:rFonts w:ascii="仿宋_GB2312" w:hAnsi="仿宋_GB2312" w:cs="仿宋_GB2312" w:eastAsia="仿宋_GB2312"/>
              </w:rPr>
              <w:t>付款条件说明，质保期满后，达到付款条件起30个工作日内，支付合同总金额的3.0%</w:t>
            </w:r>
          </w:p>
          <w:p>
            <w:pPr>
              <w:pStyle w:val="null3"/>
            </w:pPr>
            <w:r>
              <w:rPr>
                <w:rFonts w:ascii="仿宋_GB2312" w:hAnsi="仿宋_GB2312" w:cs="仿宋_GB2312" w:eastAsia="仿宋_GB2312"/>
              </w:rPr>
              <w:t>三、质量要求</w:t>
            </w:r>
          </w:p>
          <w:p>
            <w:pPr>
              <w:pStyle w:val="null3"/>
            </w:pPr>
            <w:r>
              <w:rPr>
                <w:rFonts w:ascii="仿宋_GB2312" w:hAnsi="仿宋_GB2312" w:cs="仿宋_GB2312" w:eastAsia="仿宋_GB2312"/>
              </w:rPr>
              <w:t>1.质量标准：符合国家以及配套的相关工程质量验收规范的合格等级，并达到采购人质量要求和交付使用标准。</w:t>
            </w:r>
          </w:p>
          <w:p>
            <w:pPr>
              <w:pStyle w:val="null3"/>
            </w:pPr>
            <w:r>
              <w:rPr>
                <w:rFonts w:ascii="仿宋_GB2312" w:hAnsi="仿宋_GB2312" w:cs="仿宋_GB2312" w:eastAsia="仿宋_GB2312"/>
              </w:rPr>
              <w:t>2.质量保修期：符合《建设工程质量管理条例》等相关法律法规。</w:t>
            </w:r>
          </w:p>
          <w:p>
            <w:pPr>
              <w:pStyle w:val="null3"/>
            </w:pPr>
            <w:r>
              <w:rPr>
                <w:rFonts w:ascii="仿宋_GB2312" w:hAnsi="仿宋_GB2312" w:cs="仿宋_GB2312" w:eastAsia="仿宋_GB2312"/>
              </w:rPr>
              <w:t>四、项目实施要求及质量保证</w:t>
            </w:r>
          </w:p>
          <w:p>
            <w:pPr>
              <w:pStyle w:val="null3"/>
            </w:pPr>
            <w:r>
              <w:rPr>
                <w:rFonts w:ascii="仿宋_GB2312" w:hAnsi="仿宋_GB2312" w:cs="仿宋_GB2312" w:eastAsia="仿宋_GB2312"/>
              </w:rPr>
              <w:t>1、供应商必须具备相应的资质，不得转包、分包。确需分包时须征得采购人同意。否则将终止合同并按政府采购有关规定进行处理。</w:t>
            </w:r>
          </w:p>
          <w:p>
            <w:pPr>
              <w:pStyle w:val="null3"/>
            </w:pPr>
            <w:r>
              <w:rPr>
                <w:rFonts w:ascii="仿宋_GB2312" w:hAnsi="仿宋_GB2312" w:cs="仿宋_GB2312" w:eastAsia="仿宋_GB2312"/>
              </w:rPr>
              <w:t>2、供应商在本工程中的项目负责人（项目经理），要求技术水平高、组织能力强、有丰富的工程业绩和实践经验，懂管理、善于协调。施工队伍稳定，保证整个工程顺利完工。</w:t>
            </w:r>
          </w:p>
          <w:p>
            <w:pPr>
              <w:pStyle w:val="null3"/>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rPr>
              <w:t>4、严格按照国家和省上有关规定施工、规范施工，确保工程合格，如有更改须事先征得有关方面的同意，并在采购人落实后实施，并出具书面说明。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rPr>
              <w:t>5、所有进场材料需携带合格证等质量证明文件。 由甲方现场代表对所进场材料予以验收并确认。</w:t>
            </w:r>
          </w:p>
          <w:p>
            <w:pPr>
              <w:pStyle w:val="null3"/>
            </w:pPr>
            <w:r>
              <w:rPr>
                <w:rFonts w:ascii="仿宋_GB2312" w:hAnsi="仿宋_GB2312" w:cs="仿宋_GB2312" w:eastAsia="仿宋_GB2312"/>
              </w:rPr>
              <w:t>6、施工方未经采购人同意，不得擅自更换本工程在磋商响应文件中指定的项目施工负责人（项目经理）及施工队伍。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1、依据2026年韩城市职业中等专业学校（芝川校区）提升改造工程图纸； 2、有关图集、施工规范规定； 3、《陕西省建设工程工程量清单计价计算标准》(2025)； 4、《陕西省房屋建筑与装饰工程基价表》(2025)； 5、《陕西省通用安装工程基价表》(2025)；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四、风险材料 水泥、商品砼、钢筋、预拌砂浆、砖、防水卷材、石灰、安装材料。 六、本工程采用广联达计价GCCP7.0-7.5000.23.3版本。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拟派项目经理须具备建筑工程专业二级及以上注册建造师执业资格，并具有合法有效的安全生产考核合格证，且未担任其他在建工程项目经理，提供本单位的社保缴纳证明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