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版本号：ZCSP-渭南市-2026-00225.1B120260715001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渭南市国家传染病智能监测预警平台前置服务器及软件采购项目(二次)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ZCSP-渭南市-2026-00225.1B1</w:t>
      </w:r>
      <w:r>
        <w:br/>
      </w:r>
      <w:r>
        <w:br/>
      </w:r>
      <w:r>
        <w:br/>
      </w:r>
    </w:p>
    <w:p>
      <w:pPr>
        <w:pStyle w:val="null3"/>
        <w:jc w:val="center"/>
        <w:outlineLvl w:val="2"/>
      </w:pPr>
      <w:r>
        <w:rPr>
          <w:rFonts w:ascii="仿宋_GB2312" w:hAnsi="仿宋_GB2312" w:cs="仿宋_GB2312" w:eastAsia="仿宋_GB2312"/>
          <w:sz w:val="28"/>
          <w:b/>
        </w:rPr>
        <w:t>渭南市卫生健康委员会</w:t>
      </w:r>
    </w:p>
    <w:p>
      <w:pPr>
        <w:pStyle w:val="null3"/>
        <w:jc w:val="center"/>
        <w:outlineLvl w:val="2"/>
      </w:pPr>
      <w:r>
        <w:rPr>
          <w:rFonts w:ascii="仿宋_GB2312" w:hAnsi="仿宋_GB2312" w:cs="仿宋_GB2312" w:eastAsia="仿宋_GB2312"/>
          <w:sz w:val="28"/>
          <w:b/>
        </w:rPr>
        <w:t>渭南市政府采购中心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渭南市政府采购中心</w:t>
      </w:r>
      <w:r>
        <w:rPr>
          <w:rFonts w:ascii="仿宋_GB2312" w:hAnsi="仿宋_GB2312" w:cs="仿宋_GB2312" w:eastAsia="仿宋_GB2312"/>
        </w:rPr>
        <w:t>（以下简称“代理机构”）受</w:t>
      </w:r>
      <w:r>
        <w:rPr>
          <w:rFonts w:ascii="仿宋_GB2312" w:hAnsi="仿宋_GB2312" w:cs="仿宋_GB2312" w:eastAsia="仿宋_GB2312"/>
        </w:rPr>
        <w:t>渭南市卫生健康委员会</w:t>
      </w:r>
      <w:r>
        <w:rPr>
          <w:rFonts w:ascii="仿宋_GB2312" w:hAnsi="仿宋_GB2312" w:cs="仿宋_GB2312" w:eastAsia="仿宋_GB2312"/>
        </w:rPr>
        <w:t>委托，拟对</w:t>
      </w:r>
      <w:r>
        <w:rPr>
          <w:rFonts w:ascii="仿宋_GB2312" w:hAnsi="仿宋_GB2312" w:cs="仿宋_GB2312" w:eastAsia="仿宋_GB2312"/>
        </w:rPr>
        <w:t>渭南市国家传染病智能监测预警平台前置服务器及软件采购项目(二次)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ZCSP-渭南市-2026-00225.1B1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渭南市国家传染病智能监测预警平台前置服务器及软件采购项目(二次)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渭南市国家传染病智能监测预警平台前置服务器及软件采购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采购包1（国家传染病智能监测预警平台前置服务器及软件采购项目）：属于专门面向中小企业采购。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1、营业执照等证明文件 ：供应商须提供合法注册的法人或其他组织的营业执照等证明文件（事业单位法人证书\民办非企业单位登记证书\非企业专业服务机构执业许可证等），自然人须提供的身份证明文件；供应商须在项目电子化交易系统中按要求上传，并进行电子签章。</w:t>
      </w:r>
    </w:p>
    <w:p>
      <w:pPr>
        <w:pStyle w:val="null3"/>
      </w:pPr>
      <w:r>
        <w:rPr>
          <w:rFonts w:ascii="仿宋_GB2312" w:hAnsi="仿宋_GB2312" w:cs="仿宋_GB2312" w:eastAsia="仿宋_GB2312"/>
        </w:rPr>
        <w:t>2、供应商应授权合法的人员参加磋商全过程：法定代表人参加的，须出具法定代表人身份证明，并与营业执照上信息一致；法定代表人授权代表参加的，须出具法定代表人授权书及授权代表身份证；供应商须在项目电子化交易系统中按要求上传法定代表人身份证明或法定代表人授权书及授权代表身份证证明文件，并进行电子签章。</w:t>
      </w:r>
    </w:p>
    <w:p>
      <w:pPr>
        <w:pStyle w:val="null3"/>
      </w:pPr>
      <w:r>
        <w:rPr>
          <w:rFonts w:ascii="仿宋_GB2312" w:hAnsi="仿宋_GB2312" w:cs="仿宋_GB2312" w:eastAsia="仿宋_GB2312"/>
        </w:rPr>
        <w:t>3、完税证明：供应商须提供开标前一年内任意一个月的依法缴纳税收的完税证明，依法免税的或不需要缴纳的供应商，应提供相关证明；供应商须在项目电子化交易系统中按要求上传，并进行电子签章。</w:t>
      </w:r>
    </w:p>
    <w:p>
      <w:pPr>
        <w:pStyle w:val="null3"/>
      </w:pPr>
      <w:r>
        <w:rPr>
          <w:rFonts w:ascii="仿宋_GB2312" w:hAnsi="仿宋_GB2312" w:cs="仿宋_GB2312" w:eastAsia="仿宋_GB2312"/>
        </w:rPr>
        <w:t>4、社会保险缴纳证明：供应商须提供开标前一年内任意一个月的已缴纳的社会保险证明；依法不需要缴纳社会保险的供应商应提供相关证明文件；供应商须在项目电子化交易系统中按要求上传相应证明文件，并进行电子签章。</w:t>
      </w:r>
    </w:p>
    <w:p>
      <w:pPr>
        <w:pStyle w:val="null3"/>
      </w:pPr>
      <w:r>
        <w:rPr>
          <w:rFonts w:ascii="仿宋_GB2312" w:hAnsi="仿宋_GB2312" w:cs="仿宋_GB2312" w:eastAsia="仿宋_GB2312"/>
        </w:rPr>
        <w:t>5、财务审计报告或资信证明：供应商提供具有财务审计资质单位出具的2025年度完整财务报告或开标前六个月内其基本账户银行出具的资信证明；供应商须在项目电子化交易系统中按要求上传，并进行电子签章。</w:t>
      </w:r>
    </w:p>
    <w:p>
      <w:pPr>
        <w:pStyle w:val="null3"/>
      </w:pPr>
      <w:r>
        <w:rPr>
          <w:rFonts w:ascii="仿宋_GB2312" w:hAnsi="仿宋_GB2312" w:cs="仿宋_GB2312" w:eastAsia="仿宋_GB2312"/>
        </w:rPr>
        <w:t>6、无重大违法记录书面声明 ：供应商须在项目电子化交易系统中按要求上传《供应商无重大违法记录书面声明函》，并进行电子签章。</w:t>
      </w:r>
    </w:p>
    <w:p>
      <w:pPr>
        <w:pStyle w:val="null3"/>
      </w:pPr>
      <w:r>
        <w:rPr>
          <w:rFonts w:ascii="仿宋_GB2312" w:hAnsi="仿宋_GB2312" w:cs="仿宋_GB2312" w:eastAsia="仿宋_GB2312"/>
        </w:rPr>
        <w:t>7、信用记录书面声明 ：供应商须在项目电子化交易系统中按要求上传《供应商信用记录书面声明函》，并进行电子签章。</w:t>
      </w:r>
    </w:p>
    <w:p>
      <w:pPr>
        <w:pStyle w:val="null3"/>
      </w:pPr>
      <w:r>
        <w:rPr>
          <w:rFonts w:ascii="仿宋_GB2312" w:hAnsi="仿宋_GB2312" w:cs="仿宋_GB2312" w:eastAsia="仿宋_GB2312"/>
        </w:rPr>
        <w:t>8、本项目不接受联合体投标，不允许分包。 ：供应商须在项目电子化交易系统中按要求上传《非联合体不分包投标声明》，并进行电子签章。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渭南市卫生健康委员会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市民综合服务中心</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渭南市卫生健康委员会经办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18609130165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渭南市政府采购中心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陕西省渭南市临渭区朝阳大街中段中银大厦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渭南市政府采购中心经办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0913-2100081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渭南市卫生健康委员会</w:t>
      </w:r>
      <w:r>
        <w:rPr>
          <w:rFonts w:ascii="仿宋_GB2312" w:hAnsi="仿宋_GB2312" w:cs="仿宋_GB2312" w:eastAsia="仿宋_GB2312"/>
        </w:rPr>
        <w:t>和</w:t>
      </w:r>
      <w:r>
        <w:rPr>
          <w:rFonts w:ascii="仿宋_GB2312" w:hAnsi="仿宋_GB2312" w:cs="仿宋_GB2312" w:eastAsia="仿宋_GB2312"/>
        </w:rPr>
        <w:t>渭南市政府采购中心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渭南市卫生健康委员会</w:t>
      </w:r>
      <w:r>
        <w:rPr>
          <w:rFonts w:ascii="仿宋_GB2312" w:hAnsi="仿宋_GB2312" w:cs="仿宋_GB2312" w:eastAsia="仿宋_GB2312"/>
        </w:rPr>
        <w:t>负责解释。除上述磋商文件内容，其他内容由</w:t>
      </w:r>
      <w:r>
        <w:rPr>
          <w:rFonts w:ascii="仿宋_GB2312" w:hAnsi="仿宋_GB2312" w:cs="仿宋_GB2312" w:eastAsia="仿宋_GB2312"/>
        </w:rPr>
        <w:t>渭南市政府采购中心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渭南市卫生健康委员会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渭南市政府采购中心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数据迁移完整无误；前置软件正常运行、数据联通视为合格。</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渭南市卫生健康委员会</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渭南市政府采购中心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渭南市政府采购中心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联系人：卫健委经办</w:t>
      </w:r>
    </w:p>
    <w:p>
      <w:pPr>
        <w:pStyle w:val="null3"/>
      </w:pPr>
      <w:r>
        <w:rPr>
          <w:rFonts w:ascii="仿宋_GB2312" w:hAnsi="仿宋_GB2312" w:cs="仿宋_GB2312" w:eastAsia="仿宋_GB2312"/>
        </w:rPr>
        <w:t>联系电话：18609130165</w:t>
      </w:r>
    </w:p>
    <w:p>
      <w:pPr>
        <w:pStyle w:val="null3"/>
      </w:pPr>
      <w:r>
        <w:rPr>
          <w:rFonts w:ascii="仿宋_GB2312" w:hAnsi="仿宋_GB2312" w:cs="仿宋_GB2312" w:eastAsia="仿宋_GB2312"/>
        </w:rPr>
        <w:t>地址：市民综合服务中心</w:t>
      </w:r>
    </w:p>
    <w:p>
      <w:pPr>
        <w:pStyle w:val="null3"/>
      </w:pPr>
      <w:r>
        <w:rPr>
          <w:rFonts w:ascii="仿宋_GB2312" w:hAnsi="仿宋_GB2312" w:cs="仿宋_GB2312" w:eastAsia="仿宋_GB2312"/>
        </w:rPr>
        <w:t>邮编：714000</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联系人：政府采购中心经办</w:t>
      </w:r>
    </w:p>
    <w:p>
      <w:pPr>
        <w:pStyle w:val="null3"/>
      </w:pPr>
      <w:r>
        <w:rPr>
          <w:rFonts w:ascii="仿宋_GB2312" w:hAnsi="仿宋_GB2312" w:cs="仿宋_GB2312" w:eastAsia="仿宋_GB2312"/>
        </w:rPr>
        <w:t>联系电话：0913-2100081</w:t>
      </w:r>
    </w:p>
    <w:p>
      <w:pPr>
        <w:pStyle w:val="null3"/>
      </w:pPr>
      <w:r>
        <w:rPr>
          <w:rFonts w:ascii="仿宋_GB2312" w:hAnsi="仿宋_GB2312" w:cs="仿宋_GB2312" w:eastAsia="仿宋_GB2312"/>
        </w:rPr>
        <w:t>地址：渭南市中银大厦</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根据国家传染病智能监测预警前置软件部署要求，需配置满足前置软件运行环境的服务器及基础软件,现需采购国产服务器2台、国产数据库2套、国产服务器操作系统2套、设备搬迁、数据迁移服务、调试服务。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渭南市卫生健康委员会国家传染病智能监测预警平台前置服务器及软件采购项目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标的名称：渭南市卫生健康委员会国家传染病智能监测预警平台前置服务器及软件采购项目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240" w:after="120"/>
            </w:pPr>
            <w:r>
              <w:rPr>
                <w:rFonts w:ascii="仿宋_GB2312" w:hAnsi="仿宋_GB2312" w:cs="仿宋_GB2312" w:eastAsia="仿宋_GB2312"/>
                <w:sz w:val="30"/>
                <w:b/>
              </w:rPr>
              <w:t>采购项目技术需求</w:t>
            </w:r>
          </w:p>
          <w:p>
            <w:pPr>
              <w:pStyle w:val="null3"/>
              <w:spacing w:after="195"/>
              <w:ind w:firstLine="560"/>
            </w:pPr>
            <w:r>
              <w:rPr>
                <w:rFonts w:ascii="仿宋_GB2312" w:hAnsi="仿宋_GB2312" w:cs="仿宋_GB2312" w:eastAsia="仿宋_GB2312"/>
                <w:sz w:val="28"/>
              </w:rPr>
              <w:t>本项目采购内容包含国产服务器、国产数据库、国产服务器操作系统及相关服务，具体技术参数要求如下：</w:t>
            </w:r>
          </w:p>
          <w:p>
            <w:pPr>
              <w:pStyle w:val="null3"/>
              <w:spacing w:after="195"/>
              <w:ind w:firstLine="560"/>
            </w:pPr>
            <w:r>
              <w:rPr>
                <w:rFonts w:ascii="仿宋_GB2312" w:hAnsi="仿宋_GB2312" w:cs="仿宋_GB2312" w:eastAsia="仿宋_GB2312"/>
                <w:sz w:val="28"/>
              </w:rPr>
              <w:t>标注</w:t>
            </w:r>
            <w:r>
              <w:rPr>
                <w:rFonts w:ascii="仿宋_GB2312" w:hAnsi="仿宋_GB2312" w:cs="仿宋_GB2312" w:eastAsia="仿宋_GB2312"/>
                <w:sz w:val="28"/>
              </w:rPr>
              <w:t>"★"的为关键参数，必须满足，否则视为无效响应。</w:t>
            </w:r>
          </w:p>
          <w:p>
            <w:pPr>
              <w:pStyle w:val="null3"/>
              <w:spacing w:before="240" w:after="120"/>
            </w:pPr>
            <w:r>
              <w:rPr>
                <w:rFonts w:ascii="仿宋_GB2312" w:hAnsi="仿宋_GB2312" w:cs="仿宋_GB2312" w:eastAsia="仿宋_GB2312"/>
                <w:sz w:val="30"/>
                <w:b/>
              </w:rPr>
              <w:t>2.1  国产服务器</w:t>
            </w:r>
          </w:p>
          <w:p>
            <w:pPr>
              <w:pStyle w:val="null3"/>
              <w:spacing w:after="195"/>
              <w:ind w:firstLine="560"/>
            </w:pPr>
            <w:r>
              <w:rPr>
                <w:rFonts w:ascii="仿宋_GB2312" w:hAnsi="仿宋_GB2312" w:cs="仿宋_GB2312" w:eastAsia="仿宋_GB2312"/>
                <w:sz w:val="28"/>
              </w:rPr>
              <w:t>根据国家传染病智能监测预警前置软件部署要求，服务器需满足以下配置：</w:t>
            </w:r>
          </w:p>
          <w:tbl>
            <w:tblPr>
              <w:tblBorders>
                <w:top w:val="none" w:color="000000" w:sz="4"/>
                <w:left w:val="none" w:color="000000" w:sz="4"/>
                <w:bottom w:val="none" w:color="000000" w:sz="4"/>
                <w:right w:val="none" w:color="000000" w:sz="4"/>
                <w:insideH w:val="none"/>
                <w:insideV w:val="none"/>
              </w:tblBorders>
            </w:tblPr>
            <w:tblGrid>
              <w:gridCol w:w="253"/>
              <w:gridCol w:w="511"/>
              <w:gridCol w:w="1789"/>
            </w:tblGrid>
            <w:tr>
              <w:tc>
                <w:tcPr>
                  <w:tcW w:type="dxa" w:w="253"/>
                  <w:tcBorders>
                    <w:top w:val="single" w:color="000000" w:sz="4"/>
                    <w:left w:val="single" w:color="000000" w:sz="4"/>
                    <w:bottom w:val="single" w:color="000000" w:sz="4"/>
                    <w:right w:val="single" w:color="000000" w:sz="4"/>
                  </w:tcBorders>
                  <w:shd w:fill="D9E2F3"/>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序号</w:t>
                  </w:r>
                </w:p>
              </w:tc>
              <w:tc>
                <w:tcPr>
                  <w:tcW w:type="dxa" w:w="511"/>
                  <w:tcBorders>
                    <w:top w:val="single" w:color="000000" w:sz="4"/>
                    <w:left w:val="single" w:color="000000" w:sz="4"/>
                    <w:bottom w:val="single" w:color="000000" w:sz="4"/>
                    <w:right w:val="single" w:color="000000" w:sz="4"/>
                  </w:tcBorders>
                  <w:shd w:fill="D9E2F3"/>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配置项</w:t>
                  </w:r>
                </w:p>
              </w:tc>
              <w:tc>
                <w:tcPr>
                  <w:tcW w:type="dxa" w:w="1789"/>
                  <w:tcBorders>
                    <w:top w:val="single" w:color="000000" w:sz="4"/>
                    <w:left w:val="single" w:color="000000" w:sz="4"/>
                    <w:bottom w:val="single" w:color="000000" w:sz="4"/>
                    <w:right w:val="single" w:color="000000" w:sz="4"/>
                  </w:tcBorders>
                  <w:shd w:fill="D9E2F3"/>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技术参数</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形态</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rPr>
                    <w:t>★2U机架式服务器，国产品牌</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处理器</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rPr>
                    <w:t>★2颗国内自研ARM架构处理器，物理核数≥32核，主频≥2.6GHz</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内存</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rPr>
                    <w:t>ECC DDR4 RDIMM/LRDIMM内存插槽；内存配置容量≥256GB；内存实际工作频率≥2666MHz</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存储</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rPr>
                    <w:t>内置硬盘支持热插拔</w:t>
                  </w:r>
                  <w:r>
                    <w:rPr>
                      <w:rFonts w:ascii="仿宋_GB2312" w:hAnsi="仿宋_GB2312" w:cs="仿宋_GB2312" w:eastAsia="仿宋_GB2312"/>
                      <w:sz w:val="22"/>
                    </w:rPr>
                    <w:t>SAS/SATA/NVMe/SSD硬盘；内置硬盘配置≥</w:t>
                  </w:r>
                  <w:r>
                    <w:rPr>
                      <w:rFonts w:ascii="仿宋_GB2312" w:hAnsi="仿宋_GB2312" w:cs="仿宋_GB2312" w:eastAsia="仿宋_GB2312"/>
                      <w:sz w:val="22"/>
                    </w:rPr>
                    <w:t>1T</w:t>
                  </w:r>
                  <w:r>
                    <w:rPr>
                      <w:rFonts w:ascii="仿宋_GB2312" w:hAnsi="仿宋_GB2312" w:cs="仿宋_GB2312" w:eastAsia="仿宋_GB2312"/>
                      <w:sz w:val="22"/>
                    </w:rPr>
                    <w:t xml:space="preserve"> SSD</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板载网口</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rPr>
                    <w:t>★4×GE，支持政务外网和内网双网隔离</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I/O扩展</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rPr>
                    <w:t>PCIe 4.0 I/O插槽总数≥8个</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电源</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rPr>
                    <w:t>满配冗余热插拔电源，单电源额定功率</w:t>
                  </w:r>
                  <w:r>
                    <w:rPr>
                      <w:rFonts w:ascii="仿宋_GB2312" w:hAnsi="仿宋_GB2312" w:cs="仿宋_GB2312" w:eastAsia="仿宋_GB2312"/>
                      <w:sz w:val="22"/>
                    </w:rPr>
                    <w:t>≥900W，并提供配套电源连接线</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风扇</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rPr>
                    <w:t>≥4个满配冗余风扇，支持单风扇失效</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环境温度</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rPr>
                    <w:t>长期工作环境温度支持</w:t>
                  </w:r>
                  <w:r>
                    <w:rPr>
                      <w:rFonts w:ascii="仿宋_GB2312" w:hAnsi="仿宋_GB2312" w:cs="仿宋_GB2312" w:eastAsia="仿宋_GB2312"/>
                      <w:sz w:val="22"/>
                    </w:rPr>
                    <w:t>5-40°C，提供官网材料证明</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RAID</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rPr>
                    <w:t>配置独立</w:t>
                  </w:r>
                  <w:r>
                    <w:rPr>
                      <w:rFonts w:ascii="仿宋_GB2312" w:hAnsi="仿宋_GB2312" w:cs="仿宋_GB2312" w:eastAsia="仿宋_GB2312"/>
                      <w:sz w:val="22"/>
                    </w:rPr>
                    <w:t>RAID卡，支持RAID 0/1/5/10</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GPU/NPU</w:t>
                  </w:r>
                </w:p>
              </w:tc>
              <w:tc>
                <w:tcPr>
                  <w:tcW w:type="dxa" w:w="1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rPr>
                    <w:t>可选配</w:t>
                  </w:r>
                  <w:r>
                    <w:rPr>
                      <w:rFonts w:ascii="仿宋_GB2312" w:hAnsi="仿宋_GB2312" w:cs="仿宋_GB2312" w:eastAsia="仿宋_GB2312"/>
                      <w:sz w:val="22"/>
                    </w:rPr>
                    <w:t>GPU或NPU加速卡，支持AI算法计算</w:t>
                  </w:r>
                </w:p>
              </w:tc>
            </w:tr>
          </w:tbl>
          <w:p>
            <w:pPr>
              <w:pStyle w:val="null3"/>
              <w:spacing w:after="195"/>
              <w:ind w:firstLine="560"/>
            </w:pPr>
            <w:r>
              <w:rPr>
                <w:rFonts w:ascii="仿宋_GB2312" w:hAnsi="仿宋_GB2312" w:cs="仿宋_GB2312" w:eastAsia="仿宋_GB2312"/>
                <w:sz w:val="28"/>
                <w:b/>
              </w:rPr>
              <w:t>BMC管理功能要求：</w:t>
            </w:r>
          </w:p>
          <w:p>
            <w:pPr>
              <w:pStyle w:val="null3"/>
              <w:spacing w:after="195"/>
              <w:ind w:firstLine="560"/>
            </w:pPr>
            <w:r>
              <w:rPr>
                <w:rFonts w:ascii="仿宋_GB2312" w:hAnsi="仿宋_GB2312" w:cs="仿宋_GB2312" w:eastAsia="仿宋_GB2312"/>
                <w:sz w:val="28"/>
                <w:color w:val="000000"/>
              </w:rPr>
              <w:t>. 集成系统管理支持：电源启动和关闭、风扇监视和控制、电源监控、温度监控、本地固件更新、错误日志；具有图形管理界面及其他高级管理功能；</w:t>
            </w:r>
          </w:p>
          <w:p>
            <w:pPr>
              <w:pStyle w:val="null3"/>
              <w:spacing w:after="195"/>
              <w:ind w:firstLine="560"/>
            </w:pPr>
            <w:r>
              <w:rPr>
                <w:rFonts w:ascii="仿宋_GB2312" w:hAnsi="仿宋_GB2312" w:cs="仿宋_GB2312" w:eastAsia="仿宋_GB2312"/>
                <w:sz w:val="28"/>
                <w:color w:val="000000"/>
              </w:rPr>
              <w:t>2. 配置独立的远程管理控制端口，支持远程监控图形界面，可实现与操作系统无关的远程对服务器的完全控制，包括远程开机、关机、重启、虚拟软驱、虚拟光驱等操作；</w:t>
            </w:r>
          </w:p>
          <w:p>
            <w:pPr>
              <w:pStyle w:val="null3"/>
              <w:spacing w:after="195"/>
              <w:ind w:firstLine="560"/>
            </w:pPr>
            <w:r>
              <w:rPr>
                <w:rFonts w:ascii="仿宋_GB2312" w:hAnsi="仿宋_GB2312" w:cs="仿宋_GB2312" w:eastAsia="仿宋_GB2312"/>
                <w:sz w:val="28"/>
              </w:rPr>
              <w:t>3</w:t>
            </w:r>
            <w:r>
              <w:rPr>
                <w:rFonts w:ascii="仿宋_GB2312" w:hAnsi="仿宋_GB2312" w:cs="仿宋_GB2312" w:eastAsia="仿宋_GB2312"/>
                <w:sz w:val="28"/>
              </w:rPr>
              <w:t>. 支持Redfish标准，提供RESTful接口</w:t>
            </w:r>
            <w:r>
              <w:rPr>
                <w:rFonts w:ascii="仿宋_GB2312" w:hAnsi="仿宋_GB2312" w:cs="仿宋_GB2312" w:eastAsia="仿宋_GB2312"/>
                <w:sz w:val="28"/>
              </w:rPr>
              <w:t>，</w:t>
            </w:r>
            <w:r>
              <w:rPr>
                <w:rFonts w:ascii="仿宋_GB2312" w:hAnsi="仿宋_GB2312" w:cs="仿宋_GB2312" w:eastAsia="仿宋_GB2312"/>
                <w:sz w:val="28"/>
              </w:rPr>
              <w:t>提供证明资料；</w:t>
            </w:r>
          </w:p>
          <w:p>
            <w:pPr>
              <w:pStyle w:val="null3"/>
              <w:spacing w:after="195"/>
              <w:ind w:firstLine="560"/>
            </w:pPr>
            <w:r>
              <w:rPr>
                <w:rFonts w:ascii="仿宋_GB2312" w:hAnsi="仿宋_GB2312" w:cs="仿宋_GB2312" w:eastAsia="仿宋_GB2312"/>
                <w:sz w:val="28"/>
              </w:rPr>
              <w:t>4</w:t>
            </w:r>
            <w:r>
              <w:rPr>
                <w:rFonts w:ascii="仿宋_GB2312" w:hAnsi="仿宋_GB2312" w:cs="仿宋_GB2312" w:eastAsia="仿宋_GB2312"/>
                <w:sz w:val="28"/>
              </w:rPr>
              <w:t>. 提供系统运行记录仪功能（黑匣子KBox）；</w:t>
            </w:r>
          </w:p>
          <w:p>
            <w:pPr>
              <w:pStyle w:val="null3"/>
              <w:spacing w:after="195"/>
              <w:ind w:firstLine="560"/>
            </w:pPr>
            <w:r>
              <w:rPr>
                <w:rFonts w:ascii="仿宋_GB2312" w:hAnsi="仿宋_GB2312" w:cs="仿宋_GB2312" w:eastAsia="仿宋_GB2312"/>
                <w:sz w:val="28"/>
              </w:rPr>
              <w:t>5. 虚拟KVM控制台上提供远程KVM录像功能；</w:t>
            </w:r>
          </w:p>
          <w:p>
            <w:pPr>
              <w:pStyle w:val="null3"/>
              <w:spacing w:after="195"/>
              <w:ind w:firstLine="560"/>
            </w:pPr>
            <w:r>
              <w:rPr>
                <w:rFonts w:ascii="仿宋_GB2312" w:hAnsi="仿宋_GB2312" w:cs="仿宋_GB2312" w:eastAsia="仿宋_GB2312"/>
                <w:sz w:val="28"/>
              </w:rPr>
              <w:t>6</w:t>
            </w:r>
            <w:r>
              <w:rPr>
                <w:rFonts w:ascii="仿宋_GB2312" w:hAnsi="仿宋_GB2312" w:cs="仿宋_GB2312" w:eastAsia="仿宋_GB2312"/>
                <w:sz w:val="28"/>
              </w:rPr>
              <w:t>. 支持录屏回放功能，在CPU出错和OS下电、重启场景的自动录制1min以内的适配，用于故障分析；</w:t>
            </w:r>
          </w:p>
          <w:p>
            <w:pPr>
              <w:pStyle w:val="null3"/>
              <w:spacing w:after="195"/>
              <w:ind w:firstLine="560"/>
            </w:pPr>
            <w:r>
              <w:rPr>
                <w:rFonts w:ascii="仿宋_GB2312" w:hAnsi="仿宋_GB2312" w:cs="仿宋_GB2312" w:eastAsia="仿宋_GB2312"/>
                <w:sz w:val="28"/>
              </w:rPr>
              <w:t>7</w:t>
            </w:r>
            <w:r>
              <w:rPr>
                <w:rFonts w:ascii="仿宋_GB2312" w:hAnsi="仿宋_GB2312" w:cs="仿宋_GB2312" w:eastAsia="仿宋_GB2312"/>
                <w:sz w:val="28"/>
              </w:rPr>
              <w:t>. 屏幕快照功能：可通过远程命令行（CLI）和Web界面截取并保存当前系统屏幕输出；</w:t>
            </w:r>
          </w:p>
          <w:p>
            <w:pPr>
              <w:pStyle w:val="null3"/>
              <w:spacing w:after="195"/>
              <w:ind w:firstLine="560"/>
            </w:pPr>
            <w:r>
              <w:rPr>
                <w:rFonts w:ascii="仿宋_GB2312" w:hAnsi="仿宋_GB2312" w:cs="仿宋_GB2312" w:eastAsia="仿宋_GB2312"/>
                <w:sz w:val="28"/>
              </w:rPr>
              <w:t>8</w:t>
            </w:r>
            <w:r>
              <w:rPr>
                <w:rFonts w:ascii="仿宋_GB2312" w:hAnsi="仿宋_GB2312" w:cs="仿宋_GB2312" w:eastAsia="仿宋_GB2312"/>
                <w:sz w:val="28"/>
              </w:rPr>
              <w:t>. 支持最后一屏功能，提供证明资料；</w:t>
            </w:r>
          </w:p>
          <w:p>
            <w:pPr>
              <w:pStyle w:val="null3"/>
              <w:spacing w:after="195"/>
              <w:ind w:firstLine="560"/>
            </w:pPr>
            <w:r>
              <w:rPr>
                <w:rFonts w:ascii="仿宋_GB2312" w:hAnsi="仿宋_GB2312" w:cs="仿宋_GB2312" w:eastAsia="仿宋_GB2312"/>
                <w:sz w:val="28"/>
              </w:rPr>
              <w:t>9</w:t>
            </w:r>
            <w:r>
              <w:rPr>
                <w:rFonts w:ascii="仿宋_GB2312" w:hAnsi="仿宋_GB2312" w:cs="仿宋_GB2312" w:eastAsia="仿宋_GB2312"/>
                <w:sz w:val="28"/>
              </w:rPr>
              <w:t>. 支持使用客户端证书和证书密码的双因素认证方式登录单板管理系统，提供白皮书或证明资料；</w:t>
            </w:r>
          </w:p>
          <w:p>
            <w:pPr>
              <w:pStyle w:val="null3"/>
              <w:spacing w:after="195"/>
              <w:ind w:firstLine="560"/>
            </w:pPr>
            <w:r>
              <w:rPr>
                <w:rFonts w:ascii="仿宋_GB2312" w:hAnsi="仿宋_GB2312" w:cs="仿宋_GB2312" w:eastAsia="仿宋_GB2312"/>
                <w:sz w:val="28"/>
              </w:rPr>
              <w:t>1</w:t>
            </w:r>
            <w:r>
              <w:rPr>
                <w:rFonts w:ascii="仿宋_GB2312" w:hAnsi="仿宋_GB2312" w:cs="仿宋_GB2312" w:eastAsia="仿宋_GB2312"/>
                <w:sz w:val="28"/>
              </w:rPr>
              <w:t>0</w:t>
            </w:r>
            <w:r>
              <w:rPr>
                <w:rFonts w:ascii="仿宋_GB2312" w:hAnsi="仿宋_GB2312" w:cs="仿宋_GB2312" w:eastAsia="仿宋_GB2312"/>
                <w:sz w:val="28"/>
              </w:rPr>
              <w:t>. 支持功率封顶技术；</w:t>
            </w:r>
          </w:p>
          <w:p>
            <w:pPr>
              <w:pStyle w:val="null3"/>
              <w:spacing w:after="195"/>
              <w:ind w:firstLine="560"/>
            </w:pPr>
            <w:r>
              <w:rPr>
                <w:rFonts w:ascii="仿宋_GB2312" w:hAnsi="仿宋_GB2312" w:cs="仿宋_GB2312" w:eastAsia="仿宋_GB2312"/>
                <w:sz w:val="28"/>
              </w:rPr>
              <w:t>1</w:t>
            </w:r>
            <w:r>
              <w:rPr>
                <w:rFonts w:ascii="仿宋_GB2312" w:hAnsi="仿宋_GB2312" w:cs="仿宋_GB2312" w:eastAsia="仿宋_GB2312"/>
                <w:sz w:val="28"/>
              </w:rPr>
              <w:t>1</w:t>
            </w:r>
            <w:r>
              <w:rPr>
                <w:rFonts w:ascii="仿宋_GB2312" w:hAnsi="仿宋_GB2312" w:cs="仿宋_GB2312" w:eastAsia="仿宋_GB2312"/>
                <w:sz w:val="28"/>
              </w:rPr>
              <w:t>. 服务器管理软件通过国际主流安全机构认证（如CC EAL2+级以上级别）。</w:t>
            </w:r>
          </w:p>
          <w:p>
            <w:pPr>
              <w:pStyle w:val="null3"/>
              <w:spacing w:after="195"/>
              <w:ind w:firstLine="560"/>
            </w:pPr>
            <w:r>
              <w:rPr>
                <w:rFonts w:ascii="仿宋_GB2312" w:hAnsi="仿宋_GB2312" w:cs="仿宋_GB2312" w:eastAsia="仿宋_GB2312"/>
                <w:sz w:val="28"/>
                <w:b/>
              </w:rPr>
              <w:t>BIOS要求：</w:t>
            </w:r>
          </w:p>
          <w:p>
            <w:pPr>
              <w:pStyle w:val="null3"/>
              <w:spacing w:after="195"/>
              <w:ind w:firstLine="560"/>
            </w:pPr>
            <w:r>
              <w:rPr>
                <w:rFonts w:ascii="仿宋_GB2312" w:hAnsi="仿宋_GB2312" w:cs="仿宋_GB2312" w:eastAsia="仿宋_GB2312"/>
                <w:sz w:val="28"/>
              </w:rPr>
              <w:t>支持中文</w:t>
            </w:r>
            <w:r>
              <w:rPr>
                <w:rFonts w:ascii="仿宋_GB2312" w:hAnsi="仿宋_GB2312" w:cs="仿宋_GB2312" w:eastAsia="仿宋_GB2312"/>
                <w:sz w:val="28"/>
              </w:rPr>
              <w:t>BIOS界面，提供中文界面截图。</w:t>
            </w:r>
          </w:p>
          <w:p>
            <w:pPr>
              <w:pStyle w:val="null3"/>
              <w:spacing w:after="195"/>
              <w:ind w:firstLine="560"/>
            </w:pPr>
            <w:r>
              <w:rPr>
                <w:rFonts w:ascii="仿宋_GB2312" w:hAnsi="仿宋_GB2312" w:cs="仿宋_GB2312" w:eastAsia="仿宋_GB2312"/>
                <w:sz w:val="28"/>
                <w:b/>
              </w:rPr>
              <w:t>安装服务：</w:t>
            </w:r>
          </w:p>
          <w:p>
            <w:pPr>
              <w:pStyle w:val="null3"/>
              <w:spacing w:after="195"/>
              <w:ind w:firstLine="560"/>
            </w:pPr>
            <w:r>
              <w:rPr>
                <w:rFonts w:ascii="仿宋_GB2312" w:hAnsi="仿宋_GB2312" w:cs="仿宋_GB2312" w:eastAsia="仿宋_GB2312"/>
                <w:sz w:val="28"/>
              </w:rPr>
              <w:t>要求提供实际生产厂商三年硬件现场</w:t>
            </w:r>
            <w:r>
              <w:rPr>
                <w:rFonts w:ascii="仿宋_GB2312" w:hAnsi="仿宋_GB2312" w:cs="仿宋_GB2312" w:eastAsia="仿宋_GB2312"/>
                <w:sz w:val="28"/>
              </w:rPr>
              <w:t>7×24小时服务。</w:t>
            </w:r>
          </w:p>
          <w:p>
            <w:pPr>
              <w:pStyle w:val="null3"/>
              <w:spacing w:after="195"/>
              <w:ind w:firstLine="560"/>
            </w:pPr>
            <w:r>
              <w:rPr>
                <w:rFonts w:ascii="仿宋_GB2312" w:hAnsi="仿宋_GB2312" w:cs="仿宋_GB2312" w:eastAsia="仿宋_GB2312"/>
                <w:sz w:val="28"/>
                <w:b/>
              </w:rPr>
              <w:t>产品资质要求：</w:t>
            </w:r>
          </w:p>
          <w:tbl>
            <w:tblPr>
              <w:tblBorders>
                <w:top w:val="none" w:color="000000" w:sz="4"/>
                <w:left w:val="none" w:color="000000" w:sz="4"/>
                <w:bottom w:val="none" w:color="000000" w:sz="4"/>
                <w:right w:val="none" w:color="000000" w:sz="4"/>
                <w:insideH w:val="none"/>
                <w:insideV w:val="none"/>
              </w:tblBorders>
            </w:tblPr>
            <w:tblGrid>
              <w:gridCol w:w="253"/>
              <w:gridCol w:w="2300"/>
            </w:tblGrid>
            <w:tr>
              <w:tc>
                <w:tcPr>
                  <w:tcW w:type="dxa" w:w="253"/>
                  <w:tcBorders>
                    <w:top w:val="single" w:color="000000" w:sz="4"/>
                    <w:left w:val="single" w:color="000000" w:sz="4"/>
                    <w:bottom w:val="single" w:color="000000" w:sz="4"/>
                    <w:right w:val="single" w:color="000000" w:sz="4"/>
                  </w:tcBorders>
                  <w:shd w:fill="D9E2F3"/>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序号</w:t>
                  </w:r>
                </w:p>
              </w:tc>
              <w:tc>
                <w:tcPr>
                  <w:tcW w:type="dxa" w:w="2300"/>
                  <w:tcBorders>
                    <w:top w:val="single" w:color="000000" w:sz="4"/>
                    <w:left w:val="single" w:color="000000" w:sz="4"/>
                    <w:bottom w:val="single" w:color="000000" w:sz="4"/>
                    <w:right w:val="single" w:color="000000" w:sz="4"/>
                  </w:tcBorders>
                  <w:shd w:fill="D9E2F3"/>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资质要求</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rPr>
                    <w:t>中国</w:t>
                  </w:r>
                  <w:r>
                    <w:rPr>
                      <w:rFonts w:ascii="仿宋_GB2312" w:hAnsi="仿宋_GB2312" w:cs="仿宋_GB2312" w:eastAsia="仿宋_GB2312"/>
                      <w:sz w:val="22"/>
                    </w:rPr>
                    <w:t>CQC节能认证，可提供证书证明</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2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rPr>
                    <w:t>中国环境标志产品认证证书，可提供证书证明</w:t>
                  </w:r>
                </w:p>
              </w:tc>
            </w:tr>
          </w:tbl>
          <w:p>
            <w:pPr>
              <w:pStyle w:val="null3"/>
              <w:spacing w:before="240" w:after="120"/>
            </w:pPr>
            <w:r>
              <w:rPr>
                <w:rFonts w:ascii="仿宋_GB2312" w:hAnsi="仿宋_GB2312" w:cs="仿宋_GB2312" w:eastAsia="仿宋_GB2312"/>
                <w:sz w:val="30"/>
                <w:b/>
              </w:rPr>
              <w:t>2.2  国产数据库</w:t>
            </w:r>
          </w:p>
          <w:p>
            <w:pPr>
              <w:pStyle w:val="null3"/>
              <w:spacing w:after="195"/>
              <w:ind w:firstLine="560"/>
            </w:pPr>
            <w:r>
              <w:rPr>
                <w:rFonts w:ascii="仿宋_GB2312" w:hAnsi="仿宋_GB2312" w:cs="仿宋_GB2312" w:eastAsia="仿宋_GB2312"/>
                <w:sz w:val="28"/>
              </w:rPr>
              <w:t>★1、产品需为国产集中式关系型数据库，通过中国信息安全测评中心或国家保密科技测评中心的安全可靠评测，须提供软件著作权证书。</w:t>
            </w:r>
          </w:p>
          <w:p>
            <w:pPr>
              <w:pStyle w:val="null3"/>
              <w:spacing w:after="195"/>
              <w:ind w:firstLine="560"/>
            </w:pPr>
            <w:r>
              <w:rPr>
                <w:rFonts w:ascii="仿宋_GB2312" w:hAnsi="仿宋_GB2312" w:cs="仿宋_GB2312" w:eastAsia="仿宋_GB2312"/>
                <w:sz w:val="28"/>
              </w:rPr>
              <w:t>★2、在2路国产处理器平台上，在不低于100张千万行表的数据规模下，持续10分钟的不低于1000并发操作，数据库的批量数据插入的事务处理能力可达120万次/秒、单值插入数据的事务处理能力可达10万次/秒、删除数据的事务处理能力可达60万次/秒、单值数据查询的事务处理能力可达100万次/秒。须提供具有CNAS标识的第三方检测机构出具的检测报告及操作截图。</w:t>
            </w:r>
          </w:p>
          <w:p>
            <w:pPr>
              <w:pStyle w:val="null3"/>
              <w:spacing w:after="195"/>
              <w:ind w:firstLine="560"/>
            </w:pPr>
            <w:r>
              <w:rPr>
                <w:rFonts w:ascii="仿宋_GB2312" w:hAnsi="仿宋_GB2312" w:cs="仿宋_GB2312" w:eastAsia="仿宋_GB2312"/>
                <w:sz w:val="28"/>
              </w:rPr>
              <w:t>★3、产品拥有自主知识产权，完全自主可控，且产品核心功能模块的核心源码自主代码比例不低于95%，须提供权威评测机构的代码开源率证明和国家网络与信息系统安全产品质量监督检验中心颁发的信息技术产品自主原创性测评证书。</w:t>
            </w:r>
          </w:p>
          <w:p>
            <w:pPr>
              <w:pStyle w:val="null3"/>
              <w:spacing w:after="195"/>
              <w:ind w:firstLine="560"/>
            </w:pPr>
            <w:r>
              <w:rPr>
                <w:rFonts w:ascii="仿宋_GB2312" w:hAnsi="仿宋_GB2312" w:cs="仿宋_GB2312" w:eastAsia="仿宋_GB2312"/>
                <w:sz w:val="28"/>
              </w:rPr>
              <w:t>4、支持行存表和列存表，行存表和列存表支持在同一个事务内增删改查，并且支持在同一个查询命令中进行多表关联。</w:t>
            </w:r>
          </w:p>
          <w:p>
            <w:pPr>
              <w:pStyle w:val="null3"/>
              <w:spacing w:after="195"/>
              <w:ind w:firstLine="560"/>
            </w:pPr>
            <w:r>
              <w:rPr>
                <w:rFonts w:ascii="仿宋_GB2312" w:hAnsi="仿宋_GB2312" w:cs="仿宋_GB2312" w:eastAsia="仿宋_GB2312"/>
                <w:sz w:val="28"/>
              </w:rPr>
              <w:t>5、内置内存引擎，能够实现在同一个实例中内存表跟普通的磁盘表的共存，内存表支持ACID、常用SQL语法、存储过程和数据持久化等功能特性。（需提供操作截图）</w:t>
            </w:r>
          </w:p>
          <w:p>
            <w:pPr>
              <w:pStyle w:val="null3"/>
              <w:spacing w:after="195"/>
              <w:ind w:firstLine="560"/>
            </w:pPr>
            <w:r>
              <w:rPr>
                <w:rFonts w:ascii="仿宋_GB2312" w:hAnsi="仿宋_GB2312" w:cs="仿宋_GB2312" w:eastAsia="仿宋_GB2312"/>
                <w:sz w:val="28"/>
              </w:rPr>
              <w:t>★6、支持自主访问控制、基于安全标签的强制访问控制、用户角色三权分立、审计、加密、身份识别与验证等安全功能。支持全密态等值查询功能和动态脱敏功能。（动态脱敏功能需提供操作截图）</w:t>
            </w:r>
          </w:p>
          <w:p>
            <w:pPr>
              <w:pStyle w:val="null3"/>
              <w:spacing w:after="195"/>
              <w:ind w:firstLine="560"/>
            </w:pPr>
            <w:r>
              <w:rPr>
                <w:rFonts w:ascii="仿宋_GB2312" w:hAnsi="仿宋_GB2312" w:cs="仿宋_GB2312" w:eastAsia="仿宋_GB2312"/>
                <w:sz w:val="28"/>
              </w:rPr>
              <w:t>★7、数据库须基于OpenGauss技术路线，支持运行国家传染病智能监测预警前置软件所配备的OpenGauss架构数据库。（需提供对应的数据库软件著作权证明、数据库使用OpenGauss原生命令或者基于OpenGauss原生命令实现自身数据库功能的相关操作截图）</w:t>
            </w:r>
          </w:p>
          <w:p>
            <w:pPr>
              <w:pStyle w:val="null3"/>
              <w:spacing w:before="240" w:after="120"/>
            </w:pPr>
            <w:r>
              <w:rPr>
                <w:rFonts w:ascii="仿宋_GB2312" w:hAnsi="仿宋_GB2312" w:cs="仿宋_GB2312" w:eastAsia="仿宋_GB2312"/>
                <w:sz w:val="30"/>
                <w:b/>
              </w:rPr>
              <w:t>2.3  国产服务器操作系统</w:t>
            </w:r>
          </w:p>
          <w:p>
            <w:pPr>
              <w:pStyle w:val="null3"/>
              <w:spacing w:after="195"/>
              <w:ind w:firstLine="560"/>
            </w:pPr>
            <w:r>
              <w:rPr>
                <w:rFonts w:ascii="仿宋_GB2312" w:hAnsi="仿宋_GB2312" w:cs="仿宋_GB2312" w:eastAsia="仿宋_GB2312"/>
                <w:sz w:val="28"/>
              </w:rPr>
              <w:t>根据国家传染病智能监测预警前置软件部署要求，操作系统须使用基于</w:t>
            </w:r>
            <w:r>
              <w:rPr>
                <w:rFonts w:ascii="仿宋_GB2312" w:hAnsi="仿宋_GB2312" w:cs="仿宋_GB2312" w:eastAsia="仿宋_GB2312"/>
                <w:sz w:val="28"/>
              </w:rPr>
              <w:t>OpenEuler内核的国产服务器操作系统，具体参数如下：</w:t>
            </w:r>
          </w:p>
          <w:p>
            <w:pPr>
              <w:pStyle w:val="null3"/>
              <w:spacing w:after="195"/>
              <w:ind w:firstLine="560"/>
            </w:pPr>
            <w:r>
              <w:rPr>
                <w:rFonts w:ascii="仿宋_GB2312" w:hAnsi="仿宋_GB2312" w:cs="仿宋_GB2312" w:eastAsia="仿宋_GB2312"/>
                <w:sz w:val="28"/>
                <w:b/>
              </w:rPr>
              <w:t>必要项：</w:t>
            </w:r>
          </w:p>
          <w:p>
            <w:pPr>
              <w:pStyle w:val="null3"/>
              <w:spacing w:after="195"/>
              <w:ind w:firstLine="560"/>
            </w:pPr>
            <w:r>
              <w:rPr>
                <w:rFonts w:ascii="仿宋_GB2312" w:hAnsi="仿宋_GB2312" w:cs="仿宋_GB2312" w:eastAsia="仿宋_GB2312"/>
                <w:sz w:val="28"/>
              </w:rPr>
              <w:t>1、CPU支持：支持龙芯、兆芯、飞腾、鲲鹏、海光、申威等主流国产芯片以及Intel、AMD芯片，至少支持包括飞腾FT-2000/S2500、龙芯3B5000/3C5000L/3C5000、鲲鹏916/920、海光3000/5000/7000系列、兆芯开胜ZX-C+/KH-20000/KH-30000/KH-40000系列等。</w:t>
            </w:r>
          </w:p>
          <w:p>
            <w:pPr>
              <w:pStyle w:val="null3"/>
              <w:spacing w:after="195"/>
              <w:ind w:firstLine="560"/>
            </w:pPr>
            <w:r>
              <w:rPr>
                <w:rFonts w:ascii="仿宋_GB2312" w:hAnsi="仿宋_GB2312" w:cs="仿宋_GB2312" w:eastAsia="仿宋_GB2312"/>
                <w:sz w:val="28"/>
              </w:rPr>
              <w:t>2、内核要求：★基于OpenEuler内核设计开发，内核版本（Linux kernel）不低于4.19，同时支持不同硬件平台。</w:t>
            </w:r>
          </w:p>
          <w:p>
            <w:pPr>
              <w:pStyle w:val="null3"/>
              <w:spacing w:after="195"/>
              <w:ind w:firstLine="560"/>
            </w:pPr>
            <w:r>
              <w:rPr>
                <w:rFonts w:ascii="仿宋_GB2312" w:hAnsi="仿宋_GB2312" w:cs="仿宋_GB2312" w:eastAsia="仿宋_GB2312"/>
                <w:sz w:val="28"/>
              </w:rPr>
              <w:t>3、文件系统：支持XFS、EXT3、EXT4、GFS2、NTFS、FAT32等文件系统。</w:t>
            </w:r>
          </w:p>
          <w:p>
            <w:pPr>
              <w:pStyle w:val="null3"/>
              <w:spacing w:after="195"/>
              <w:ind w:firstLine="560"/>
            </w:pPr>
            <w:r>
              <w:rPr>
                <w:rFonts w:ascii="仿宋_GB2312" w:hAnsi="仿宋_GB2312" w:cs="仿宋_GB2312" w:eastAsia="仿宋_GB2312"/>
                <w:sz w:val="28"/>
              </w:rPr>
              <w:t>4、虚拟化支持：支持KVM、LXC等虚拟化技术，支持虚拟机磁盘加密、RBD协议驱动、热迁移等功能。</w:t>
            </w:r>
          </w:p>
          <w:p>
            <w:pPr>
              <w:pStyle w:val="null3"/>
              <w:spacing w:after="195"/>
              <w:ind w:firstLine="560"/>
            </w:pPr>
            <w:r>
              <w:rPr>
                <w:rFonts w:ascii="仿宋_GB2312" w:hAnsi="仿宋_GB2312" w:cs="仿宋_GB2312" w:eastAsia="仿宋_GB2312"/>
                <w:sz w:val="28"/>
              </w:rPr>
              <w:t>5、存储支持：内置支持快速块设备作为慢速块设备缓存以加速IO；支持swap压缩；支持FCoE、iSCSI，支持将Ceph块设备挂载为标准文件系统使用。</w:t>
            </w:r>
          </w:p>
          <w:p>
            <w:pPr>
              <w:pStyle w:val="null3"/>
              <w:spacing w:after="195"/>
              <w:ind w:firstLine="560"/>
            </w:pPr>
            <w:r>
              <w:rPr>
                <w:rFonts w:ascii="仿宋_GB2312" w:hAnsi="仿宋_GB2312" w:cs="仿宋_GB2312" w:eastAsia="仿宋_GB2312"/>
                <w:sz w:val="28"/>
              </w:rPr>
              <w:t>6、网络协议：支持HTTP、DNS、FTP、SSH、SMTP、IMAP、NTP、DHCP、Bonding、SNMP、OpenLDAP、Samba、NFS等多种网络协议。</w:t>
            </w:r>
          </w:p>
          <w:p>
            <w:pPr>
              <w:pStyle w:val="null3"/>
              <w:spacing w:after="195"/>
              <w:ind w:firstLine="560"/>
            </w:pPr>
            <w:r>
              <w:rPr>
                <w:rFonts w:ascii="仿宋_GB2312" w:hAnsi="仿宋_GB2312" w:cs="仿宋_GB2312" w:eastAsia="仿宋_GB2312"/>
                <w:sz w:val="28"/>
              </w:rPr>
              <w:t>7、板卡兼容性：在国产平台上，支持HBA卡，配置不低于sp525/sp523，须提供官网截图。</w:t>
            </w:r>
          </w:p>
          <w:p>
            <w:pPr>
              <w:pStyle w:val="null3"/>
              <w:spacing w:after="195"/>
              <w:ind w:firstLine="560"/>
            </w:pPr>
            <w:r>
              <w:rPr>
                <w:rFonts w:ascii="仿宋_GB2312" w:hAnsi="仿宋_GB2312" w:cs="仿宋_GB2312" w:eastAsia="仿宋_GB2312"/>
                <w:sz w:val="28"/>
              </w:rPr>
              <w:t>8、安全特性：审计日志功能；自研内核安全访问统一控制框架；安全中心管控工具（图形化应用执行控制，检查程序完整性和来源）；私有数据隔离保护技术；强制访问控制（SELINUX、APPARMOR等）；内核模块防卸载、进程防杀死。</w:t>
            </w:r>
          </w:p>
          <w:p>
            <w:pPr>
              <w:pStyle w:val="null3"/>
              <w:spacing w:after="195"/>
              <w:ind w:firstLine="560"/>
            </w:pPr>
            <w:r>
              <w:rPr>
                <w:rFonts w:ascii="仿宋_GB2312" w:hAnsi="仿宋_GB2312" w:cs="仿宋_GB2312" w:eastAsia="仿宋_GB2312"/>
                <w:sz w:val="28"/>
              </w:rPr>
              <w:t>9、账号安全配置：图形化账号安全配置工具，支持密码复杂度配置（用户名校验、长度、字符、账号锁定等）。</w:t>
            </w:r>
          </w:p>
          <w:p>
            <w:pPr>
              <w:pStyle w:val="null3"/>
              <w:spacing w:after="195"/>
              <w:ind w:firstLine="560"/>
            </w:pPr>
            <w:r>
              <w:rPr>
                <w:rFonts w:ascii="仿宋_GB2312" w:hAnsi="仿宋_GB2312" w:cs="仿宋_GB2312" w:eastAsia="仿宋_GB2312"/>
                <w:sz w:val="28"/>
              </w:rPr>
              <w:t>10、可管理性：支持RPM软件包管理工具DNF；提供自主研发的rpm和deb软件包格式转换工具。</w:t>
            </w:r>
          </w:p>
          <w:p>
            <w:pPr>
              <w:pStyle w:val="null3"/>
              <w:spacing w:after="195"/>
              <w:ind w:firstLine="560"/>
            </w:pPr>
            <w:r>
              <w:rPr>
                <w:rFonts w:ascii="仿宋_GB2312" w:hAnsi="仿宋_GB2312" w:cs="仿宋_GB2312" w:eastAsia="仿宋_GB2312"/>
                <w:sz w:val="28"/>
              </w:rPr>
              <w:t>11、自主可控：具有自主知识产权的国产操作系统，提供软件著作权证书。</w:t>
            </w:r>
          </w:p>
          <w:p>
            <w:pPr>
              <w:pStyle w:val="null3"/>
              <w:spacing w:after="195"/>
              <w:ind w:firstLine="560"/>
            </w:pPr>
            <w:r>
              <w:rPr>
                <w:rFonts w:ascii="仿宋_GB2312" w:hAnsi="仿宋_GB2312" w:cs="仿宋_GB2312" w:eastAsia="仿宋_GB2312"/>
                <w:sz w:val="28"/>
                <w:b/>
              </w:rPr>
              <w:t>加分项：</w:t>
            </w:r>
          </w:p>
          <w:p>
            <w:pPr>
              <w:pStyle w:val="null3"/>
              <w:spacing w:after="195"/>
              <w:ind w:firstLine="560"/>
            </w:pPr>
            <w:r>
              <w:rPr>
                <w:rFonts w:ascii="仿宋_GB2312" w:hAnsi="仿宋_GB2312" w:cs="仿宋_GB2312" w:eastAsia="仿宋_GB2312"/>
                <w:sz w:val="28"/>
              </w:rPr>
              <w:t>12、提供多种中文输入法支持。</w:t>
            </w:r>
          </w:p>
          <w:p>
            <w:pPr>
              <w:pStyle w:val="null3"/>
              <w:spacing w:after="195"/>
              <w:ind w:firstLine="560"/>
            </w:pPr>
            <w:r>
              <w:rPr>
                <w:rFonts w:ascii="仿宋_GB2312" w:hAnsi="仿宋_GB2312" w:cs="仿宋_GB2312" w:eastAsia="仿宋_GB2312"/>
                <w:sz w:val="28"/>
              </w:rPr>
              <w:t>13、高可用性：支持多种网卡Bonding；支持存储多路径及国际标准multipath驱动。</w:t>
            </w:r>
          </w:p>
          <w:p>
            <w:pPr>
              <w:pStyle w:val="null3"/>
              <w:spacing w:after="195"/>
              <w:ind w:firstLine="560"/>
            </w:pPr>
            <w:r>
              <w:rPr>
                <w:rFonts w:ascii="仿宋_GB2312" w:hAnsi="仿宋_GB2312" w:cs="仿宋_GB2312" w:eastAsia="仿宋_GB2312"/>
                <w:sz w:val="28"/>
              </w:rPr>
              <w:t>14、常用应用：提供apache http、ftp、DNS、DHCP、MariaDB、PostgreSQL、NFS、Samba、LDAP等应用。</w:t>
            </w:r>
          </w:p>
          <w:p>
            <w:pPr>
              <w:pStyle w:val="null3"/>
              <w:spacing w:after="195"/>
              <w:ind w:firstLine="560"/>
            </w:pPr>
            <w:r>
              <w:rPr>
                <w:rFonts w:ascii="仿宋_GB2312" w:hAnsi="仿宋_GB2312" w:cs="仿宋_GB2312" w:eastAsia="仿宋_GB2312"/>
                <w:sz w:val="28"/>
              </w:rPr>
              <w:t>15、★数据库兼容：须支持OpenGauss架构数据库，同时兼容人大金仓、达梦、南大通用、神通等国产数据库，须提供厂商官网截图。</w:t>
            </w:r>
          </w:p>
          <w:p>
            <w:pPr>
              <w:pStyle w:val="null3"/>
              <w:spacing w:after="195"/>
              <w:ind w:firstLine="560"/>
            </w:pPr>
            <w:r>
              <w:rPr>
                <w:rFonts w:ascii="仿宋_GB2312" w:hAnsi="仿宋_GB2312" w:cs="仿宋_GB2312" w:eastAsia="仿宋_GB2312"/>
                <w:sz w:val="28"/>
              </w:rPr>
              <w:t>16、中间件兼容：支持中创、东方通、金蝶、普元、宝兰德、华宇等中间件。</w:t>
            </w:r>
          </w:p>
          <w:p>
            <w:pPr>
              <w:pStyle w:val="null3"/>
              <w:spacing w:after="195"/>
              <w:ind w:firstLine="560"/>
            </w:pPr>
            <w:r>
              <w:rPr>
                <w:rFonts w:ascii="仿宋_GB2312" w:hAnsi="仿宋_GB2312" w:cs="仿宋_GB2312" w:eastAsia="仿宋_GB2312"/>
                <w:sz w:val="28"/>
              </w:rPr>
              <w:t>17、浏览器兼容：支持奇安信浏览器、火狐浏览器、360安全浏览器等。</w:t>
            </w:r>
          </w:p>
          <w:p>
            <w:pPr>
              <w:pStyle w:val="null3"/>
              <w:spacing w:after="195"/>
              <w:ind w:firstLine="560"/>
            </w:pPr>
            <w:r>
              <w:rPr>
                <w:rFonts w:ascii="仿宋_GB2312" w:hAnsi="仿宋_GB2312" w:cs="仿宋_GB2312" w:eastAsia="仿宋_GB2312"/>
                <w:sz w:val="28"/>
              </w:rPr>
              <w:t>18、整机兼容：兼容主流国产服务器和存储产品。</w:t>
            </w:r>
          </w:p>
          <w:p>
            <w:pPr>
              <w:pStyle w:val="null3"/>
              <w:spacing w:after="195"/>
              <w:ind w:firstLine="560"/>
            </w:pPr>
            <w:r>
              <w:rPr>
                <w:rFonts w:ascii="仿宋_GB2312" w:hAnsi="仿宋_GB2312" w:cs="仿宋_GB2312" w:eastAsia="仿宋_GB2312"/>
                <w:sz w:val="28"/>
              </w:rPr>
              <w:t>19、系统安全级别管理：支持安全增强组件（三权分立、白名单控制），可增强至结构化保护四级；提供国家网络与信息系统安全产品质量监督检验中心检测证书。</w:t>
            </w:r>
          </w:p>
          <w:p>
            <w:pPr>
              <w:pStyle w:val="null3"/>
              <w:spacing w:after="195"/>
              <w:ind w:firstLine="560"/>
            </w:pPr>
            <w:r>
              <w:rPr>
                <w:rFonts w:ascii="仿宋_GB2312" w:hAnsi="仿宋_GB2312" w:cs="仿宋_GB2312" w:eastAsia="仿宋_GB2312"/>
                <w:sz w:val="28"/>
              </w:rPr>
              <w:t>20、配套支撑产品：提供同品牌高可用集群、云平台软件、服务器虚拟化系统、安全云桌面、安全邮件服务器等配套产品。</w:t>
            </w:r>
          </w:p>
          <w:p>
            <w:pPr>
              <w:pStyle w:val="null3"/>
              <w:spacing w:after="195"/>
              <w:ind w:firstLine="560"/>
            </w:pPr>
            <w:r>
              <w:rPr>
                <w:rFonts w:ascii="仿宋_GB2312" w:hAnsi="仿宋_GB2312" w:cs="仿宋_GB2312" w:eastAsia="仿宋_GB2312"/>
                <w:sz w:val="28"/>
              </w:rPr>
              <w:t>21、提供同源涉密内网操作系统产品，投标产品厂商须出具涉密内网信创操作系统产品承诺函。</w:t>
            </w:r>
          </w:p>
          <w:p>
            <w:pPr>
              <w:pStyle w:val="null3"/>
              <w:spacing w:after="195"/>
              <w:ind w:firstLine="560"/>
            </w:pPr>
            <w:r>
              <w:rPr>
                <w:rFonts w:ascii="仿宋_GB2312" w:hAnsi="仿宋_GB2312" w:cs="仿宋_GB2312" w:eastAsia="仿宋_GB2312"/>
                <w:sz w:val="28"/>
              </w:rPr>
              <w:t>22、产品标准符合：符合GB18030-2005标准，研发过程符合CMMI5标准，符合ISO20000标准。</w:t>
            </w:r>
          </w:p>
          <w:p>
            <w:pPr>
              <w:pStyle w:val="null3"/>
              <w:spacing w:after="195"/>
              <w:ind w:firstLine="560"/>
            </w:pPr>
            <w:r>
              <w:rPr>
                <w:rFonts w:ascii="仿宋_GB2312" w:hAnsi="仿宋_GB2312" w:cs="仿宋_GB2312" w:eastAsia="仿宋_GB2312"/>
                <w:sz w:val="28"/>
              </w:rPr>
              <w:t>23、入围中央企业科技创新成果推荐目录。</w:t>
            </w:r>
          </w:p>
          <w:p>
            <w:pPr>
              <w:pStyle w:val="null3"/>
              <w:spacing w:after="195"/>
              <w:ind w:firstLine="560"/>
            </w:pPr>
            <w:r>
              <w:rPr>
                <w:rFonts w:ascii="仿宋_GB2312" w:hAnsi="仿宋_GB2312" w:cs="仿宋_GB2312" w:eastAsia="仿宋_GB2312"/>
                <w:sz w:val="28"/>
              </w:rPr>
              <w:t>24、市场占有率：公司旗下操作系统产品连续多年位列中国Linux市场占有率第一名。</w:t>
            </w:r>
          </w:p>
          <w:p>
            <w:pPr>
              <w:pStyle w:val="null3"/>
              <w:spacing w:after="195"/>
              <w:ind w:firstLine="560"/>
            </w:pPr>
            <w:r>
              <w:rPr>
                <w:rFonts w:ascii="仿宋_GB2312" w:hAnsi="仿宋_GB2312" w:cs="仿宋_GB2312" w:eastAsia="仿宋_GB2312"/>
                <w:sz w:val="28"/>
              </w:rPr>
              <w:t>25、产品专利：已获专利120+，著作项400+。</w:t>
            </w:r>
          </w:p>
          <w:p>
            <w:pPr>
              <w:pStyle w:val="null3"/>
              <w:spacing w:after="195"/>
              <w:ind w:firstLine="560"/>
            </w:pPr>
            <w:r>
              <w:rPr>
                <w:rFonts w:ascii="仿宋_GB2312" w:hAnsi="仿宋_GB2312" w:cs="仿宋_GB2312" w:eastAsia="仿宋_GB2312"/>
                <w:sz w:val="28"/>
              </w:rPr>
              <w:t>26、企业底蕴：投标产品厂商至少有十年技术积累。</w:t>
            </w:r>
          </w:p>
          <w:p>
            <w:pPr>
              <w:pStyle w:val="null3"/>
              <w:spacing w:after="195"/>
              <w:ind w:firstLine="560"/>
            </w:pPr>
            <w:r>
              <w:rPr>
                <w:rFonts w:ascii="仿宋_GB2312" w:hAnsi="仿宋_GB2312" w:cs="仿宋_GB2312" w:eastAsia="仿宋_GB2312"/>
                <w:sz w:val="28"/>
              </w:rPr>
              <w:t>27、技术服务：有专职技术服务团队，覆盖全国。</w:t>
            </w:r>
          </w:p>
          <w:p>
            <w:pPr>
              <w:pStyle w:val="null3"/>
              <w:spacing w:after="195"/>
              <w:ind w:firstLine="560"/>
            </w:pPr>
            <w:r>
              <w:rPr>
                <w:rFonts w:ascii="仿宋_GB2312" w:hAnsi="仿宋_GB2312" w:cs="仿宋_GB2312" w:eastAsia="仿宋_GB2312"/>
                <w:sz w:val="28"/>
              </w:rPr>
              <w:t>28、开源社区：在国际国内操作系统开源社区有贡献。</w:t>
            </w:r>
          </w:p>
          <w:p>
            <w:pPr>
              <w:pStyle w:val="null3"/>
              <w:spacing w:after="195"/>
              <w:ind w:firstLine="560"/>
            </w:pPr>
            <w:r>
              <w:rPr>
                <w:rFonts w:ascii="仿宋_GB2312" w:hAnsi="仿宋_GB2312" w:cs="仿宋_GB2312" w:eastAsia="仿宋_GB2312"/>
                <w:sz w:val="28"/>
              </w:rPr>
              <w:t>29、重要应用：应用于国家重要领域。</w:t>
            </w:r>
          </w:p>
          <w:p>
            <w:pPr>
              <w:pStyle w:val="null3"/>
              <w:spacing w:before="240" w:after="120"/>
            </w:pPr>
            <w:r>
              <w:rPr>
                <w:rFonts w:ascii="仿宋_GB2312" w:hAnsi="仿宋_GB2312" w:cs="仿宋_GB2312" w:eastAsia="仿宋_GB2312"/>
                <w:sz w:val="30"/>
                <w:b/>
              </w:rPr>
              <w:t>2.4  服务项目</w:t>
            </w:r>
          </w:p>
          <w:p>
            <w:pPr>
              <w:pStyle w:val="null3"/>
              <w:spacing w:after="195"/>
              <w:ind w:firstLine="560"/>
            </w:pPr>
            <w:r>
              <w:rPr>
                <w:rFonts w:ascii="仿宋_GB2312" w:hAnsi="仿宋_GB2312" w:cs="仿宋_GB2312" w:eastAsia="仿宋_GB2312"/>
                <w:sz w:val="28"/>
              </w:rPr>
              <w:t>除设备供货外，供应商须提供以下服务：</w:t>
            </w:r>
          </w:p>
          <w:tbl>
            <w:tblPr>
              <w:tblBorders>
                <w:top w:val="none" w:color="000000" w:sz="4"/>
                <w:left w:val="none" w:color="000000" w:sz="4"/>
                <w:bottom w:val="none" w:color="000000" w:sz="4"/>
                <w:right w:val="none" w:color="000000" w:sz="4"/>
                <w:insideH w:val="none"/>
                <w:insideV w:val="none"/>
              </w:tblBorders>
            </w:tblPr>
            <w:tblGrid>
              <w:gridCol w:w="253"/>
              <w:gridCol w:w="596"/>
              <w:gridCol w:w="1704"/>
            </w:tblGrid>
            <w:tr>
              <w:tc>
                <w:tcPr>
                  <w:tcW w:type="dxa" w:w="253"/>
                  <w:tcBorders>
                    <w:top w:val="single" w:color="000000" w:sz="4"/>
                    <w:left w:val="single" w:color="000000" w:sz="4"/>
                    <w:bottom w:val="single" w:color="000000" w:sz="4"/>
                    <w:right w:val="single" w:color="000000" w:sz="4"/>
                  </w:tcBorders>
                  <w:shd w:fill="D9E2F3"/>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序号</w:t>
                  </w:r>
                </w:p>
              </w:tc>
              <w:tc>
                <w:tcPr>
                  <w:tcW w:type="dxa" w:w="596"/>
                  <w:tcBorders>
                    <w:top w:val="single" w:color="000000" w:sz="4"/>
                    <w:left w:val="single" w:color="000000" w:sz="4"/>
                    <w:bottom w:val="single" w:color="000000" w:sz="4"/>
                    <w:right w:val="single" w:color="000000" w:sz="4"/>
                  </w:tcBorders>
                  <w:shd w:fill="D9E2F3"/>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服务项目</w:t>
                  </w:r>
                </w:p>
              </w:tc>
              <w:tc>
                <w:tcPr>
                  <w:tcW w:type="dxa" w:w="1704"/>
                  <w:tcBorders>
                    <w:top w:val="single" w:color="000000" w:sz="4"/>
                    <w:left w:val="single" w:color="000000" w:sz="4"/>
                    <w:bottom w:val="single" w:color="000000" w:sz="4"/>
                    <w:right w:val="single" w:color="000000" w:sz="4"/>
                  </w:tcBorders>
                  <w:shd w:fill="D9E2F3"/>
                  <w:tcMar>
                    <w:top w:type="dxa" w:w="0"/>
                    <w:left w:type="dxa" w:w="105"/>
                    <w:bottom w:type="dxa" w:w="0"/>
                    <w:right w:type="dxa" w:w="105"/>
                  </w:tcMar>
                  <w:vAlign w:val="top"/>
                </w:tcPr>
                <w:p>
                  <w:pPr>
                    <w:pStyle w:val="null3"/>
                  </w:pPr>
                  <w:r>
                    <w:rPr>
                      <w:rFonts w:ascii="仿宋_GB2312" w:hAnsi="仿宋_GB2312" w:cs="仿宋_GB2312" w:eastAsia="仿宋_GB2312"/>
                      <w:sz w:val="22"/>
                      <w:b/>
                    </w:rPr>
                    <w:t>服务内容</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设备搬迁</w:t>
                  </w:r>
                </w:p>
              </w:tc>
              <w:tc>
                <w:tcPr>
                  <w:tcW w:type="dxa" w:w="1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rPr>
                    <w:t>将现有设备及相关硬件安全搬迁至采购人指定地点，包括设备拆卸、运输、重新安装就位，确保搬迁过程中设备无损、数据安全</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数据迁移服务</w:t>
                  </w:r>
                </w:p>
              </w:tc>
              <w:tc>
                <w:tcPr>
                  <w:tcW w:type="dxa" w:w="1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rPr>
                    <w:t>将现有系统数据完整迁移至新部署的服务器及数据库环境，确保数据完整性、一致性，迁移后系统正常运行</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调试服务</w:t>
                  </w:r>
                </w:p>
              </w:tc>
              <w:tc>
                <w:tcPr>
                  <w:tcW w:type="dxa" w:w="1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rPr>
                    <w:t>完成服务器、操作系统、数据库的安装部署及联调，确保国家传染病智能监测预警前置软件正常运行，完成与院内系统及国家平台的数据联通</w:t>
                  </w:r>
                </w:p>
              </w:tc>
            </w:tr>
          </w:tbl>
          <w:p>
            <w:pPr>
              <w:pStyle w:val="null3"/>
              <w:spacing w:before="240" w:after="120"/>
            </w:pPr>
            <w:r>
              <w:rPr>
                <w:rFonts w:ascii="仿宋_GB2312" w:hAnsi="仿宋_GB2312" w:cs="仿宋_GB2312" w:eastAsia="仿宋_GB2312"/>
                <w:sz w:val="30"/>
                <w:b/>
              </w:rPr>
              <w:t>2.5  网络与安全配置要求</w:t>
            </w:r>
          </w:p>
          <w:p>
            <w:pPr>
              <w:pStyle w:val="null3"/>
              <w:spacing w:after="195"/>
              <w:ind w:firstLine="560"/>
            </w:pPr>
            <w:r>
              <w:rPr>
                <w:rFonts w:ascii="仿宋_GB2312" w:hAnsi="仿宋_GB2312" w:cs="仿宋_GB2312" w:eastAsia="仿宋_GB2312"/>
                <w:sz w:val="28"/>
              </w:rPr>
              <w:t>根据国家传染病智能监测预警前置软件部署规范，本次采购设备须满足以下网络及安全要求：</w:t>
            </w:r>
          </w:p>
          <w:p>
            <w:pPr>
              <w:pStyle w:val="null3"/>
              <w:spacing w:after="195"/>
              <w:ind w:firstLine="560"/>
            </w:pPr>
            <w:r>
              <w:rPr>
                <w:rFonts w:ascii="仿宋_GB2312" w:hAnsi="仿宋_GB2312" w:cs="仿宋_GB2312" w:eastAsia="仿宋_GB2312"/>
                <w:sz w:val="28"/>
                <w:b/>
              </w:rPr>
              <w:t>（一）端口要求</w:t>
            </w:r>
          </w:p>
          <w:p>
            <w:pPr>
              <w:pStyle w:val="null3"/>
              <w:spacing w:after="195"/>
              <w:ind w:firstLine="560"/>
            </w:pPr>
            <w:r>
              <w:rPr>
                <w:rFonts w:ascii="仿宋_GB2312" w:hAnsi="仿宋_GB2312" w:cs="仿宋_GB2312" w:eastAsia="仿宋_GB2312"/>
                <w:sz w:val="28"/>
              </w:rPr>
              <w:t>前置服务器须开放以下端口：</w:t>
            </w:r>
          </w:p>
          <w:tbl>
            <w:tblPr>
              <w:tblBorders>
                <w:top w:val="none" w:color="000000" w:sz="4"/>
                <w:left w:val="none" w:color="000000" w:sz="4"/>
                <w:bottom w:val="none" w:color="000000" w:sz="4"/>
                <w:right w:val="none" w:color="000000" w:sz="4"/>
                <w:insideH w:val="none"/>
                <w:insideV w:val="none"/>
              </w:tblBorders>
            </w:tblPr>
            <w:tblGrid>
              <w:gridCol w:w="511"/>
              <w:gridCol w:w="511"/>
              <w:gridCol w:w="511"/>
              <w:gridCol w:w="511"/>
              <w:gridCol w:w="511"/>
            </w:tblGrid>
            <w:tr>
              <w:tc>
                <w:tcPr>
                  <w:tcW w:type="dxa" w:w="511"/>
                  <w:tcBorders>
                    <w:top w:val="single" w:color="000000" w:sz="4"/>
                    <w:left w:val="single" w:color="000000" w:sz="4"/>
                    <w:bottom w:val="single" w:color="000000" w:sz="4"/>
                    <w:right w:val="single" w:color="000000" w:sz="4"/>
                  </w:tcBorders>
                  <w:shd w:fill="D9E2F3"/>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端口对应服务</w:t>
                  </w:r>
                </w:p>
              </w:tc>
              <w:tc>
                <w:tcPr>
                  <w:tcW w:type="dxa" w:w="511"/>
                  <w:tcBorders>
                    <w:top w:val="single" w:color="000000" w:sz="4"/>
                    <w:left w:val="single" w:color="000000" w:sz="4"/>
                    <w:bottom w:val="single" w:color="000000" w:sz="4"/>
                    <w:right w:val="single" w:color="000000" w:sz="4"/>
                  </w:tcBorders>
                  <w:shd w:fill="D9E2F3"/>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用途</w:t>
                  </w:r>
                </w:p>
              </w:tc>
              <w:tc>
                <w:tcPr>
                  <w:tcW w:type="dxa" w:w="511"/>
                  <w:tcBorders>
                    <w:top w:val="single" w:color="000000" w:sz="4"/>
                    <w:left w:val="single" w:color="000000" w:sz="4"/>
                    <w:bottom w:val="single" w:color="000000" w:sz="4"/>
                    <w:right w:val="single" w:color="000000" w:sz="4"/>
                  </w:tcBorders>
                  <w:shd w:fill="D9E2F3"/>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端口号</w:t>
                  </w:r>
                </w:p>
              </w:tc>
              <w:tc>
                <w:tcPr>
                  <w:tcW w:type="dxa" w:w="511"/>
                  <w:tcBorders>
                    <w:top w:val="single" w:color="000000" w:sz="4"/>
                    <w:left w:val="single" w:color="000000" w:sz="4"/>
                    <w:bottom w:val="single" w:color="000000" w:sz="4"/>
                    <w:right w:val="single" w:color="000000" w:sz="4"/>
                  </w:tcBorders>
                  <w:shd w:fill="D9E2F3"/>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调用方</w:t>
                  </w:r>
                </w:p>
              </w:tc>
              <w:tc>
                <w:tcPr>
                  <w:tcW w:type="dxa" w:w="511"/>
                  <w:tcBorders>
                    <w:top w:val="single" w:color="000000" w:sz="4"/>
                    <w:left w:val="single" w:color="000000" w:sz="4"/>
                    <w:bottom w:val="single" w:color="000000" w:sz="4"/>
                    <w:right w:val="single" w:color="000000" w:sz="4"/>
                  </w:tcBorders>
                  <w:shd w:fill="D9E2F3"/>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网络环境</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数据操作</w:t>
                  </w:r>
                  <w:r>
                    <w:rPr>
                      <w:rFonts w:ascii="仿宋_GB2312" w:hAnsi="仿宋_GB2312" w:cs="仿宋_GB2312" w:eastAsia="仿宋_GB2312"/>
                      <w:sz w:val="20"/>
                    </w:rPr>
                    <w:t>API</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院内系统同步</w:t>
                  </w:r>
                  <w:r>
                    <w:rPr>
                      <w:rFonts w:ascii="仿宋_GB2312" w:hAnsi="仿宋_GB2312" w:cs="仿宋_GB2312" w:eastAsia="仿宋_GB2312"/>
                      <w:sz w:val="20"/>
                    </w:rPr>
                    <w:t>EMR数据</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8881</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院内系统</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内网</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数据库访问</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院内系统数据库连接同步数据</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15400</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院内系统</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内网</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配置更新</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国家平台下发配置数据</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8882</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国家平台</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政务外网</w:t>
                  </w:r>
                  <w:r>
                    <w:rPr>
                      <w:rFonts w:ascii="仿宋_GB2312" w:hAnsi="仿宋_GB2312" w:cs="仿宋_GB2312" w:eastAsia="仿宋_GB2312"/>
                      <w:sz w:val="20"/>
                    </w:rPr>
                    <w:t>/疾控VPN</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监控管理</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国家平台监控前置软件</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8883</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国家平台</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政务外网</w:t>
                  </w:r>
                  <w:r>
                    <w:rPr>
                      <w:rFonts w:ascii="仿宋_GB2312" w:hAnsi="仿宋_GB2312" w:cs="仿宋_GB2312" w:eastAsia="仿宋_GB2312"/>
                      <w:sz w:val="20"/>
                    </w:rPr>
                    <w:t>/疾控VPN</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PC端Web服务</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防保科</w:t>
                  </w:r>
                  <w:r>
                    <w:rPr>
                      <w:rFonts w:ascii="仿宋_GB2312" w:hAnsi="仿宋_GB2312" w:cs="仿宋_GB2312" w:eastAsia="仿宋_GB2312"/>
                      <w:sz w:val="20"/>
                    </w:rPr>
                    <w:t>/临床医生使用</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8884</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防保科</w:t>
                  </w:r>
                  <w:r>
                    <w:rPr>
                      <w:rFonts w:ascii="仿宋_GB2312" w:hAnsi="仿宋_GB2312" w:cs="仿宋_GB2312" w:eastAsia="仿宋_GB2312"/>
                      <w:sz w:val="20"/>
                    </w:rPr>
                    <w:t>/临床医生</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政务外网</w:t>
                  </w:r>
                  <w:r>
                    <w:rPr>
                      <w:rFonts w:ascii="仿宋_GB2312" w:hAnsi="仿宋_GB2312" w:cs="仿宋_GB2312" w:eastAsia="仿宋_GB2312"/>
                      <w:sz w:val="20"/>
                    </w:rPr>
                    <w:t>/疾控VPN/内网</w:t>
                  </w:r>
                </w:p>
              </w:tc>
            </w:tr>
          </w:tbl>
          <w:p>
            <w:pPr>
              <w:pStyle w:val="null3"/>
              <w:spacing w:after="195"/>
              <w:ind w:firstLine="560"/>
            </w:pPr>
            <w:r>
              <w:rPr>
                <w:rFonts w:ascii="仿宋_GB2312" w:hAnsi="仿宋_GB2312" w:cs="仿宋_GB2312" w:eastAsia="仿宋_GB2312"/>
                <w:sz w:val="28"/>
              </w:rPr>
              <w:t>前置服务器对外访问端口：目标服务器为国家平台（</w:t>
            </w:r>
            <w:r>
              <w:rPr>
                <w:rFonts w:ascii="仿宋_GB2312" w:hAnsi="仿宋_GB2312" w:cs="仿宋_GB2312" w:eastAsia="仿宋_GB2312"/>
                <w:sz w:val="28"/>
              </w:rPr>
              <w:t>59.255.152.8），协议/端口为HTTPS/8888。</w:t>
            </w:r>
          </w:p>
          <w:p>
            <w:pPr>
              <w:pStyle w:val="null3"/>
              <w:spacing w:after="195"/>
              <w:ind w:firstLine="560"/>
            </w:pPr>
            <w:r>
              <w:rPr>
                <w:rFonts w:ascii="仿宋_GB2312" w:hAnsi="仿宋_GB2312" w:cs="仿宋_GB2312" w:eastAsia="仿宋_GB2312"/>
                <w:sz w:val="28"/>
                <w:b/>
              </w:rPr>
              <w:t>（二）带宽要求</w:t>
            </w:r>
          </w:p>
          <w:p>
            <w:pPr>
              <w:pStyle w:val="null3"/>
              <w:spacing w:after="195"/>
              <w:ind w:firstLine="560"/>
            </w:pPr>
            <w:r>
              <w:rPr>
                <w:rFonts w:ascii="仿宋_GB2312" w:hAnsi="仿宋_GB2312" w:cs="仿宋_GB2312" w:eastAsia="仿宋_GB2312"/>
                <w:sz w:val="28"/>
              </w:rPr>
              <w:t>前置软件所在服务器电子政务外网网络出口带宽原则上达到</w:t>
            </w:r>
            <w:r>
              <w:rPr>
                <w:rFonts w:ascii="仿宋_GB2312" w:hAnsi="仿宋_GB2312" w:cs="仿宋_GB2312" w:eastAsia="仿宋_GB2312"/>
                <w:sz w:val="28"/>
              </w:rPr>
              <w:t>10M及以上。</w:t>
            </w:r>
          </w:p>
          <w:p>
            <w:pPr>
              <w:pStyle w:val="null3"/>
              <w:spacing w:after="195"/>
              <w:ind w:firstLine="560"/>
            </w:pPr>
            <w:r>
              <w:rPr>
                <w:rFonts w:ascii="仿宋_GB2312" w:hAnsi="仿宋_GB2312" w:cs="仿宋_GB2312" w:eastAsia="仿宋_GB2312"/>
                <w:sz w:val="28"/>
                <w:b/>
              </w:rPr>
              <w:t>（三）安全要求</w:t>
            </w:r>
          </w:p>
          <w:p>
            <w:pPr>
              <w:pStyle w:val="null3"/>
              <w:spacing w:after="195"/>
              <w:ind w:firstLine="560"/>
            </w:pPr>
            <w:r>
              <w:rPr>
                <w:rFonts w:ascii="仿宋_GB2312" w:hAnsi="仿宋_GB2312" w:cs="仿宋_GB2312" w:eastAsia="仿宋_GB2312"/>
                <w:sz w:val="28"/>
              </w:rPr>
              <w:t>1. 按需配备防病毒、防火墙、入侵防御IPS、URL过滤等安全设备；</w:t>
            </w:r>
          </w:p>
          <w:p>
            <w:pPr>
              <w:pStyle w:val="null3"/>
              <w:spacing w:after="195"/>
              <w:ind w:firstLine="560"/>
            </w:pPr>
            <w:r>
              <w:rPr>
                <w:rFonts w:ascii="仿宋_GB2312" w:hAnsi="仿宋_GB2312" w:cs="仿宋_GB2312" w:eastAsia="仿宋_GB2312"/>
                <w:sz w:val="28"/>
              </w:rPr>
              <w:t>2. 必须配备单位数字证书：采用国密算法双证书（签名证书+加密证书），所用CA证书须与现有传染病网络直报系统CA证书兼容互认；</w:t>
            </w:r>
          </w:p>
          <w:p>
            <w:pPr>
              <w:pStyle w:val="null3"/>
              <w:spacing w:after="195"/>
              <w:ind w:firstLine="560"/>
            </w:pPr>
            <w:r>
              <w:rPr>
                <w:rFonts w:ascii="仿宋_GB2312" w:hAnsi="仿宋_GB2312" w:cs="仿宋_GB2312" w:eastAsia="仿宋_GB2312"/>
                <w:sz w:val="28"/>
              </w:rPr>
              <w:t>3. 供应商须协助采购方完成前置软件的对接、运行保障及安全保障工作。</w:t>
            </w:r>
          </w:p>
          <w:p>
            <w:pPr>
              <w:pStyle w:val="null3"/>
              <w:spacing w:before="240" w:after="120"/>
            </w:pPr>
            <w:r>
              <w:rPr>
                <w:rFonts w:ascii="仿宋_GB2312" w:hAnsi="仿宋_GB2312" w:cs="仿宋_GB2312" w:eastAsia="仿宋_GB2312"/>
                <w:sz w:val="30"/>
                <w:b/>
              </w:rPr>
              <w:t>2.6  通用要求</w:t>
            </w:r>
          </w:p>
          <w:p>
            <w:pPr>
              <w:pStyle w:val="null3"/>
              <w:spacing w:after="195"/>
              <w:ind w:firstLine="560"/>
            </w:pPr>
            <w:r>
              <w:rPr>
                <w:rFonts w:ascii="仿宋_GB2312" w:hAnsi="仿宋_GB2312" w:cs="仿宋_GB2312" w:eastAsia="仿宋_GB2312"/>
                <w:sz w:val="28"/>
              </w:rPr>
              <w:t>1. 所有产品须为全新、未使用过的原装正品；</w:t>
            </w:r>
          </w:p>
          <w:p>
            <w:pPr>
              <w:pStyle w:val="null3"/>
              <w:spacing w:after="195"/>
              <w:ind w:firstLine="560"/>
            </w:pPr>
            <w:r>
              <w:rPr>
                <w:rFonts w:ascii="仿宋_GB2312" w:hAnsi="仿宋_GB2312" w:cs="仿宋_GB2312" w:eastAsia="仿宋_GB2312"/>
                <w:sz w:val="28"/>
              </w:rPr>
              <w:t>2. 供应商须提供完整的安装部署及调试服务，确保国家传染病智能监测预警前置软件正常运行；</w:t>
            </w:r>
          </w:p>
          <w:p>
            <w:pPr>
              <w:pStyle w:val="null3"/>
              <w:spacing w:after="195"/>
              <w:ind w:firstLine="560"/>
            </w:pPr>
            <w:r>
              <w:rPr>
                <w:rFonts w:ascii="仿宋_GB2312" w:hAnsi="仿宋_GB2312" w:cs="仿宋_GB2312" w:eastAsia="仿宋_GB2312"/>
                <w:sz w:val="28"/>
              </w:rPr>
              <w:t>3. 供应商须提供不少于3年的原厂质保服务；</w:t>
            </w:r>
          </w:p>
          <w:p>
            <w:pPr>
              <w:pStyle w:val="null3"/>
              <w:spacing w:after="195"/>
              <w:ind w:firstLine="560"/>
            </w:pPr>
            <w:r>
              <w:rPr>
                <w:rFonts w:ascii="仿宋_GB2312" w:hAnsi="仿宋_GB2312" w:cs="仿宋_GB2312" w:eastAsia="仿宋_GB2312"/>
                <w:sz w:val="28"/>
              </w:rPr>
              <w:t>4. 供应商须提供培训服务，确保采购方技术人员能够独立操作和维护；</w:t>
            </w:r>
          </w:p>
          <w:p>
            <w:pPr>
              <w:pStyle w:val="null3"/>
              <w:spacing w:after="195"/>
              <w:ind w:firstLine="560"/>
            </w:pPr>
            <w:r>
              <w:rPr>
                <w:rFonts w:ascii="仿宋_GB2312" w:hAnsi="仿宋_GB2312" w:cs="仿宋_GB2312" w:eastAsia="仿宋_GB2312"/>
                <w:sz w:val="28"/>
              </w:rPr>
              <w:t>5. 质保期内出现故障，供应商须在4小时内响应，24小时内到达现场解决；</w:t>
            </w:r>
          </w:p>
          <w:p>
            <w:pPr>
              <w:pStyle w:val="null3"/>
              <w:spacing w:after="195"/>
              <w:ind w:firstLine="560"/>
            </w:pPr>
            <w:r>
              <w:rPr>
                <w:rFonts w:ascii="仿宋_GB2312" w:hAnsi="仿宋_GB2312" w:cs="仿宋_GB2312" w:eastAsia="仿宋_GB2312"/>
                <w:sz w:val="28"/>
              </w:rPr>
              <w:t>6. 所有技术参数须逐项响应，提供"满足/优于/不满足"的明确答复；</w:t>
            </w:r>
          </w:p>
          <w:p>
            <w:pPr>
              <w:pStyle w:val="null3"/>
              <w:spacing w:after="195"/>
              <w:ind w:firstLine="560"/>
            </w:pPr>
            <w:r>
              <w:rPr>
                <w:rFonts w:ascii="仿宋_GB2312" w:hAnsi="仿宋_GB2312" w:cs="仿宋_GB2312" w:eastAsia="仿宋_GB2312"/>
                <w:sz w:val="28"/>
              </w:rPr>
              <w:t>7. 供应商须提供所投产品的软件著作权证书、安全评测证书等相关资质证明文件。</w:t>
            </w:r>
          </w:p>
          <w:p>
            <w:pPr>
              <w:pStyle w:val="null3"/>
              <w:spacing w:after="195"/>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本项目需投入项目负责人1人，技术人员至少1人。</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特别说明：服务要求中2.3国产服务器操作系统中加分项第15条数据库兼容“★”删除</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自合同签订之日起15日内完成交付</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数据迁移完整无误；前置软件正常运行、数据联通视为合格。</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进度款，合同签订后设备全部到货安装完支付合同总金额的60%，验收合格后支付合同总金额的40%。，达到付款条件起15个工作日内，支付合同总金额的100.0%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逾期交货的，每逾期一日按合同总价的0.5%支付违约金；逾期超过15日的，买方有权解除合同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本项目资格由磋商小组进行资格审查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供应商须提供合法注册的法人或其他组织的营业执照等证明文件（事业单位法人证书\民办非企业单位登记证书\非企业专业服务机构执业许可证等），自然人须提供的身份证明文件；供应商须在项目电子化交易系统中按要求上传，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法定代表人参加的，须出具法定代表人身份证明，并与营业执照上信息一致；法定代表人授权代表参加的，须出具法定代表人授权书及授权代表身份证；供应商须在项目电子化交易系统中按要求上传法定代表人身份证明或法定代表人授权书及授权代表身份证证明文件，并进行电子签章。</w:t>
            </w:r>
          </w:p>
        </w:tc>
        <w:tc>
          <w:tcPr>
            <w:tcW w:type="dxa" w:w="1661"/>
          </w:tcPr>
          <w:p>
            <w:pPr>
              <w:pStyle w:val="null3"/>
            </w:pPr>
            <w:r>
              <w:rPr>
                <w:rFonts w:ascii="仿宋_GB2312" w:hAnsi="仿宋_GB2312" w:cs="仿宋_GB2312" w:eastAsia="仿宋_GB2312"/>
              </w:rPr>
              <w:t>法定代表人证明书或授权委托书.docx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完税证明</w:t>
            </w:r>
          </w:p>
        </w:tc>
        <w:tc>
          <w:tcPr>
            <w:tcW w:type="dxa" w:w="3322"/>
          </w:tcPr>
          <w:p>
            <w:pPr>
              <w:pStyle w:val="null3"/>
            </w:pPr>
            <w:r>
              <w:rPr>
                <w:rFonts w:ascii="仿宋_GB2312" w:hAnsi="仿宋_GB2312" w:cs="仿宋_GB2312" w:eastAsia="仿宋_GB2312"/>
              </w:rPr>
              <w:t>供应商须提供开标前一年内任意一个月的依法缴纳税收的完税证明，依法免税的或不需要缴纳的供应商，应提供相关证明；供应商须在项目电子化交易系统中按要求上传，并进行电子签章。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社会保险缴纳证明</w:t>
            </w:r>
          </w:p>
        </w:tc>
        <w:tc>
          <w:tcPr>
            <w:tcW w:type="dxa" w:w="3322"/>
          </w:tcPr>
          <w:p>
            <w:pPr>
              <w:pStyle w:val="null3"/>
            </w:pPr>
            <w:r>
              <w:rPr>
                <w:rFonts w:ascii="仿宋_GB2312" w:hAnsi="仿宋_GB2312" w:cs="仿宋_GB2312" w:eastAsia="仿宋_GB2312"/>
              </w:rPr>
              <w:t>供应商须提供开标前一年内任意一个月的已缴纳的社会保险证明；依法不需要缴纳社会保险的供应商应提供相关证明文件；供应商须在项目电子化交易系统中按要求上传相应证明文件，并进行电子签章。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财务审计报告或资信证明</w:t>
            </w:r>
          </w:p>
        </w:tc>
        <w:tc>
          <w:tcPr>
            <w:tcW w:type="dxa" w:w="3322"/>
          </w:tcPr>
          <w:p>
            <w:pPr>
              <w:pStyle w:val="null3"/>
            </w:pPr>
            <w:r>
              <w:rPr>
                <w:rFonts w:ascii="仿宋_GB2312" w:hAnsi="仿宋_GB2312" w:cs="仿宋_GB2312" w:eastAsia="仿宋_GB2312"/>
              </w:rPr>
              <w:t>供应商提供具有财务审计资质单位出具的2025年度完整财务报告或开标前六个月内其基本账户银行出具的资信证明；供应商须在项目电子化交易系统中按要求上传，并进行电子签章。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供应商须在项目电子化交易系统中按要求上传《供应商无重大违法记录书面声明函》，并进行电子签章。</w:t>
            </w:r>
          </w:p>
        </w:tc>
        <w:tc>
          <w:tcPr>
            <w:tcW w:type="dxa" w:w="1661"/>
          </w:tcPr>
          <w:p>
            <w:pPr>
              <w:pStyle w:val="null3"/>
            </w:pPr>
            <w:r>
              <w:rPr>
                <w:rFonts w:ascii="仿宋_GB2312" w:hAnsi="仿宋_GB2312" w:cs="仿宋_GB2312" w:eastAsia="仿宋_GB2312"/>
              </w:rPr>
              <w:t>三年内无重大违法记录书面声明函.docx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信用记录书面声明</w:t>
            </w:r>
          </w:p>
        </w:tc>
        <w:tc>
          <w:tcPr>
            <w:tcW w:type="dxa" w:w="3322"/>
          </w:tcPr>
          <w:p>
            <w:pPr>
              <w:pStyle w:val="null3"/>
            </w:pPr>
            <w:r>
              <w:rPr>
                <w:rFonts w:ascii="仿宋_GB2312" w:hAnsi="仿宋_GB2312" w:cs="仿宋_GB2312" w:eastAsia="仿宋_GB2312"/>
              </w:rPr>
              <w:t>供应商须在项目电子化交易系统中按要求上传《供应商信用记录书面声明函》，并进行电子签章。</w:t>
            </w:r>
          </w:p>
        </w:tc>
        <w:tc>
          <w:tcPr>
            <w:tcW w:type="dxa" w:w="1661"/>
          </w:tcPr>
          <w:p>
            <w:pPr>
              <w:pStyle w:val="null3"/>
            </w:pPr>
            <w:r>
              <w:rPr>
                <w:rFonts w:ascii="仿宋_GB2312" w:hAnsi="仿宋_GB2312" w:cs="仿宋_GB2312" w:eastAsia="仿宋_GB2312"/>
              </w:rPr>
              <w:t>信用记录声明.docx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供应商须在项目电子化交易系统中按要求上传《非联合体不分包投标声明》，并进行电子签章。</w:t>
            </w:r>
          </w:p>
        </w:tc>
        <w:tc>
          <w:tcPr>
            <w:tcW w:type="dxa" w:w="1661"/>
          </w:tcPr>
          <w:p>
            <w:pPr>
              <w:pStyle w:val="null3"/>
            </w:pPr>
            <w:r>
              <w:rPr>
                <w:rFonts w:ascii="仿宋_GB2312" w:hAnsi="仿宋_GB2312" w:cs="仿宋_GB2312" w:eastAsia="仿宋_GB2312"/>
              </w:rPr>
              <w:t>非联合体不分包投标声明.docx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供应商承诺书（一）（二）.docx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响应文件项目名称、项目编号</w:t>
            </w:r>
          </w:p>
        </w:tc>
        <w:tc>
          <w:tcPr>
            <w:tcW w:type="dxa" w:w="3322"/>
          </w:tcPr>
          <w:p>
            <w:pPr>
              <w:pStyle w:val="null3"/>
            </w:pPr>
            <w:r>
              <w:rPr>
                <w:rFonts w:ascii="仿宋_GB2312" w:hAnsi="仿宋_GB2312" w:cs="仿宋_GB2312" w:eastAsia="仿宋_GB2312"/>
              </w:rPr>
              <w:t>响应文件以下三处的项目名称、项目编号无遗漏，且与本项目一致： （1）封面； （2）响应函； （3）法定代表人委托授权书。</w:t>
            </w:r>
          </w:p>
        </w:tc>
        <w:tc>
          <w:tcPr>
            <w:tcW w:type="dxa" w:w="1661"/>
          </w:tcPr>
          <w:p>
            <w:pPr>
              <w:pStyle w:val="null3"/>
            </w:pPr>
            <w:r>
              <w:rPr>
                <w:rFonts w:ascii="仿宋_GB2312" w:hAnsi="仿宋_GB2312" w:cs="仿宋_GB2312" w:eastAsia="仿宋_GB2312"/>
              </w:rPr>
              <w:t>响应文件封面 法定代表人证明书或授权委托书.docx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对服务内容及服务要求应答、商务要求应答</w:t>
            </w:r>
          </w:p>
        </w:tc>
        <w:tc>
          <w:tcPr>
            <w:tcW w:type="dxa" w:w="3322"/>
          </w:tcPr>
          <w:p>
            <w:pPr>
              <w:pStyle w:val="null3"/>
            </w:pPr>
            <w:r>
              <w:rPr>
                <w:rFonts w:ascii="仿宋_GB2312" w:hAnsi="仿宋_GB2312" w:cs="仿宋_GB2312" w:eastAsia="仿宋_GB2312"/>
              </w:rPr>
              <w:t>完全理解并接受磋商文件中服务内容及服务要求、商务要求</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有效供应商最低报价作为基准价，各供应商的报价得分按下列公式计算：（基准价/投标报价） ×30%×100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1.【服务器】一般参数响应 （4分） 内存、存储、I/O、电源、风扇、环境温度、RAID、GPU/NPU共8项(非“★”项)每出现一项负偏扣0.5分，扣完为止。 2.【服务器】BMC管理功能 （5分） 全部11项功能(非“★”项)每出现一项负偏扣0.5分，扣完为止。 3.【服务器】产品资质及服务 （2分）2项资质全部提供得1分；支持中文BIOS得0.5分；原厂三年7×24小时服务得.05分。 4.【数据库】一般参数响应 （1分） 一般参数响应(非“★”项)每出现一项负偏扣0.5分，扣完为止。 5.【数据库】安全功能验证 （3分） 提供动态脱敏操作截图得1分；提供全密态等值查询功能演示得1分；提供内存表ACID等操作截图加1分。 6.【数据库】自主可控证明 （3分） 提供代码开源率证明得1分；提供自主原创性测评证书得1分；提供CNAS第三方检测报告得1分。 7.【操作系统】必要参数响应 （5分）操作系统(非“★”项)每出现一项负偏扣0.5分，扣完为止。 8.【操作系统】加分项响应 （8分）操作系统(非“★”项)每出现一项负偏扣0.5分，扣完为止。</w:t>
            </w:r>
          </w:p>
        </w:tc>
        <w:tc>
          <w:tcPr>
            <w:tcW w:type="dxa" w:w="831"/>
          </w:tcPr>
          <w:p>
            <w:pPr>
              <w:pStyle w:val="null3"/>
              <w:jc w:val="right"/>
            </w:pPr>
            <w:r>
              <w:rPr>
                <w:rFonts w:ascii="仿宋_GB2312" w:hAnsi="仿宋_GB2312" w:cs="仿宋_GB2312" w:eastAsia="仿宋_GB2312"/>
              </w:rPr>
              <w:t>31.0000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业绩（5分）：提供2023年1月1日至今投标人类似项目业绩，每提供一份合格业绩得1分，最高得5分，（ 备注：提供有甲乙双方公章的完整合同复印件并加盖投标供应商公章，时间以签订时间为准）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业绩表.docx</w:t>
            </w:r>
          </w:p>
        </w:tc>
      </w:tr>
      <w:tr>
        <w:tc>
          <w:tcPr>
            <w:tcW w:type="dxa" w:w="831"/>
            <w:vMerge/>
          </w:tcP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针对本项目，有完善项目实施方案（包括①货物及服务质量保证方案②运输质量保证方案③安装、调试质量保证方案④验收质量保证方案⑤其他可行性方案 ）。 1.评审标准：①完整性：措施须全面，内容完整；②可行性：切合本项目实际情况，步骤明确、可操作性强；③针对性：能够紧扣项目实际情况，专业性强、内容科学、合理。 2.赋分标准(满分20分)： 投标人实施方案5项内容，每项4分，每项内容完全满足评审标准的得2-4分；若存在不明确、不合理、不完整、针对性不强等方面问题的，得0-1分。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提供售后服务方案：针对本项目实际需求，包括售后服务措施、维修响应时间、零配件及易损件储备、发生故障后的补救措施等方面，内容切实全面，得2-4分；内容不全面、方案一般，得1-2分。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评审小组对投标人所提供的培训内容及方案进行评审，得0-5分。1.培训内容详细全面，科学合理周到，得3-5分。 2、培训内容一般、考虑不全面得0-2分。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人员配置方案</w:t>
            </w:r>
          </w:p>
        </w:tc>
        <w:tc>
          <w:tcPr>
            <w:tcW w:type="dxa" w:w="2492"/>
          </w:tcPr>
          <w:p>
            <w:pPr>
              <w:pStyle w:val="null3"/>
            </w:pPr>
            <w:r>
              <w:rPr>
                <w:rFonts w:ascii="仿宋_GB2312" w:hAnsi="仿宋_GB2312" w:cs="仿宋_GB2312" w:eastAsia="仿宋_GB2312"/>
              </w:rPr>
              <w:t>投标人应配备充足专业技术人员保障本项目全方位服务，计5分；1、本项目负责人须提供投标人为其缴纳开标前六个月内任意一个月的社保证明（至少包含养老保险），得2分； 2、技术人员须提提供相应证书，每提供一人得1分，最多得3分。 （需提供人员名单、职务、联系方式、身份证复印件及相关证书。）</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详见附件：业绩表.docx</w:t>
      </w:r>
    </w:p>
    <w:p>
      <w:pPr>
        <w:pStyle w:val="null3"/>
        <w:ind w:firstLine="960"/>
      </w:pPr>
      <w:r>
        <w:rPr>
          <w:rFonts w:ascii="仿宋_GB2312" w:hAnsi="仿宋_GB2312" w:cs="仿宋_GB2312" w:eastAsia="仿宋_GB2312"/>
        </w:rPr>
        <w:t>详见附件：法定代表人证明书或授权委托书.docx</w:t>
      </w:r>
    </w:p>
    <w:p>
      <w:pPr>
        <w:pStyle w:val="null3"/>
        <w:ind w:firstLine="960"/>
      </w:pPr>
      <w:r>
        <w:rPr>
          <w:rFonts w:ascii="仿宋_GB2312" w:hAnsi="仿宋_GB2312" w:cs="仿宋_GB2312" w:eastAsia="仿宋_GB2312"/>
        </w:rPr>
        <w:t>详见附件：非联合体不分包投标声明.docx</w:t>
      </w:r>
    </w:p>
    <w:p>
      <w:pPr>
        <w:pStyle w:val="null3"/>
        <w:ind w:firstLine="960"/>
      </w:pPr>
      <w:r>
        <w:rPr>
          <w:rFonts w:ascii="仿宋_GB2312" w:hAnsi="仿宋_GB2312" w:cs="仿宋_GB2312" w:eastAsia="仿宋_GB2312"/>
        </w:rPr>
        <w:t>详见附件：信用记录声明.docx</w:t>
      </w:r>
    </w:p>
    <w:p>
      <w:pPr>
        <w:pStyle w:val="null3"/>
        <w:ind w:firstLine="960"/>
      </w:pPr>
      <w:r>
        <w:rPr>
          <w:rFonts w:ascii="仿宋_GB2312" w:hAnsi="仿宋_GB2312" w:cs="仿宋_GB2312" w:eastAsia="仿宋_GB2312"/>
        </w:rPr>
        <w:t>详见附件：供应商承诺书（一）（二）.docx</w:t>
      </w:r>
    </w:p>
    <w:p>
      <w:pPr>
        <w:pStyle w:val="null3"/>
        <w:ind w:firstLine="960"/>
      </w:pPr>
      <w:r>
        <w:rPr>
          <w:rFonts w:ascii="仿宋_GB2312" w:hAnsi="仿宋_GB2312" w:cs="仿宋_GB2312" w:eastAsia="仿宋_GB2312"/>
        </w:rPr>
        <w:t>详见附件：三年内无重大违法记录书面声明函.docx</w:t>
      </w:r>
    </w:p>
    <w:p>
      <w:pPr>
        <w:pStyle w:val="null3"/>
        <w:ind w:firstLine="960"/>
      </w:pPr>
      <w:r>
        <w:rPr>
          <w:rFonts w:ascii="仿宋_GB2312" w:hAnsi="仿宋_GB2312" w:cs="仿宋_GB2312" w:eastAsia="仿宋_GB2312"/>
        </w:rPr>
        <w:t>详见附件：投标人应提交的相关资格证明材料.docx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详见附件：卫健委合同草案.docx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