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版本号：HZCXHZ-2026-080320260817001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2026年农村集中供水提升改造及维修养护项目（设备采购）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HZCXHZ-2026-0803</w:t>
      </w:r>
      <w:r>
        <w:br/>
      </w:r>
      <w:r>
        <w:br/>
      </w:r>
      <w:r>
        <w:br/>
      </w:r>
    </w:p>
    <w:p>
      <w:pPr>
        <w:pStyle w:val="null3"/>
        <w:jc w:val="center"/>
        <w:outlineLvl w:val="2"/>
      </w:pPr>
      <w:r>
        <w:rPr>
          <w:rFonts w:ascii="仿宋_GB2312" w:hAnsi="仿宋_GB2312" w:cs="仿宋_GB2312" w:eastAsia="仿宋_GB2312"/>
          <w:sz w:val="28"/>
          <w:b/>
        </w:rPr>
        <w:t>略阳县水利工程管理服务中心</w:t>
      </w:r>
    </w:p>
    <w:p>
      <w:pPr>
        <w:pStyle w:val="null3"/>
        <w:jc w:val="center"/>
        <w:outlineLvl w:val="2"/>
      </w:pPr>
      <w:r>
        <w:rPr>
          <w:rFonts w:ascii="仿宋_GB2312" w:hAnsi="仿宋_GB2312" w:cs="仿宋_GB2312" w:eastAsia="仿宋_GB2312"/>
          <w:sz w:val="28"/>
          <w:b/>
        </w:rPr>
        <w:t>陕西鸿志创新工程管理有限责任公司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陕西鸿志创新工程管理有限责任公司</w:t>
      </w:r>
      <w:r>
        <w:rPr>
          <w:rFonts w:ascii="仿宋_GB2312" w:hAnsi="仿宋_GB2312" w:cs="仿宋_GB2312" w:eastAsia="仿宋_GB2312"/>
        </w:rPr>
        <w:t>（以下简称“代理机构”）受</w:t>
      </w:r>
      <w:r>
        <w:rPr>
          <w:rFonts w:ascii="仿宋_GB2312" w:hAnsi="仿宋_GB2312" w:cs="仿宋_GB2312" w:eastAsia="仿宋_GB2312"/>
        </w:rPr>
        <w:t>略阳县水利工程管理服务中心</w:t>
      </w:r>
      <w:r>
        <w:rPr>
          <w:rFonts w:ascii="仿宋_GB2312" w:hAnsi="仿宋_GB2312" w:cs="仿宋_GB2312" w:eastAsia="仿宋_GB2312"/>
        </w:rPr>
        <w:t>委托，拟对</w:t>
      </w:r>
      <w:r>
        <w:rPr>
          <w:rFonts w:ascii="仿宋_GB2312" w:hAnsi="仿宋_GB2312" w:cs="仿宋_GB2312" w:eastAsia="仿宋_GB2312"/>
        </w:rPr>
        <w:t>2026年农村集中供水提升改造及维修养护项目（设备采购）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HZCXHZ-2026-0803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2026年农村集中供水提升改造及维修养护项目（设备采购）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该项目涉及1个街道办4个镇，原安装的消毒净化设施已无法达到当前水质净化消毒的要求，为保障群众饮水安全，本次采购生活饮用水水质净化设备5套，通过水源净化器、消毒等净化处理后供给生活用水，并实现全程自动化控制，提升原供水水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采购包1（2026年农村集中供水提升改造及维修养护项目（设备采购））：属于专门面向中小企业采购。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1、营业执照或相关证明文件：供应商具有独立承担民事责任能力的法人、其他组织或自然人，提供有效营业执照/事业单 位法人证书/其他组织的有效证明文件/自然人的身份证明/民办非企业单位登记证书；</w:t>
      </w:r>
    </w:p>
    <w:p>
      <w:pPr>
        <w:pStyle w:val="null3"/>
      </w:pPr>
      <w:r>
        <w:rPr>
          <w:rFonts w:ascii="仿宋_GB2312" w:hAnsi="仿宋_GB2312" w:cs="仿宋_GB2312" w:eastAsia="仿宋_GB2312"/>
        </w:rPr>
        <w:t>2、法定代表人证明书或法定代表人授权书及相关资料：法定代表人参加开标会议的，须出具法定代表人证明书及法定代表人合法有效的身份证扫描件；法定代表人授权他人参加开标会议的，须提供法定代表人授权委托书及被授权代表的身份证扫描件；</w:t>
      </w:r>
    </w:p>
    <w:p>
      <w:pPr>
        <w:pStyle w:val="null3"/>
      </w:pPr>
      <w:r>
        <w:rPr>
          <w:rFonts w:ascii="仿宋_GB2312" w:hAnsi="仿宋_GB2312" w:cs="仿宋_GB2312" w:eastAsia="仿宋_GB2312"/>
        </w:rPr>
        <w:t>3、资格承诺文件：供应商应具有良好的商业信誉和健全的财务会计制度,具有履行合同所必需的设备和专业技术能力,具 有依法缴纳税收和社会保障金的良好记录，参加本项目采购活动前三年内无重大违法活动记录，未列入在信用中国网站“失信 被执行人”、“重大税收违法案件当事人名单”中，也未列入中国政府采购网“政府采购严重违法失信行为记录名单”中，提供加盖公章的《汉中市政府采购供应商资格承诺函》扫描件。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略阳县水利工程管理服务中心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略阳县城东关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略阳县水利工程管理服务中心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18091675918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陕西鸿志创新工程管理有限责任公司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汉中市汉台区望江路王观营社区二组远东大厦二楼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13084889098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开户名称：陕西鸿志创新工程管理有限责任公司汉中分公司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银行账号：806060801421005496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按照国家计委关于印发《招标代理服务收费管理暂行办法》的通知（计价格〔2002〕1980号）、《国家发展和改革委员会办公厅关于招标代理服务收费有关问题的通知》（发改办价格〔2003〕857号）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略阳县水利工程管理服务中心</w:t>
      </w:r>
      <w:r>
        <w:rPr>
          <w:rFonts w:ascii="仿宋_GB2312" w:hAnsi="仿宋_GB2312" w:cs="仿宋_GB2312" w:eastAsia="仿宋_GB2312"/>
        </w:rPr>
        <w:t>和</w:t>
      </w:r>
      <w:r>
        <w:rPr>
          <w:rFonts w:ascii="仿宋_GB2312" w:hAnsi="仿宋_GB2312" w:cs="仿宋_GB2312" w:eastAsia="仿宋_GB2312"/>
        </w:rPr>
        <w:t>陕西鸿志创新工程管理有限责任公司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略阳县水利工程管理服务中心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陕西鸿志创新工程管理有限责任公司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略阳县水利工程管理服务中心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陕西鸿志创新工程管理有限责任公司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从采购内容及参数对货物进行验收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陕西鸿志创新工程管理有限责任公司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陕西鸿志创新工程管理有限责任公司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陕西鸿志创新工程管理有限责任公司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联系人：何先生</w:t>
      </w:r>
    </w:p>
    <w:p>
      <w:pPr>
        <w:pStyle w:val="null3"/>
      </w:pPr>
      <w:r>
        <w:rPr>
          <w:rFonts w:ascii="仿宋_GB2312" w:hAnsi="仿宋_GB2312" w:cs="仿宋_GB2312" w:eastAsia="仿宋_GB2312"/>
        </w:rPr>
        <w:t>联系电话：13084889098</w:t>
      </w:r>
    </w:p>
    <w:p>
      <w:pPr>
        <w:pStyle w:val="null3"/>
      </w:pPr>
      <w:r>
        <w:rPr>
          <w:rFonts w:ascii="仿宋_GB2312" w:hAnsi="仿宋_GB2312" w:cs="仿宋_GB2312" w:eastAsia="仿宋_GB2312"/>
        </w:rPr>
        <w:t>地址：汉中市汉台区望江路王观营社区二组远东大厦二楼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涉及1个街道办4个镇，原安装的消毒净化设施已无法达到当前水质净化消毒的要求，为保障群众饮水安全，本次采购生活饮用水水质净化设备5套，通过水源净化器、消毒等净化处理后供给生活用水，并实现全程自动化控制，提升原供水水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3,250,000.00</w:t>
      </w:r>
    </w:p>
    <w:p>
      <w:pPr>
        <w:pStyle w:val="null3"/>
      </w:pPr>
      <w:r>
        <w:rPr>
          <w:rFonts w:ascii="仿宋_GB2312" w:hAnsi="仿宋_GB2312" w:cs="仿宋_GB2312" w:eastAsia="仿宋_GB2312"/>
        </w:rPr>
        <w:t>采购包最高限价（元）: 3,250,000.00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2026年农村集中供水提升改造及维修养护项目（设备采购）</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3,250,000.00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标的名称：2026年农村集中供水提升改造及维修养护项目（设备采购）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93"/>
              <w:gridCol w:w="764"/>
              <w:gridCol w:w="1068"/>
              <w:gridCol w:w="216"/>
              <w:gridCol w:w="206"/>
            </w:tblGrid>
            <w:tr>
              <w:tc>
                <w:tcPr>
                  <w:tcW w:type="dxa" w:w="2547"/>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1000吨设备</w:t>
                  </w:r>
                </w:p>
              </w:tc>
            </w:tr>
            <w:tr>
              <w:tc>
                <w:tcPr>
                  <w:tcW w:type="dxa" w:w="29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76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标的物</w:t>
                  </w:r>
                </w:p>
              </w:tc>
              <w:tc>
                <w:tcPr>
                  <w:tcW w:type="dxa" w:w="106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名称及规格</w:t>
                  </w:r>
                </w:p>
              </w:tc>
              <w:tc>
                <w:tcPr>
                  <w:tcW w:type="dxa" w:w="21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单位</w:t>
                  </w:r>
                </w:p>
              </w:tc>
              <w:tc>
                <w:tcPr>
                  <w:tcW w:type="dxa" w:w="2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数量</w:t>
                  </w:r>
                </w:p>
              </w:tc>
            </w:tr>
            <w:tr>
              <w:tc>
                <w:tcPr>
                  <w:tcW w:type="dxa" w:w="293"/>
                  <w:vMerge/>
                  <w:tcBorders>
                    <w:top w:val="single" w:color="000000" w:sz="4"/>
                    <w:left w:val="single" w:color="000000" w:sz="4"/>
                    <w:bottom w:val="single" w:color="000000" w:sz="4"/>
                    <w:right w:val="single" w:color="000000" w:sz="4"/>
                  </w:tcBorders>
                </w:tcPr>
                <w:p/>
              </w:tc>
              <w:tc>
                <w:tcPr>
                  <w:tcW w:type="dxa" w:w="764"/>
                  <w:vMerge/>
                  <w:tcBorders>
                    <w:top w:val="single" w:color="000000" w:sz="4"/>
                    <w:left w:val="single" w:color="000000" w:sz="4"/>
                    <w:bottom w:val="single" w:color="000000" w:sz="4"/>
                    <w:right w:val="single" w:color="000000" w:sz="4"/>
                  </w:tcBorders>
                </w:tcPr>
                <w:p/>
              </w:tc>
              <w:tc>
                <w:tcPr>
                  <w:tcW w:type="dxa" w:w="1068"/>
                  <w:vMerge/>
                  <w:tcBorders>
                    <w:top w:val="single" w:color="000000" w:sz="4"/>
                    <w:left w:val="single" w:color="000000" w:sz="4"/>
                    <w:bottom w:val="single" w:color="000000" w:sz="4"/>
                    <w:right w:val="single" w:color="000000" w:sz="4"/>
                  </w:tcBorders>
                </w:tcPr>
                <w:p/>
              </w:tc>
              <w:tc>
                <w:tcPr>
                  <w:tcW w:type="dxa" w:w="216"/>
                  <w:vMerge/>
                  <w:tcBorders>
                    <w:top w:val="single" w:color="000000" w:sz="4"/>
                    <w:left w:val="single" w:color="000000" w:sz="4"/>
                    <w:bottom w:val="single" w:color="000000" w:sz="4"/>
                    <w:right w:val="single" w:color="000000" w:sz="4"/>
                  </w:tcBorders>
                </w:tcPr>
                <w:p/>
              </w:tc>
              <w:tc>
                <w:tcPr>
                  <w:tcW w:type="dxa" w:w="206"/>
                  <w:vMerge/>
                  <w:tcBorders>
                    <w:top w:val="single" w:color="000000" w:sz="4"/>
                    <w:left w:val="single" w:color="000000" w:sz="4"/>
                    <w:bottom w:val="single" w:color="000000" w:sz="4"/>
                    <w:right w:val="single" w:color="000000" w:sz="4"/>
                  </w:tcBorders>
                </w:tcP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水厂</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1.1.1</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一体化净水装置主体</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1、净水能力：≥1000m³/d）；★</w:t>
                  </w:r>
                  <w:r>
                    <w:br/>
                  </w:r>
                  <w:r>
                    <w:rPr>
                      <w:rFonts w:ascii="仿宋_GB2312" w:hAnsi="仿宋_GB2312" w:cs="仿宋_GB2312" w:eastAsia="仿宋_GB2312"/>
                      <w:sz w:val="19"/>
                      <w:color w:val="000000"/>
                    </w:rPr>
                    <w:t xml:space="preserve"> 2、设备尺寸8.2×2.8×3m，±20mm；</w:t>
                  </w:r>
                  <w:r>
                    <w:br/>
                  </w:r>
                  <w:r>
                    <w:rPr>
                      <w:rFonts w:ascii="仿宋_GB2312" w:hAnsi="仿宋_GB2312" w:cs="仿宋_GB2312" w:eastAsia="仿宋_GB2312"/>
                      <w:sz w:val="19"/>
                      <w:color w:val="000000"/>
                    </w:rPr>
                    <w:t xml:space="preserve"> 3、进水流量：≥50m3/h；▲</w:t>
                  </w:r>
                  <w:r>
                    <w:br/>
                  </w:r>
                  <w:r>
                    <w:rPr>
                      <w:rFonts w:ascii="仿宋_GB2312" w:hAnsi="仿宋_GB2312" w:cs="仿宋_GB2312" w:eastAsia="仿宋_GB2312"/>
                      <w:sz w:val="19"/>
                      <w:color w:val="000000"/>
                    </w:rPr>
                    <w:t xml:space="preserve"> 4、反应时间：≥20min；</w:t>
                  </w:r>
                  <w:r>
                    <w:br/>
                  </w:r>
                  <w:r>
                    <w:rPr>
                      <w:rFonts w:ascii="仿宋_GB2312" w:hAnsi="仿宋_GB2312" w:cs="仿宋_GB2312" w:eastAsia="仿宋_GB2312"/>
                      <w:sz w:val="19"/>
                      <w:color w:val="000000"/>
                    </w:rPr>
                    <w:t xml:space="preserve"> 5、沉淀负荷：≤6m/h；</w:t>
                  </w:r>
                  <w:r>
                    <w:br/>
                  </w:r>
                  <w:r>
                    <w:rPr>
                      <w:rFonts w:ascii="仿宋_GB2312" w:hAnsi="仿宋_GB2312" w:cs="仿宋_GB2312" w:eastAsia="仿宋_GB2312"/>
                      <w:sz w:val="19"/>
                      <w:color w:val="000000"/>
                    </w:rPr>
                    <w:t xml:space="preserve"> 6、过滤速度≤8m/h；</w:t>
                  </w:r>
                  <w:r>
                    <w:br/>
                  </w:r>
                  <w:r>
                    <w:rPr>
                      <w:rFonts w:ascii="仿宋_GB2312" w:hAnsi="仿宋_GB2312" w:cs="仿宋_GB2312" w:eastAsia="仿宋_GB2312"/>
                      <w:sz w:val="19"/>
                      <w:color w:val="000000"/>
                    </w:rPr>
                    <w:t xml:space="preserve"> 7、材质：不锈钢材质板厚：≥3mm；</w:t>
                  </w:r>
                  <w:r>
                    <w:br/>
                  </w:r>
                  <w:r>
                    <w:rPr>
                      <w:rFonts w:ascii="仿宋_GB2312" w:hAnsi="仿宋_GB2312" w:cs="仿宋_GB2312" w:eastAsia="仿宋_GB2312"/>
                      <w:sz w:val="19"/>
                      <w:color w:val="000000"/>
                    </w:rPr>
                    <w:t xml:space="preserve"> 8、包含：絮凝池、沉淀池、滤池、恒液位、形式，气水联洗，箱体(含一体化设备箱体、加强型钢、滤板、排泥管、集水槽、支架)；</w:t>
                  </w:r>
                  <w:r>
                    <w:br/>
                  </w:r>
                  <w:r>
                    <w:rPr>
                      <w:rFonts w:ascii="仿宋_GB2312" w:hAnsi="仿宋_GB2312" w:cs="仿宋_GB2312" w:eastAsia="仿宋_GB2312"/>
                      <w:sz w:val="19"/>
                      <w:color w:val="000000"/>
                    </w:rPr>
                    <w:t xml:space="preserve"> 9、原水浊度：≤1500NTU；</w:t>
                  </w:r>
                  <w:r>
                    <w:br/>
                  </w:r>
                  <w:r>
                    <w:rPr>
                      <w:rFonts w:ascii="仿宋_GB2312" w:hAnsi="仿宋_GB2312" w:cs="仿宋_GB2312" w:eastAsia="仿宋_GB2312"/>
                      <w:sz w:val="19"/>
                      <w:color w:val="000000"/>
                    </w:rPr>
                    <w:t xml:space="preserve"> 10、出水浊度：≤1NTU；</w:t>
                  </w:r>
                  <w:r>
                    <w:br/>
                  </w:r>
                  <w:r>
                    <w:rPr>
                      <w:rFonts w:ascii="仿宋_GB2312" w:hAnsi="仿宋_GB2312" w:cs="仿宋_GB2312" w:eastAsia="仿宋_GB2312"/>
                      <w:sz w:val="19"/>
                      <w:color w:val="000000"/>
                    </w:rPr>
                    <w:t xml:space="preserve"> 11、主体材质：同等或优于SUS304不锈钢；</w:t>
                  </w:r>
                  <w:r>
                    <w:br/>
                  </w:r>
                  <w:r>
                    <w:rPr>
                      <w:rFonts w:ascii="仿宋_GB2312" w:hAnsi="仿宋_GB2312" w:cs="仿宋_GB2312" w:eastAsia="仿宋_GB2312"/>
                      <w:sz w:val="19"/>
                      <w:color w:val="000000"/>
                    </w:rPr>
                    <w:t xml:space="preserve"> 12、控制模式：PLC 全自动；</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1.1.2</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净水装置进水部分</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1、包含DN100射流曝气器*2；</w:t>
                  </w:r>
                  <w:r>
                    <w:br/>
                  </w:r>
                  <w:r>
                    <w:rPr>
                      <w:rFonts w:ascii="仿宋_GB2312" w:hAnsi="仿宋_GB2312" w:cs="仿宋_GB2312" w:eastAsia="仿宋_GB2312"/>
                      <w:sz w:val="19"/>
                      <w:color w:val="000000"/>
                    </w:rPr>
                    <w:t xml:space="preserve"> 2、材质：同等或优于SUS304 不锈钢；</w:t>
                  </w:r>
                  <w:r>
                    <w:br/>
                  </w:r>
                  <w:r>
                    <w:rPr>
                      <w:rFonts w:ascii="仿宋_GB2312" w:hAnsi="仿宋_GB2312" w:cs="仿宋_GB2312" w:eastAsia="仿宋_GB2312"/>
                      <w:sz w:val="19"/>
                      <w:color w:val="000000"/>
                    </w:rPr>
                    <w:t xml:space="preserve"> 3、可调节曝气效果、不锈钢静态管道混合器/DN150/4个投加口）；</w:t>
                  </w:r>
                  <w:r>
                    <w:br/>
                  </w:r>
                  <w:r>
                    <w:rPr>
                      <w:rFonts w:ascii="仿宋_GB2312" w:hAnsi="仿宋_GB2312" w:cs="仿宋_GB2312" w:eastAsia="仿宋_GB2312"/>
                      <w:sz w:val="19"/>
                      <w:color w:val="000000"/>
                    </w:rPr>
                    <w:t xml:space="preserve"> 4、射流曝气器核心参数；</w:t>
                  </w:r>
                  <w:r>
                    <w:br/>
                  </w:r>
                  <w:r>
                    <w:rPr>
                      <w:rFonts w:ascii="仿宋_GB2312" w:hAnsi="仿宋_GB2312" w:cs="仿宋_GB2312" w:eastAsia="仿宋_GB2312"/>
                      <w:sz w:val="19"/>
                      <w:color w:val="000000"/>
                    </w:rPr>
                    <w:t xml:space="preserve"> （1）喷嘴工作水流量：25 </w:t>
                  </w:r>
                  <w:r>
                    <w:rPr>
                      <w:rFonts w:ascii="仿宋_GB2312" w:hAnsi="仿宋_GB2312" w:cs="仿宋_GB2312" w:eastAsia="仿宋_GB2312"/>
                      <w:sz w:val="20"/>
                      <w:color w:val="000000"/>
                    </w:rPr>
                    <w:t>m³/h</w:t>
                  </w:r>
                  <w:r>
                    <w:rPr>
                      <w:rFonts w:ascii="仿宋_GB2312" w:hAnsi="仿宋_GB2312" w:cs="仿宋_GB2312" w:eastAsia="仿宋_GB2312"/>
                      <w:sz w:val="20"/>
                      <w:color w:val="000000"/>
                    </w:rPr>
                    <w:t>・</w:t>
                  </w:r>
                  <w:r>
                    <w:rPr>
                      <w:rFonts w:ascii="仿宋_GB2312" w:hAnsi="仿宋_GB2312" w:cs="仿宋_GB2312" w:eastAsia="仿宋_GB2312"/>
                      <w:sz w:val="20"/>
                      <w:color w:val="000000"/>
                    </w:rPr>
                    <w:t>台；▲</w:t>
                  </w:r>
                  <w:r>
                    <w:br/>
                  </w:r>
                  <w:r>
                    <w:rPr>
                      <w:rFonts w:ascii="仿宋_GB2312" w:hAnsi="仿宋_GB2312" w:cs="仿宋_GB2312" w:eastAsia="仿宋_GB2312"/>
                      <w:sz w:val="20"/>
                      <w:color w:val="000000"/>
                    </w:rPr>
                    <w:t xml:space="preserve"> （2）喷嘴进口压力 0.10</w:t>
                  </w:r>
                  <w:r>
                    <w:rPr>
                      <w:rFonts w:ascii="仿宋_GB2312" w:hAnsi="仿宋_GB2312" w:cs="仿宋_GB2312" w:eastAsia="仿宋_GB2312"/>
                      <w:sz w:val="20"/>
                      <w:color w:val="000000"/>
                    </w:rPr>
                    <w:t>‑</w:t>
                  </w:r>
                  <w:r>
                    <w:rPr>
                      <w:rFonts w:ascii="仿宋_GB2312" w:hAnsi="仿宋_GB2312" w:cs="仿宋_GB2312" w:eastAsia="仿宋_GB2312"/>
                      <w:sz w:val="20"/>
                      <w:color w:val="000000"/>
                    </w:rPr>
                    <w:t>0.35</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MPa；▲</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1.1.3</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净水装置出水部分</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1、包含自动反冲成套阀门系统进水、出水电动阀软接头阀门组件2套；</w:t>
                  </w:r>
                  <w:r>
                    <w:br/>
                  </w:r>
                  <w:r>
                    <w:rPr>
                      <w:rFonts w:ascii="仿宋_GB2312" w:hAnsi="仿宋_GB2312" w:cs="仿宋_GB2312" w:eastAsia="仿宋_GB2312"/>
                      <w:sz w:val="19"/>
                      <w:color w:val="000000"/>
                    </w:rPr>
                    <w:t xml:space="preserve"> 2、DN150，D971X-10Q，≤0.37kW，AC220,50HZ；</w:t>
                  </w:r>
                  <w:r>
                    <w:br/>
                  </w:r>
                  <w:r>
                    <w:rPr>
                      <w:rFonts w:ascii="仿宋_GB2312" w:hAnsi="仿宋_GB2312" w:cs="仿宋_GB2312" w:eastAsia="仿宋_GB2312"/>
                      <w:sz w:val="19"/>
                      <w:color w:val="000000"/>
                    </w:rPr>
                    <w:t xml:space="preserve"> 3、反冲洗进水电动阀软接头成套阀门组件1套</w:t>
                  </w:r>
                  <w:r>
                    <w:br/>
                  </w:r>
                  <w:r>
                    <w:rPr>
                      <w:rFonts w:ascii="仿宋_GB2312" w:hAnsi="仿宋_GB2312" w:cs="仿宋_GB2312" w:eastAsia="仿宋_GB2312"/>
                      <w:sz w:val="19"/>
                      <w:color w:val="000000"/>
                    </w:rPr>
                    <w:t xml:space="preserve"> DN200，D971X-10Q，≤0.37kW，AC220,50HZ</w:t>
                  </w:r>
                  <w:r>
                    <w:br/>
                  </w:r>
                  <w:r>
                    <w:rPr>
                      <w:rFonts w:ascii="仿宋_GB2312" w:hAnsi="仿宋_GB2312" w:cs="仿宋_GB2312" w:eastAsia="仿宋_GB2312"/>
                      <w:sz w:val="19"/>
                      <w:color w:val="000000"/>
                    </w:rPr>
                    <w:t xml:space="preserve"> 4、反冲洗排水电动阀软接头成套阀门组件1套</w:t>
                  </w:r>
                  <w:r>
                    <w:br/>
                  </w:r>
                  <w:r>
                    <w:rPr>
                      <w:rFonts w:ascii="仿宋_GB2312" w:hAnsi="仿宋_GB2312" w:cs="仿宋_GB2312" w:eastAsia="仿宋_GB2312"/>
                      <w:sz w:val="19"/>
                      <w:color w:val="000000"/>
                    </w:rPr>
                    <w:t xml:space="preserve"> DN250，D971X-10Q，≤0.37kW，AC220,50HZ</w:t>
                  </w:r>
                  <w:r>
                    <w:br/>
                  </w:r>
                  <w:r>
                    <w:rPr>
                      <w:rFonts w:ascii="仿宋_GB2312" w:hAnsi="仿宋_GB2312" w:cs="仿宋_GB2312" w:eastAsia="仿宋_GB2312"/>
                      <w:sz w:val="19"/>
                      <w:color w:val="000000"/>
                    </w:rPr>
                    <w:t xml:space="preserve"> 5、反冲洗进气电动阀软接头成套阀门组件1套</w:t>
                  </w:r>
                  <w:r>
                    <w:br/>
                  </w:r>
                  <w:r>
                    <w:rPr>
                      <w:rFonts w:ascii="仿宋_GB2312" w:hAnsi="仿宋_GB2312" w:cs="仿宋_GB2312" w:eastAsia="仿宋_GB2312"/>
                      <w:sz w:val="19"/>
                      <w:color w:val="000000"/>
                    </w:rPr>
                    <w:t xml:space="preserve"> DN100，D971X-10Q，≤0.37kW，AC220,50HZ；</w:t>
                  </w:r>
                  <w:r>
                    <w:br/>
                  </w:r>
                  <w:r>
                    <w:rPr>
                      <w:rFonts w:ascii="仿宋_GB2312" w:hAnsi="仿宋_GB2312" w:cs="仿宋_GB2312" w:eastAsia="仿宋_GB2312"/>
                      <w:sz w:val="19"/>
                      <w:color w:val="000000"/>
                    </w:rPr>
                    <w:t xml:space="preserve"> 6、包含：DN150恒液位匀速过滤装置、DN100不锈钢U型进气管道装置、DN250不锈钢排水管道装置）；</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1.1.4</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净水装置溢流排泥部分</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1、6套手动排泥阀（检修）DN100，D71X-10Q，含不锈钢法兰短管等配件、电动排泥阀DN100，D971X-10Q，≤0.37kW，AC220,50HZ；▲</w:t>
                  </w:r>
                  <w:r>
                    <w:br/>
                  </w:r>
                  <w:r>
                    <w:rPr>
                      <w:rFonts w:ascii="仿宋_GB2312" w:hAnsi="仿宋_GB2312" w:cs="仿宋_GB2312" w:eastAsia="仿宋_GB2312"/>
                      <w:sz w:val="19"/>
                      <w:color w:val="000000"/>
                    </w:rPr>
                    <w:t xml:space="preserve"> 2、6套不锈钢排泥管配件、双层不锈钢控制箱；</w:t>
                  </w:r>
                  <w:r>
                    <w:br/>
                  </w:r>
                  <w:r>
                    <w:rPr>
                      <w:rFonts w:ascii="仿宋_GB2312" w:hAnsi="仿宋_GB2312" w:cs="仿宋_GB2312" w:eastAsia="仿宋_GB2312"/>
                      <w:sz w:val="19"/>
                      <w:color w:val="000000"/>
                    </w:rPr>
                    <w:t xml:space="preserve"> 3、6套排泥阀控制系统，PLC控制、中控联动控制、手自动控制、不锈钢桥架等配套；</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1.1.5</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净水装置反冲洗部分</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1、净水装置反冲洗部分（包含2台反冲洗风机（Q≥6.13m³/min，P≥24.5kpa，N≥5.5kW）、一用一备、风机底座；</w:t>
                  </w:r>
                  <w:r>
                    <w:br/>
                  </w:r>
                  <w:r>
                    <w:rPr>
                      <w:rFonts w:ascii="仿宋_GB2312" w:hAnsi="仿宋_GB2312" w:cs="仿宋_GB2312" w:eastAsia="仿宋_GB2312"/>
                      <w:sz w:val="19"/>
                      <w:color w:val="000000"/>
                    </w:rPr>
                    <w:t xml:space="preserve"> 2、3台水泵泵组（Q≥80m³/h，P≥17m，N≥5.5kW）、二用一备），水泵底座配减振装置；</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1.1.6</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水质在线监测部分</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1、水质在线监测部分（包含进厂水浊度检测0-400UTN，PH检测0-14PH；出厂水余氯检测0.00-1.00ppm，浊度检测仪0-10UTN，PH检测仪0-14PH）；</w:t>
                  </w:r>
                  <w:r>
                    <w:br/>
                  </w:r>
                  <w:r>
                    <w:rPr>
                      <w:rFonts w:ascii="仿宋_GB2312" w:hAnsi="仿宋_GB2312" w:cs="仿宋_GB2312" w:eastAsia="仿宋_GB2312"/>
                      <w:sz w:val="19"/>
                      <w:color w:val="000000"/>
                    </w:rPr>
                    <w:t xml:space="preserve"> 2、5参数在线监测系统及配套材料，精度要求：浊度±2%FS、pH±0.1、余氯±0.05ppm；校准周期≥3个月，具备数据远程传输功能及RS485/Modbus协议；▲</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1.1.7</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PAC投加部分</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PAC投加部分（500L加药桶*2、计量泵(12L/h,5bar,0.24kW)*2、380V搅拌机*2、电控箱*1、低液位报警、手自动控制、制水联动控制，配套脉冲阻尼器、背压阀、Y型过滤器、金属底座等），药桶材质要求（PE材质，食品级）；计量泵泵头材质要求（PVC/PVDF）；</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1.1.8</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PH调节投加部分</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1、PH调节投加部分：200L加药桶*1、药桶材质要求（PE材质，食品级；计量泵(3L/min,7bar,0.25kW)*1泵头材质要求（PVC/PVDF）、380V搅拌机*1。配套脉冲阻尼器、背压阀、Y型过滤器、金属底座等），搅拌机防爆认证要求</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1.1.9</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安防监控部分</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1、安防监控部分（包含7套》400万像素ICR红外阵列筒型网络摄像机、后端存储设备（6TB 监控专用 ），摄像机防护等级≥IP66，录像保存时间≥30天；▲</w:t>
                  </w:r>
                  <w:r>
                    <w:br/>
                  </w:r>
                  <w:r>
                    <w:rPr>
                      <w:rFonts w:ascii="仿宋_GB2312" w:hAnsi="仿宋_GB2312" w:cs="仿宋_GB2312" w:eastAsia="仿宋_GB2312"/>
                      <w:sz w:val="19"/>
                      <w:color w:val="000000"/>
                    </w:rPr>
                    <w:t xml:space="preserve"> 2、24寸显示器（24英寸，分辨率2560x1440，刷新率，100HZ）、配套电源；</w:t>
                  </w:r>
                  <w:r>
                    <w:br/>
                  </w:r>
                  <w:r>
                    <w:rPr>
                      <w:rFonts w:ascii="仿宋_GB2312" w:hAnsi="仿宋_GB2312" w:cs="仿宋_GB2312" w:eastAsia="仿宋_GB2312"/>
                      <w:sz w:val="19"/>
                      <w:color w:val="000000"/>
                    </w:rPr>
                    <w:t xml:space="preserve"> 3、交换机（8口千兆POE交换机，POE：72W）、设备箱、电源线等；</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1.1.10</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次氯酸钠发生器及投加部分</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1、次氯酸钠发生器及投加部分（有效氯产量≥200g/h，1.5kW，产药有效浓度:6000~8000ppm；★</w:t>
                  </w:r>
                  <w:r>
                    <w:br/>
                  </w:r>
                  <w:r>
                    <w:rPr>
                      <w:rFonts w:ascii="仿宋_GB2312" w:hAnsi="仿宋_GB2312" w:cs="仿宋_GB2312" w:eastAsia="仿宋_GB2312"/>
                      <w:sz w:val="19"/>
                      <w:color w:val="000000"/>
                    </w:rPr>
                    <w:t xml:space="preserve"> 2、电气控制系统采用PLC控制，含酸洗系统、整流器、软水器、压力/温度变送器、清水配比泵、盐水泵、电动阀、液位开关、溶盐箱等配套设备；</w:t>
                  </w:r>
                  <w:r>
                    <w:br/>
                  </w:r>
                  <w:r>
                    <w:rPr>
                      <w:rFonts w:ascii="仿宋_GB2312" w:hAnsi="仿宋_GB2312" w:cs="仿宋_GB2312" w:eastAsia="仿宋_GB2312"/>
                      <w:sz w:val="19"/>
                      <w:color w:val="000000"/>
                    </w:rPr>
                    <w:t xml:space="preserve"> 3、储存投加系统，3台计量泵泵组(20L/min,10bar,0.25kW)，泵头材质要求：（PVC/PVDF），泵组含安全阀，背压阀，脉冲阻尼器，Y型过滤器，浮子流量计；▲</w:t>
                  </w:r>
                  <w:r>
                    <w:br/>
                  </w:r>
                  <w:r>
                    <w:rPr>
                      <w:rFonts w:ascii="仿宋_GB2312" w:hAnsi="仿宋_GB2312" w:cs="仿宋_GB2312" w:eastAsia="仿宋_GB2312"/>
                      <w:sz w:val="19"/>
                      <w:color w:val="000000"/>
                    </w:rPr>
                    <w:t xml:space="preserve"> 4、储药罐容积500L，高、中、低三液位输出，含排氢风机、氢气监测系统；</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1.1.11</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电气控制柜及仪表</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电气控制柜及仪表（双层控制柜（含照明、温控、插座），PLC、≥10寸触摸屏+手动/自动切换、电流电压检测、电子元器件。热继、防雷、欠压、相序、热熔器、隔离电源保护。含滤池、清水池液位仪表（输出:4~20mA 量程0-5m（可调），电源电压:24VDC 防护等级:≥IP65 测量误差:≤0.5%，通过RS485实现系统制水无人操作全自动控制。可根据制水系统运行情况，自动启动制水、加药、消毒及气水反冲洗；▲</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1.1.12</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水泵组</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1、自用水泵组（扬程≥16m，流量≥1m³/h，吸程≥8m、自动启停、缺水保护） 电机功率》0.37KW；▲</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1.1.13</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反冲洗控制软件</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反冲洗控制软件（水冲、混冲强度控制、反冲风机调度控制、气冲、混冲强度控制、反冲洗多水泵调度控制,可配置优先级、反冲洗水泵频率调整控制、反冲洗多风机调度控制,可配置优先级、根据冲洗效果自动调整气冲、混冲强度）；</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1.1.14</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水厂云管家</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1、水厂云管家（支持WEB端及移动端生产数据监测、水质监测、报警监控等功能，含一年物联网卡流量）提供软件检测或著作权报告；</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1.1.15</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排泥系统控制软件</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1、排泥系统控制软件（絮凝反应池，斜管沉淀池自动排泥、排泥周期、排泥时间，根据原水水质、水量和斜管沉淀池运行时间）；</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1.1.16</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药剂投加控制软件</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1、药剂投加控制软件（根据水质变化、水量，自动调节混凝剂最加投加量，以节省制水药耗）；▲</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293"/>
              <w:gridCol w:w="764"/>
              <w:gridCol w:w="1068"/>
              <w:gridCol w:w="216"/>
              <w:gridCol w:w="206"/>
            </w:tblGrid>
            <w:tr>
              <w:tc>
                <w:tcPr>
                  <w:tcW w:type="dxa" w:w="2547"/>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b/>
                      <w:color w:val="000000"/>
                    </w:rPr>
                    <w:t>500吨设备</w:t>
                  </w:r>
                </w:p>
              </w:tc>
            </w:tr>
            <w:tr>
              <w:tc>
                <w:tcPr>
                  <w:tcW w:type="dxa" w:w="29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76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标的物</w:t>
                  </w:r>
                </w:p>
              </w:tc>
              <w:tc>
                <w:tcPr>
                  <w:tcW w:type="dxa" w:w="106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名称及规格</w:t>
                  </w:r>
                </w:p>
              </w:tc>
              <w:tc>
                <w:tcPr>
                  <w:tcW w:type="dxa" w:w="21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单位</w:t>
                  </w:r>
                </w:p>
              </w:tc>
              <w:tc>
                <w:tcPr>
                  <w:tcW w:type="dxa" w:w="2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数量</w:t>
                  </w:r>
                </w:p>
              </w:tc>
            </w:tr>
            <w:tr>
              <w:tc>
                <w:tcPr>
                  <w:tcW w:type="dxa" w:w="293"/>
                  <w:vMerge/>
                  <w:tcBorders>
                    <w:top w:val="single" w:color="000000" w:sz="4"/>
                    <w:left w:val="single" w:color="000000" w:sz="4"/>
                    <w:bottom w:val="single" w:color="000000" w:sz="4"/>
                    <w:right w:val="single" w:color="000000" w:sz="4"/>
                  </w:tcBorders>
                </w:tcPr>
                <w:p/>
              </w:tc>
              <w:tc>
                <w:tcPr>
                  <w:tcW w:type="dxa" w:w="764"/>
                  <w:vMerge/>
                  <w:tcBorders>
                    <w:top w:val="single" w:color="000000" w:sz="4"/>
                    <w:left w:val="single" w:color="000000" w:sz="4"/>
                    <w:bottom w:val="single" w:color="000000" w:sz="4"/>
                    <w:right w:val="single" w:color="000000" w:sz="4"/>
                  </w:tcBorders>
                </w:tcPr>
                <w:p/>
              </w:tc>
              <w:tc>
                <w:tcPr>
                  <w:tcW w:type="dxa" w:w="1068"/>
                  <w:vMerge/>
                  <w:tcBorders>
                    <w:top w:val="single" w:color="000000" w:sz="4"/>
                    <w:left w:val="single" w:color="000000" w:sz="4"/>
                    <w:bottom w:val="single" w:color="000000" w:sz="4"/>
                    <w:right w:val="single" w:color="000000" w:sz="4"/>
                  </w:tcBorders>
                </w:tcPr>
                <w:p/>
              </w:tc>
              <w:tc>
                <w:tcPr>
                  <w:tcW w:type="dxa" w:w="216"/>
                  <w:vMerge/>
                  <w:tcBorders>
                    <w:top w:val="single" w:color="000000" w:sz="4"/>
                    <w:left w:val="single" w:color="000000" w:sz="4"/>
                    <w:bottom w:val="single" w:color="000000" w:sz="4"/>
                    <w:right w:val="single" w:color="000000" w:sz="4"/>
                  </w:tcBorders>
                </w:tcPr>
                <w:p/>
              </w:tc>
              <w:tc>
                <w:tcPr>
                  <w:tcW w:type="dxa" w:w="206"/>
                  <w:vMerge/>
                  <w:tcBorders>
                    <w:top w:val="single" w:color="000000" w:sz="4"/>
                    <w:left w:val="single" w:color="000000" w:sz="4"/>
                    <w:bottom w:val="single" w:color="000000" w:sz="4"/>
                    <w:right w:val="single" w:color="000000" w:sz="4"/>
                  </w:tcBorders>
                </w:tcP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水厂</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2.1.1</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一体化净水装置主体</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1、净水能力：≥500m3/d；★</w:t>
                  </w:r>
                  <w:r>
                    <w:br/>
                  </w:r>
                  <w:r>
                    <w:rPr>
                      <w:rFonts w:ascii="仿宋_GB2312" w:hAnsi="仿宋_GB2312" w:cs="仿宋_GB2312" w:eastAsia="仿宋_GB2312"/>
                      <w:sz w:val="19"/>
                      <w:color w:val="000000"/>
                    </w:rPr>
                    <w:t xml:space="preserve"> 2、5.15*2.2*3m，±20mm；</w:t>
                  </w:r>
                  <w:r>
                    <w:br/>
                  </w:r>
                  <w:r>
                    <w:rPr>
                      <w:rFonts w:ascii="仿宋_GB2312" w:hAnsi="仿宋_GB2312" w:cs="仿宋_GB2312" w:eastAsia="仿宋_GB2312"/>
                      <w:sz w:val="19"/>
                      <w:color w:val="000000"/>
                    </w:rPr>
                    <w:t xml:space="preserve"> 3、进水流量：≥22m3/h；▲</w:t>
                  </w:r>
                  <w:r>
                    <w:br/>
                  </w:r>
                  <w:r>
                    <w:rPr>
                      <w:rFonts w:ascii="仿宋_GB2312" w:hAnsi="仿宋_GB2312" w:cs="仿宋_GB2312" w:eastAsia="仿宋_GB2312"/>
                      <w:sz w:val="19"/>
                      <w:color w:val="000000"/>
                    </w:rPr>
                    <w:t xml:space="preserve"> 4、反应时间：≤30min；</w:t>
                  </w:r>
                  <w:r>
                    <w:br/>
                  </w:r>
                  <w:r>
                    <w:rPr>
                      <w:rFonts w:ascii="仿宋_GB2312" w:hAnsi="仿宋_GB2312" w:cs="仿宋_GB2312" w:eastAsia="仿宋_GB2312"/>
                      <w:sz w:val="19"/>
                      <w:color w:val="000000"/>
                    </w:rPr>
                    <w:t xml:space="preserve"> 5、沉淀负荷：≤6m/h；</w:t>
                  </w:r>
                  <w:r>
                    <w:br/>
                  </w:r>
                  <w:r>
                    <w:rPr>
                      <w:rFonts w:ascii="仿宋_GB2312" w:hAnsi="仿宋_GB2312" w:cs="仿宋_GB2312" w:eastAsia="仿宋_GB2312"/>
                      <w:sz w:val="19"/>
                      <w:color w:val="000000"/>
                    </w:rPr>
                    <w:t xml:space="preserve"> 6、过滤速度：≤8m/h；</w:t>
                  </w:r>
                  <w:r>
                    <w:br/>
                  </w:r>
                  <w:r>
                    <w:rPr>
                      <w:rFonts w:ascii="仿宋_GB2312" w:hAnsi="仿宋_GB2312" w:cs="仿宋_GB2312" w:eastAsia="仿宋_GB2312"/>
                      <w:sz w:val="19"/>
                      <w:color w:val="000000"/>
                    </w:rPr>
                    <w:t xml:space="preserve"> 7、不锈钢材质板厚：≥3mm；</w:t>
                  </w:r>
                  <w:r>
                    <w:br/>
                  </w:r>
                  <w:r>
                    <w:rPr>
                      <w:rFonts w:ascii="仿宋_GB2312" w:hAnsi="仿宋_GB2312" w:cs="仿宋_GB2312" w:eastAsia="仿宋_GB2312"/>
                      <w:sz w:val="20"/>
                      <w:color w:val="000000"/>
                    </w:rPr>
                    <w:t>8、包含：恒液位滤池形式，气水联洗，絮凝沉淀滤池池体(含一体化设备箱体、加强型钢、滤板、排泥管、集水槽、支架)；</w:t>
                  </w:r>
                  <w:r>
                    <w:br/>
                  </w:r>
                  <w:r>
                    <w:rPr>
                      <w:rFonts w:ascii="仿宋_GB2312" w:hAnsi="仿宋_GB2312" w:cs="仿宋_GB2312" w:eastAsia="仿宋_GB2312"/>
                      <w:sz w:val="20"/>
                      <w:color w:val="000000"/>
                    </w:rPr>
                    <w:t xml:space="preserve"> 9、原水浊度：≤1500NTU；</w:t>
                  </w:r>
                  <w:r>
                    <w:br/>
                  </w:r>
                  <w:r>
                    <w:rPr>
                      <w:rFonts w:ascii="仿宋_GB2312" w:hAnsi="仿宋_GB2312" w:cs="仿宋_GB2312" w:eastAsia="仿宋_GB2312"/>
                      <w:sz w:val="20"/>
                      <w:color w:val="000000"/>
                    </w:rPr>
                    <w:t xml:space="preserve"> 10、出水浊度：≤1NTU；</w:t>
                  </w:r>
                  <w:r>
                    <w:br/>
                  </w:r>
                  <w:r>
                    <w:rPr>
                      <w:rFonts w:ascii="仿宋_GB2312" w:hAnsi="仿宋_GB2312" w:cs="仿宋_GB2312" w:eastAsia="仿宋_GB2312"/>
                      <w:sz w:val="20"/>
                      <w:color w:val="000000"/>
                    </w:rPr>
                    <w:t xml:space="preserve"> 11、主体材质：同等或优于SUS304不锈钢，</w:t>
                  </w:r>
                  <w:r>
                    <w:br/>
                  </w:r>
                  <w:r>
                    <w:rPr>
                      <w:rFonts w:ascii="仿宋_GB2312" w:hAnsi="仿宋_GB2312" w:cs="仿宋_GB2312" w:eastAsia="仿宋_GB2312"/>
                      <w:sz w:val="20"/>
                      <w:color w:val="000000"/>
                    </w:rPr>
                    <w:t xml:space="preserve"> 12、控制模式：PLC 全自动；</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2.1.2</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净水装置</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1、DN100射流曝气器*1；</w:t>
                  </w:r>
                  <w:r>
                    <w:br/>
                  </w:r>
                  <w:r>
                    <w:rPr>
                      <w:rFonts w:ascii="仿宋_GB2312" w:hAnsi="仿宋_GB2312" w:cs="仿宋_GB2312" w:eastAsia="仿宋_GB2312"/>
                      <w:sz w:val="19"/>
                      <w:color w:val="000000"/>
                    </w:rPr>
                    <w:t xml:space="preserve"> 2、材质：同等或优于SUS304不锈钢；</w:t>
                  </w:r>
                  <w:r>
                    <w:br/>
                  </w:r>
                  <w:r>
                    <w:rPr>
                      <w:rFonts w:ascii="仿宋_GB2312" w:hAnsi="仿宋_GB2312" w:cs="仿宋_GB2312" w:eastAsia="仿宋_GB2312"/>
                      <w:sz w:val="19"/>
                      <w:color w:val="000000"/>
                    </w:rPr>
                    <w:t xml:space="preserve"> 3、可调节曝气效果、不锈钢静态管道混合器/DN100/4个投加口）；</w:t>
                  </w:r>
                  <w:r>
                    <w:br/>
                  </w:r>
                  <w:r>
                    <w:rPr>
                      <w:rFonts w:ascii="仿宋_GB2312" w:hAnsi="仿宋_GB2312" w:cs="仿宋_GB2312" w:eastAsia="仿宋_GB2312"/>
                      <w:sz w:val="19"/>
                      <w:color w:val="000000"/>
                    </w:rPr>
                    <w:t xml:space="preserve"> 4、射流曝气器核心参数；</w:t>
                  </w:r>
                  <w:r>
                    <w:br/>
                  </w:r>
                  <w:r>
                    <w:rPr>
                      <w:rFonts w:ascii="仿宋_GB2312" w:hAnsi="仿宋_GB2312" w:cs="仿宋_GB2312" w:eastAsia="仿宋_GB2312"/>
                      <w:sz w:val="19"/>
                      <w:color w:val="000000"/>
                    </w:rPr>
                    <w:t xml:space="preserve"> （1）喷嘴工作水流量：25 </w:t>
                  </w:r>
                  <w:r>
                    <w:rPr>
                      <w:rFonts w:ascii="仿宋_GB2312" w:hAnsi="仿宋_GB2312" w:cs="仿宋_GB2312" w:eastAsia="仿宋_GB2312"/>
                      <w:sz w:val="20"/>
                      <w:color w:val="000000"/>
                    </w:rPr>
                    <w:t>m³/h</w:t>
                  </w:r>
                  <w:r>
                    <w:rPr>
                      <w:rFonts w:ascii="仿宋_GB2312" w:hAnsi="仿宋_GB2312" w:cs="仿宋_GB2312" w:eastAsia="仿宋_GB2312"/>
                      <w:sz w:val="20"/>
                      <w:color w:val="000000"/>
                    </w:rPr>
                    <w:t>・</w:t>
                  </w:r>
                  <w:r>
                    <w:rPr>
                      <w:rFonts w:ascii="仿宋_GB2312" w:hAnsi="仿宋_GB2312" w:cs="仿宋_GB2312" w:eastAsia="仿宋_GB2312"/>
                      <w:sz w:val="20"/>
                      <w:color w:val="000000"/>
                    </w:rPr>
                    <w:t>台；▲</w:t>
                  </w:r>
                  <w:r>
                    <w:br/>
                  </w:r>
                  <w:r>
                    <w:rPr>
                      <w:rFonts w:ascii="仿宋_GB2312" w:hAnsi="仿宋_GB2312" w:cs="仿宋_GB2312" w:eastAsia="仿宋_GB2312"/>
                      <w:sz w:val="20"/>
                      <w:color w:val="000000"/>
                    </w:rPr>
                    <w:t xml:space="preserve"> （2）喷嘴进口压力 0.10</w:t>
                  </w:r>
                  <w:r>
                    <w:rPr>
                      <w:rFonts w:ascii="仿宋_GB2312" w:hAnsi="仿宋_GB2312" w:cs="仿宋_GB2312" w:eastAsia="仿宋_GB2312"/>
                      <w:sz w:val="20"/>
                      <w:color w:val="000000"/>
                    </w:rPr>
                    <w:t>‑</w:t>
                  </w:r>
                  <w:r>
                    <w:rPr>
                      <w:rFonts w:ascii="仿宋_GB2312" w:hAnsi="仿宋_GB2312" w:cs="仿宋_GB2312" w:eastAsia="仿宋_GB2312"/>
                      <w:sz w:val="20"/>
                      <w:color w:val="000000"/>
                    </w:rPr>
                    <w:t>0.35</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MPa；▲</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2.1.3</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净水装置出水部分</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1、包含自动反冲成套阀门系统进水、出水电动阀软接头成套阀门组件2套；</w:t>
                  </w:r>
                  <w:r>
                    <w:br/>
                  </w:r>
                  <w:r>
                    <w:rPr>
                      <w:rFonts w:ascii="仿宋_GB2312" w:hAnsi="仿宋_GB2312" w:cs="仿宋_GB2312" w:eastAsia="仿宋_GB2312"/>
                      <w:sz w:val="19"/>
                      <w:color w:val="000000"/>
                    </w:rPr>
                    <w:t xml:space="preserve"> 2、DN100，D971X-10Q，≤0.37kW，AC220,50HZ；</w:t>
                  </w:r>
                  <w:r>
                    <w:br/>
                  </w:r>
                  <w:r>
                    <w:rPr>
                      <w:rFonts w:ascii="仿宋_GB2312" w:hAnsi="仿宋_GB2312" w:cs="仿宋_GB2312" w:eastAsia="仿宋_GB2312"/>
                      <w:sz w:val="19"/>
                      <w:color w:val="000000"/>
                    </w:rPr>
                    <w:t xml:space="preserve"> 3、反冲洗进水电动阀软接头成套阀门组件1套</w:t>
                  </w:r>
                  <w:r>
                    <w:br/>
                  </w:r>
                  <w:r>
                    <w:rPr>
                      <w:rFonts w:ascii="仿宋_GB2312" w:hAnsi="仿宋_GB2312" w:cs="仿宋_GB2312" w:eastAsia="仿宋_GB2312"/>
                      <w:sz w:val="19"/>
                      <w:color w:val="000000"/>
                    </w:rPr>
                    <w:t xml:space="preserve"> DN150，D971X-10Q，≤0.37kW，AC220,50HZ；</w:t>
                  </w:r>
                  <w:r>
                    <w:br/>
                  </w:r>
                  <w:r>
                    <w:rPr>
                      <w:rFonts w:ascii="仿宋_GB2312" w:hAnsi="仿宋_GB2312" w:cs="仿宋_GB2312" w:eastAsia="仿宋_GB2312"/>
                      <w:sz w:val="19"/>
                      <w:color w:val="000000"/>
                    </w:rPr>
                    <w:t xml:space="preserve"> 4、反冲洗排水电动阀软接头成套阀门组件1套</w:t>
                  </w:r>
                  <w:r>
                    <w:br/>
                  </w:r>
                  <w:r>
                    <w:rPr>
                      <w:rFonts w:ascii="仿宋_GB2312" w:hAnsi="仿宋_GB2312" w:cs="仿宋_GB2312" w:eastAsia="仿宋_GB2312"/>
                      <w:sz w:val="19"/>
                      <w:color w:val="000000"/>
                    </w:rPr>
                    <w:t xml:space="preserve"> DN200，D971X-10Q，≤0.37kW，AC220,50HZ；</w:t>
                  </w:r>
                  <w:r>
                    <w:br/>
                  </w:r>
                  <w:r>
                    <w:rPr>
                      <w:rFonts w:ascii="仿宋_GB2312" w:hAnsi="仿宋_GB2312" w:cs="仿宋_GB2312" w:eastAsia="仿宋_GB2312"/>
                      <w:sz w:val="19"/>
                      <w:color w:val="000000"/>
                    </w:rPr>
                    <w:t xml:space="preserve"> 5、反冲洗进气电动阀软接头成套阀门组件1套</w:t>
                  </w:r>
                  <w:r>
                    <w:br/>
                  </w:r>
                  <w:r>
                    <w:rPr>
                      <w:rFonts w:ascii="仿宋_GB2312" w:hAnsi="仿宋_GB2312" w:cs="仿宋_GB2312" w:eastAsia="仿宋_GB2312"/>
                      <w:sz w:val="19"/>
                      <w:color w:val="000000"/>
                    </w:rPr>
                    <w:t xml:space="preserve"> DN65，D971X-10Q，≤0.37kW，AC220,50HZ；</w:t>
                  </w:r>
                  <w:r>
                    <w:br/>
                  </w:r>
                  <w:r>
                    <w:rPr>
                      <w:rFonts w:ascii="仿宋_GB2312" w:hAnsi="仿宋_GB2312" w:cs="仿宋_GB2312" w:eastAsia="仿宋_GB2312"/>
                      <w:sz w:val="19"/>
                      <w:color w:val="000000"/>
                    </w:rPr>
                    <w:t xml:space="preserve"> 6、DN100恒液位匀速过滤装置、DN65不锈钢U型进气管道装置、DN200不锈钢排水管道装置）</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2.1.4</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净水装置溢流排泥部分</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1、4套手动排泥阀（检修）DN100，D71X-10Q，2、含不锈钢法兰短管等配件、4套电动排泥阀DN100，D971X-10Q，≤0.37kW，AC220,50HZ；▲</w:t>
                  </w:r>
                  <w:r>
                    <w:br/>
                  </w:r>
                  <w:r>
                    <w:rPr>
                      <w:rFonts w:ascii="仿宋_GB2312" w:hAnsi="仿宋_GB2312" w:cs="仿宋_GB2312" w:eastAsia="仿宋_GB2312"/>
                      <w:sz w:val="19"/>
                      <w:color w:val="000000"/>
                    </w:rPr>
                    <w:t xml:space="preserve"> 2、4套不锈钢排泥管配件、双层不锈钢控制箱；</w:t>
                  </w:r>
                  <w:r>
                    <w:br/>
                  </w:r>
                  <w:r>
                    <w:rPr>
                      <w:rFonts w:ascii="仿宋_GB2312" w:hAnsi="仿宋_GB2312" w:cs="仿宋_GB2312" w:eastAsia="仿宋_GB2312"/>
                      <w:sz w:val="19"/>
                      <w:color w:val="000000"/>
                    </w:rPr>
                    <w:t xml:space="preserve"> 3、4套排泥阀控制系统，PLC控制、中控联动控制、手自动控制、不锈钢桥架等配套；</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2.1.5</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净水装置反冲洗部分</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1、净水装置反冲洗部分（包含2台反冲洗风机（Q≥2.98m3/min，P≥29.4kpa，N≥3.0kw）、一用一备、风机底座；</w:t>
                  </w:r>
                  <w:r>
                    <w:br/>
                  </w:r>
                  <w:r>
                    <w:rPr>
                      <w:rFonts w:ascii="仿宋_GB2312" w:hAnsi="仿宋_GB2312" w:cs="仿宋_GB2312" w:eastAsia="仿宋_GB2312"/>
                      <w:sz w:val="19"/>
                      <w:color w:val="000000"/>
                    </w:rPr>
                    <w:t xml:space="preserve"> 2、3台水泵泵组（Q≥50m3/h，H≥13m，P≥3.0KW）、二用一备），水泵底座配减振装置；</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2.1.6</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水质在线监测部分</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1、水质在线监测部分（包含进厂水浊度检测0-400UTN，PH检测0-14PH；出厂水余氯检测0.00-1.00ppm，浊度检测仪0-10UTN，PH检测仪0-14PH）；</w:t>
                  </w:r>
                  <w:r>
                    <w:br/>
                  </w:r>
                  <w:r>
                    <w:rPr>
                      <w:rFonts w:ascii="仿宋_GB2312" w:hAnsi="仿宋_GB2312" w:cs="仿宋_GB2312" w:eastAsia="仿宋_GB2312"/>
                      <w:sz w:val="19"/>
                      <w:color w:val="000000"/>
                    </w:rPr>
                    <w:t xml:space="preserve"> 2、5参数在线监测系统及配套材料，精度要求：浊度±2%FS、pH±0.1、余氯±0.05ppm；校准周期≥3个月，具备数据远程传输功能及RS485/Modbus协议；▲</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2.1.7</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PAC投加部分</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PAC投加部分(500L加药桶*1、计量泵(12L/h,5bar,0.24kW)*2、380V搅拌机*1、电控箱*1、低液位报警、手自动控制、制水联动控制。配套脉冲阻尼器、背压阀、Y型过滤器、金属底座等)；药桶材质要求（PE材质，食品级）；计量泵泵头材质要求（PVC/PVDF）；</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2.1.8</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次氯酸钠发生器及投加部分</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1、次氯酸钠发生器及投加部分（有效氯产量≥100g/h，1.0kW，产药有效浓度:6000~8000ppm；★</w:t>
                  </w:r>
                  <w:r>
                    <w:br/>
                  </w:r>
                  <w:r>
                    <w:rPr>
                      <w:rFonts w:ascii="仿宋_GB2312" w:hAnsi="仿宋_GB2312" w:cs="仿宋_GB2312" w:eastAsia="仿宋_GB2312"/>
                      <w:sz w:val="19"/>
                      <w:color w:val="000000"/>
                    </w:rPr>
                    <w:t xml:space="preserve"> 2、电气控制系统采用PLC控制，含酸洗系统、整流器、软水器、压力/温度变送器、清水配比泵、盐水泵、电动阀、液位开关、溶盐箱等配套设备；</w:t>
                  </w:r>
                  <w:r>
                    <w:br/>
                  </w:r>
                  <w:r>
                    <w:rPr>
                      <w:rFonts w:ascii="仿宋_GB2312" w:hAnsi="仿宋_GB2312" w:cs="仿宋_GB2312" w:eastAsia="仿宋_GB2312"/>
                      <w:sz w:val="19"/>
                      <w:color w:val="000000"/>
                    </w:rPr>
                    <w:t xml:space="preserve"> 3、储存投加系统（3台计量泵泵组(11L/min,10bar,0.25kW)，泵头材质要求：（PVC/PVDF），泵组含安全阀，背压阀，脉冲阻尼器，Y型过滤器，浮子流量计；▲</w:t>
                  </w:r>
                  <w:r>
                    <w:br/>
                  </w:r>
                  <w:r>
                    <w:rPr>
                      <w:rFonts w:ascii="仿宋_GB2312" w:hAnsi="仿宋_GB2312" w:cs="仿宋_GB2312" w:eastAsia="仿宋_GB2312"/>
                      <w:sz w:val="19"/>
                      <w:color w:val="000000"/>
                    </w:rPr>
                    <w:t xml:space="preserve"> 4、储药罐容积500L，高、中、低三液位输出，含排氢风机、氢气监测系统；</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2.1.9</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安防监控部分</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1、安防监控部分（包含4套》400万像素ICR红外阵列筒型网络摄像机、后端存储设备（4TB 监控专用 ），摄像机防护等级≥IP66；录像保存时间≥30天；▲</w:t>
                  </w:r>
                  <w:r>
                    <w:br/>
                  </w:r>
                  <w:r>
                    <w:rPr>
                      <w:rFonts w:ascii="仿宋_GB2312" w:hAnsi="仿宋_GB2312" w:cs="仿宋_GB2312" w:eastAsia="仿宋_GB2312"/>
                      <w:sz w:val="19"/>
                      <w:color w:val="000000"/>
                    </w:rPr>
                    <w:t xml:space="preserve"> 2、24寸显示器（24英寸，分辨率2560x1440，刷新率，100HZ）、配套电源；</w:t>
                  </w:r>
                  <w:r>
                    <w:br/>
                  </w:r>
                  <w:r>
                    <w:rPr>
                      <w:rFonts w:ascii="仿宋_GB2312" w:hAnsi="仿宋_GB2312" w:cs="仿宋_GB2312" w:eastAsia="仿宋_GB2312"/>
                      <w:sz w:val="19"/>
                      <w:color w:val="000000"/>
                    </w:rPr>
                    <w:t xml:space="preserve"> 3、交换机（8口千兆POE交换机，POE：72W）、设备箱、电源线等；</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2.1.10</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电气控制柜及仪表</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电气控制柜及仪表（双层控制柜（含照明、温控、插座），PLC、≥10寸触摸屏+手动/自动切换、电流电压检测、电子元器件。热继、防雷、欠压、相序、热熔器、隔离电源保护。含滤池、清水池液位仪表（输出:4~20mA 量程0-5m（可调），电源电压:24VDC 防护等级:≥IP65 测量误差:≤0.5%，通过RS485实现系统制水无人操作全自动控制。可根据制水系统运行情况，自动启动制水、加药、消毒及气水反冲洗；▲</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2.1.11</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水泵组</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1、自用水泵组（扬程≥16m，流量≥1m³/h，吸程≥8m、自动启停、缺水保护） 电机功率》0.37KW；▲</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2.1.12</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反冲洗控制软件</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反冲洗控制软件（水冲、混冲强度控制、反冲风机调度控制、气冲、混冲强度控制、反冲洗多水泵调度控制,可配置优先级、反冲洗水泵频率调整控制、反冲洗多风机调度控制,可配置优先级、根据冲洗效果自动调整气冲、混冲强度）；</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2.1.13</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水厂云管家</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1、水厂云管家（支持WEB端及移动端生产数据监测、水质监测、报警监控等功能，含一年物联网卡流量）；</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2.1.14</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排泥系统控制软件</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1、排泥系统控制软件（絮凝反应池，斜管沉淀池自动排泥、排泥周期、排泥时间，根据原水水质、水量和斜管沉淀池运行时间）；</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2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2.1.15</w:t>
                  </w:r>
                </w:p>
              </w:tc>
              <w:tc>
                <w:tcPr>
                  <w:tcW w:type="dxa" w:w="7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药剂投加控制软件</w:t>
                  </w:r>
                </w:p>
              </w:tc>
              <w:tc>
                <w:tcPr>
                  <w:tcW w:type="dxa" w:w="10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1、药剂投加控制软件（根据水质变化、水量，自动调节混凝剂最加投加量，以节省制水药耗）；▲</w:t>
                  </w:r>
                </w:p>
              </w:tc>
              <w:tc>
                <w:tcPr>
                  <w:tcW w:type="dxa" w:w="2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采购人要求地方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进度款，竣工验收合格后，达到付款条件起7个工作日内，支付合同总金额的50.0%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进度款，竣工结算审核定案，达到付款条件起7个工作日内，支付合同总金额的20.0%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现行的国家标准或国家行政部门颁布的法律法规、规章制度等，是项目验收的重要依据，采购人单位按照 国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保期2年，供应商承诺超过招标文件要的，按其承诺的质保期进行质保，质保期起始时间为终验合格之日。</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如采用投标人所不拥有的知识产权，则在投标报价中必须包括合法使用该知识产权的相关费用。</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报价要求:投标人在填报投标报价时应综合考虑以下各类价格组成内容，包括但不限于人工费、设备费(主材及辅材)、保险、利润、规费、税金、货物运至最终目的地的运输费、专用工具使用费、伴随货物交运的有关费用等与之相关的一切直接费、间接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供应商具有独立承担民事责任能力的法人、其他组织或自然人，提供有效营业执照/事业单 位法人证书/其他组织的有效证明文件/自然人的身份证明/民办非企业单位登记证书；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法定代表人证明书或法定代表人授权书及相关资料</w:t>
            </w:r>
          </w:p>
        </w:tc>
        <w:tc>
          <w:tcPr>
            <w:tcW w:type="dxa" w:w="3322"/>
          </w:tcPr>
          <w:p>
            <w:pPr>
              <w:pStyle w:val="null3"/>
            </w:pPr>
            <w:r>
              <w:rPr>
                <w:rFonts w:ascii="仿宋_GB2312" w:hAnsi="仿宋_GB2312" w:cs="仿宋_GB2312" w:eastAsia="仿宋_GB2312"/>
              </w:rPr>
              <w:t>法定代表人参加开标会议的，须出具法定代表人证明书及法定代表人合法有效的身份证扫描件；法定代表人授权他人参加开标会议的，须提供法定代表人授权委托书及被授权代表的身份证扫描件；</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资格承诺文件</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 有依法缴纳税收和社会保障金的良好记录，参加本项目采购活动前三年内无重大违法活动记录，未列入在信用中国网站“失信 被执行人”、“重大税收违法案件当事人名单”中，也未列入中国政府采购网“政府采购严重违法失信行为记录名单”中，提供加盖公章的《汉中市政府采购供应商资格承诺函》扫描件。</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投标文件是否按招标文件要求签署、盖章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投标文件报价有效及唯一性</w:t>
            </w:r>
          </w:p>
        </w:tc>
        <w:tc>
          <w:tcPr>
            <w:tcW w:type="dxa" w:w="3322"/>
          </w:tcPr>
          <w:p>
            <w:pPr>
              <w:pStyle w:val="null3"/>
            </w:pPr>
            <w:r>
              <w:rPr>
                <w:rFonts w:ascii="仿宋_GB2312" w:hAnsi="仿宋_GB2312" w:cs="仿宋_GB2312" w:eastAsia="仿宋_GB2312"/>
              </w:rPr>
              <w:t>投标文件报价唯一，且没有高于采购预算总价</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投标供应商的投标有效期符合招标文件的要求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投标保证金提交的金额、形式符合招标文件要求</w:t>
            </w:r>
          </w:p>
        </w:tc>
        <w:tc>
          <w:tcPr>
            <w:tcW w:type="dxa" w:w="1661"/>
          </w:tcPr>
          <w:p>
            <w:pPr>
              <w:pStyle w:val="null3"/>
            </w:pPr>
            <w:r>
              <w:rPr>
                <w:rFonts w:ascii="仿宋_GB2312" w:hAnsi="仿宋_GB2312" w:cs="仿宋_GB2312" w:eastAsia="仿宋_GB2312"/>
              </w:rPr>
              <w:t>投标保证金缴纳凭证复印件.docx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法定代表人证明书或法定代表人授权书的印鉴齐全</w:t>
            </w:r>
          </w:p>
        </w:tc>
        <w:tc>
          <w:tcPr>
            <w:tcW w:type="dxa" w:w="3322"/>
          </w:tcPr>
          <w:p>
            <w:pPr>
              <w:pStyle w:val="null3"/>
            </w:pPr>
            <w:r>
              <w:rPr>
                <w:rFonts w:ascii="仿宋_GB2312" w:hAnsi="仿宋_GB2312" w:cs="仿宋_GB2312" w:eastAsia="仿宋_GB2312"/>
              </w:rPr>
              <w:t>投标供应商法定代表人证明书或其法定代表人授权书的印鉴齐全</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投标文件是否含有招标人不能接受的附加条件或其他情形</w:t>
            </w:r>
          </w:p>
        </w:tc>
        <w:tc>
          <w:tcPr>
            <w:tcW w:type="dxa" w:w="3322"/>
          </w:tcPr>
          <w:p>
            <w:pPr>
              <w:pStyle w:val="null3"/>
            </w:pPr>
            <w:r>
              <w:rPr>
                <w:rFonts w:ascii="仿宋_GB2312" w:hAnsi="仿宋_GB2312" w:cs="仿宋_GB2312" w:eastAsia="仿宋_GB2312"/>
              </w:rPr>
              <w:t>投标文件未含有招标人不能接受的附加条件或其他情形</w:t>
            </w:r>
          </w:p>
        </w:tc>
        <w:tc>
          <w:tcPr>
            <w:tcW w:type="dxa" w:w="1661"/>
          </w:tcPr>
          <w:p>
            <w:pPr>
              <w:pStyle w:val="null3"/>
            </w:pPr>
            <w:r>
              <w:rPr>
                <w:rFonts w:ascii="仿宋_GB2312" w:hAnsi="仿宋_GB2312" w:cs="仿宋_GB2312" w:eastAsia="仿宋_GB2312"/>
              </w:rPr>
              <w:t>投标函 其他资料.docx 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投标人近3年（2023年1月1日至今）承担过类似项目业绩的，每提供1个得2分，最多得8分。（须提供成交通知书或中标通知书、合同协议书扫描合件，否则不得分。业绩时间以中标通知书或成交通知书时间为准）。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投标人提供有效期内的质量管理体系认证证书、环境管理体系认证证书、职业健康安全管理体系认证证书，每提供1个得,1分，最多得3分，未提供不计分。（提供认证证书扫描件并加盖公章，证书认证范围须包含水处理设备/净水设备生产或制造，范围不符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产品合规资质</w:t>
            </w:r>
          </w:p>
        </w:tc>
        <w:tc>
          <w:tcPr>
            <w:tcW w:type="dxa" w:w="2492"/>
          </w:tcPr>
          <w:p>
            <w:pPr>
              <w:pStyle w:val="null3"/>
            </w:pPr>
            <w:r>
              <w:rPr>
                <w:rFonts w:ascii="仿宋_GB2312" w:hAnsi="仿宋_GB2312" w:cs="仿宋_GB2312" w:eastAsia="仿宋_GB2312"/>
              </w:rPr>
              <w:t>投标人具有核心净水设备省级及以上有效的涉及饮用水卫生安全产品卫生许可批件得4分；投标人具有投标设备第三方权威检测机构出具的生活饮用水净化设备性能检测合格报告（含出水水质达标、处理能力、稳定性检测，每缺一项扣一分）得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满足采购文件要求的得20分。带“★”的重要技术参数须实质性响应不得出现负偏离。带“▲”为重要参数，每有1项负偏离扣0.5分，未提供相关证明资料，每项扣1分。评审依据：供应商提供相应的证明资料（包括但不限于检测报告、技术白皮书、产品彩页、厂家产品说明书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响应偏离表.docx</w:t>
            </w:r>
          </w:p>
        </w:tc>
      </w:tr>
      <w:tr>
        <w:tc>
          <w:tcPr>
            <w:tcW w:type="dxa" w:w="831"/>
            <w:vMerge/>
          </w:tcPr>
          <w:p/>
        </w:tc>
        <w:tc>
          <w:tcPr>
            <w:tcW w:type="dxa" w:w="1661"/>
          </w:tcPr>
          <w:p>
            <w:pPr>
              <w:pStyle w:val="null3"/>
            </w:pPr>
            <w:r>
              <w:rPr>
                <w:rFonts w:ascii="仿宋_GB2312" w:hAnsi="仿宋_GB2312" w:cs="仿宋_GB2312" w:eastAsia="仿宋_GB2312"/>
              </w:rPr>
              <w:t>产品技术专利与技术实力</w:t>
            </w:r>
          </w:p>
        </w:tc>
        <w:tc>
          <w:tcPr>
            <w:tcW w:type="dxa" w:w="2492"/>
          </w:tcPr>
          <w:p>
            <w:pPr>
              <w:pStyle w:val="null3"/>
            </w:pPr>
            <w:r>
              <w:rPr>
                <w:rFonts w:ascii="仿宋_GB2312" w:hAnsi="仿宋_GB2312" w:cs="仿宋_GB2312" w:eastAsia="仿宋_GB2312"/>
              </w:rPr>
              <w:t>投标人拥有与饮用水净化、水处理、水质消毒、净水设备结构优化相关的实用新型、发明专利，每提供一项有效专利得2分，最高得6分；投标人所投设备纳入水利部科技推广中心发布的《农村供水水质保障实用技术（产品）清单》内，每纳入一项得2分，最多得4分。（提供相关文件或官网查询截图+页面网址，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产品技术专利与技术实力.docx</w:t>
            </w:r>
          </w:p>
        </w:tc>
      </w:tr>
      <w:tr>
        <w:tc>
          <w:tcPr>
            <w:tcW w:type="dxa" w:w="831"/>
            <w:vMerge/>
          </w:tcPr>
          <w:p/>
        </w:tc>
        <w:tc>
          <w:tcPr>
            <w:tcW w:type="dxa" w:w="1661"/>
          </w:tcPr>
          <w:p>
            <w:pPr>
              <w:pStyle w:val="null3"/>
            </w:pPr>
            <w:r>
              <w:rPr>
                <w:rFonts w:ascii="仿宋_GB2312" w:hAnsi="仿宋_GB2312" w:cs="仿宋_GB2312" w:eastAsia="仿宋_GB2312"/>
              </w:rPr>
              <w:t>质保承诺</w:t>
            </w:r>
          </w:p>
        </w:tc>
        <w:tc>
          <w:tcPr>
            <w:tcW w:type="dxa" w:w="2492"/>
          </w:tcPr>
          <w:p>
            <w:pPr>
              <w:pStyle w:val="null3"/>
            </w:pPr>
            <w:r>
              <w:rPr>
                <w:rFonts w:ascii="仿宋_GB2312" w:hAnsi="仿宋_GB2312" w:cs="仿宋_GB2312" w:eastAsia="仿宋_GB2312"/>
              </w:rPr>
              <w:t>投标人承诺在满足招标文件质保期的基础上，主要设备及核心部件每增加0.5年质保（提供书面《承诺函》(格式不限)），加1分，最多加2分；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投标人针对本项目的售后服务方案，包括但不限于：①质保服务 ② 响应及到场时间③ 备品备件④安装调试⑤培训服务⑥故障应急处置预案，内容完整全面，对上述各项内容均有详细描述且合理每项得1分；内容基本完整全面，上述各项内容每一项扣0.3分；内容不完整、不合理或完全背离评审标准每项扣0.5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详细评审响应方案.docx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实施方案，包括但不限于：①项目整体目标②运输方案③安装调试方案④人员培训方案，方案思路清晰、分析透彻，内容完整、科学合理每项得1.5分；方案贴合项目实际情况，内容基本合理每项扣0.5分；方案不完整、可实施性不强、针对性不强或完全背离评审标准得每项扣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详细评审响应方案.docx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对本项目的进度保障方案，包括但不限于：①进度计划②应急保障措施，方案内容完整全面，对上述各项内容均有详细描述及说明得2分；方案内容基本完整合理每项扣0.5分；方案不完整、不合理或完全背离评审标准每项扣1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详细评审响应方案.docx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针对本项目质量保证方案，包括但不限于①提供的设备供货渠道正规、技术资料齐全②保证所投设备无水货、假货、翻新货、无不良市场反馈③检验检测手续合法有效且无产权纠纷④并提供设备来源的合法证明文件（包括但不限于销售协议、代理协议、厂家授权等），方案内容全面完整，所提供的证明材料齐全每项得1分；方案内容基本完整，所提供的证明材料不够齐全每项扣0.3分；方案不完整、不合理或完全背离评审标准每项扣0.5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价格分采用低价优先法计算，即满足招标文件要求最低的投标报价为评审基准价，其价格分为满分，其他响应人的价格分统一按照下列公式计算： 1.不享有政策优惠条件的投标供应商报价得分=（评审基准价/报价）×30 注：本项目为专门面向中小企业采购的项目，因此不在执行价格评审优惠扶持政策。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详见附件：投标保证金缴纳凭证复印件.docx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详见附件：产品技术专利与技术实力.docx</w:t>
      </w:r>
    </w:p>
    <w:p>
      <w:pPr>
        <w:pStyle w:val="null3"/>
        <w:ind w:firstLine="960"/>
      </w:pPr>
      <w:r>
        <w:rPr>
          <w:rFonts w:ascii="仿宋_GB2312" w:hAnsi="仿宋_GB2312" w:cs="仿宋_GB2312" w:eastAsia="仿宋_GB2312"/>
        </w:rPr>
        <w:t>详见附件：详细评审响应方案.docx</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