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06758">
      <w:pPr>
        <w:pStyle w:val="4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49F9DDB3">
      <w:pPr>
        <w:pStyle w:val="4"/>
        <w:jc w:val="left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供应商可根据</w:t>
      </w:r>
      <w:r>
        <w:rPr>
          <w:rFonts w:hint="eastAsia"/>
          <w:b/>
          <w:bCs/>
          <w:sz w:val="36"/>
          <w:szCs w:val="36"/>
          <w:lang w:val="en-US" w:eastAsia="zh-CN"/>
        </w:rPr>
        <w:t>评审标准</w:t>
      </w:r>
      <w:r>
        <w:rPr>
          <w:rFonts w:hint="eastAsia"/>
          <w:b/>
          <w:bCs/>
          <w:sz w:val="36"/>
          <w:szCs w:val="36"/>
        </w:rPr>
        <w:t>自行编写，格式不限。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包括但不限于实施方案、质量保证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、售后服务方案、培训方案、节能环保等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645C1"/>
    <w:rsid w:val="27FF0929"/>
    <w:rsid w:val="698645C1"/>
    <w:rsid w:val="7769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1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2026-05-26T06:42:00Z</dcterms:created>
  <dc:creator>Arian</dc:creator>
  <cp:lastModifiedBy>十五</cp:lastModifiedBy>
  <dcterms:modified xsi:type="dcterms:W3CDTF">2026-08-25T11:48:01Z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A50737F8955646F4BDF5653107E966AC_11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