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版本号：SDZC2026-04620260509001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三原县2026年小麦“一喷三防”项目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SDZC2026-046</w:t>
      </w:r>
      <w:r>
        <w:br/>
      </w:r>
      <w:r>
        <w:br/>
      </w:r>
      <w:r>
        <w:br/>
      </w:r>
    </w:p>
    <w:p>
      <w:pPr>
        <w:pStyle w:val="null3"/>
        <w:jc w:val="center"/>
        <w:outlineLvl w:val="2"/>
      </w:pPr>
      <w:r>
        <w:rPr>
          <w:rFonts w:ascii="仿宋_GB2312" w:hAnsi="仿宋_GB2312" w:cs="仿宋_GB2312" w:eastAsia="仿宋_GB2312"/>
          <w:sz w:val="28"/>
          <w:b/>
        </w:rPr>
        <w:t>三原县农业科学技术中心</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三原县农业科学技术中心</w:t>
      </w:r>
      <w:r>
        <w:rPr>
          <w:rFonts w:ascii="仿宋_GB2312" w:hAnsi="仿宋_GB2312" w:cs="仿宋_GB2312" w:eastAsia="仿宋_GB2312"/>
        </w:rPr>
        <w:t>委托，拟对</w:t>
      </w:r>
      <w:r>
        <w:rPr>
          <w:rFonts w:ascii="仿宋_GB2312" w:hAnsi="仿宋_GB2312" w:cs="仿宋_GB2312" w:eastAsia="仿宋_GB2312"/>
        </w:rPr>
        <w:t>三原县2026年小麦“一喷三防”项目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SDZC2026-046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三原县2026年小麦“一喷三防”项目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小麦“一喷三防”药剂（杀菌剂、杀虫剂）采购及“一喷三防”统防示范区建设。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采购包1（三原县2026年小麦“一喷三防”项目）：属于专门面向中小企业采购。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1、提供供应商合法注册的法人或其他组织的营业执照等证明文件或自然人的身份证明：提供供应商合法注册的法人或其他组织的营业执照等证明文件或自然人的身份证明；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审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p>
      <w:pPr>
        <w:pStyle w:val="null3"/>
      </w:pPr>
      <w:r>
        <w:rPr>
          <w:rFonts w:ascii="仿宋_GB2312" w:hAnsi="仿宋_GB2312" w:cs="仿宋_GB2312" w:eastAsia="仿宋_GB2312"/>
        </w:rPr>
        <w:t>8、药剂资质：供应商具有农药经营许可证，并提供所投药剂生产厂家合法有效的农药登记证、农药生产许可证、农药质量标准证；</w:t>
      </w:r>
    </w:p>
    <w:p>
      <w:pPr>
        <w:pStyle w:val="null3"/>
      </w:pPr>
      <w:r>
        <w:rPr>
          <w:rFonts w:ascii="仿宋_GB2312" w:hAnsi="仿宋_GB2312" w:cs="仿宋_GB2312" w:eastAsia="仿宋_GB2312"/>
        </w:rPr>
        <w:t>9、飞防作业资质：供应商具有民用无人驾驶航空器经营许可证或民用无人驾驶航空器运营合格证；</w:t>
      </w:r>
    </w:p>
    <w:p>
      <w:pPr>
        <w:pStyle w:val="null3"/>
      </w:pPr>
      <w:r>
        <w:rPr>
          <w:rFonts w:ascii="仿宋_GB2312" w:hAnsi="仿宋_GB2312" w:cs="仿宋_GB2312" w:eastAsia="仿宋_GB2312"/>
        </w:rPr>
        <w:t>10、信用查询：不得为“信用中国”网站(http://www.creditchina.gov.cn)列入“失信被执行人（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磋商截止日当天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11、控股关系：单位负责人为同一人或者存在直接控股、管理关系的不同供应商，不得参加同一合同项下的政府采购活动（根据财库【2019】38号文规定，此项在磋商截止日当天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三原县农业科学技术中心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三原县东一路中段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029-32261009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曹幸（3号工位）、姚文霄、魏蕾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029-86673953、86518381、89299829、89293231 转803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采购包1：1,517,000.00元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收费标准参照原《国家计委关于印发&lt;招标代理服务收费管理暂行办法&gt;的通知》(计价格〔2002〕1980号)、《国家发展改革委关于降低部分建设项目收费标准规范收费行为等有关问题的通知》(发改价格〔2011〕534号)规定执行。 汇款账户：1.开户行名称：陕西上德招标有限公司 2.开 户 行：西安银行股份有限公司文景路支行 3.账 号：7070 1151 0000 0135 22 财务部联系方式：029-86673953、86518381、89299829、89293231 转813、814 备注：供应商在汇款（招标代理服务费）时须注明项目编号+项目简称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三原县农业科学技术中心</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三原县农业科学技术中心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联系人：曹幸（3号工位）、魏蕾、姚文霄</w:t>
      </w:r>
    </w:p>
    <w:p>
      <w:pPr>
        <w:pStyle w:val="null3"/>
      </w:pPr>
      <w:r>
        <w:rPr>
          <w:rFonts w:ascii="仿宋_GB2312" w:hAnsi="仿宋_GB2312" w:cs="仿宋_GB2312" w:eastAsia="仿宋_GB2312"/>
        </w:rPr>
        <w:t>联系电话：029-86673953、86518381、89299829、89293231 转803</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color w:val="0000FF"/>
        </w:rPr>
        <w:t>覆盖全县小麦播种面积</w:t>
      </w:r>
      <w:r>
        <w:rPr>
          <w:rFonts w:ascii="仿宋_GB2312" w:hAnsi="仿宋_GB2312" w:cs="仿宋_GB2312" w:eastAsia="仿宋_GB2312"/>
          <w:sz w:val="24"/>
          <w:color w:val="0000FF"/>
        </w:rPr>
        <w:t>33.5万亩。</w:t>
      </w:r>
      <w:r>
        <w:rPr>
          <w:rFonts w:ascii="仿宋_GB2312" w:hAnsi="仿宋_GB2312" w:cs="仿宋_GB2312" w:eastAsia="仿宋_GB2312"/>
          <w:sz w:val="24"/>
          <w:color w:val="0000FF"/>
        </w:rPr>
        <w:t>结合我县小麦生产实际情况，拟对小麦</w:t>
      </w:r>
      <w:r>
        <w:rPr>
          <w:rFonts w:ascii="仿宋_GB2312" w:hAnsi="仿宋_GB2312" w:cs="仿宋_GB2312" w:eastAsia="仿宋_GB2312"/>
          <w:sz w:val="24"/>
          <w:color w:val="0000FF"/>
        </w:rPr>
        <w:t>“一喷三防”物化补助和统防统治示范作业按照政府采购有关规定，统一招标采购实施。</w:t>
      </w:r>
      <w:r>
        <w:rPr>
          <w:rFonts w:ascii="仿宋_GB2312" w:hAnsi="仿宋_GB2312" w:cs="仿宋_GB2312" w:eastAsia="仿宋_GB2312"/>
          <w:sz w:val="24"/>
          <w:color w:val="0000FF"/>
        </w:rPr>
        <w:t>补助对象为实施小麦</w:t>
      </w:r>
      <w:r>
        <w:rPr>
          <w:rFonts w:ascii="仿宋_GB2312" w:hAnsi="仿宋_GB2312" w:cs="仿宋_GB2312" w:eastAsia="仿宋_GB2312"/>
          <w:sz w:val="24"/>
          <w:color w:val="0000FF"/>
        </w:rPr>
        <w:t>“一喷三防”的农民（含种粮大户、家庭农场）、农民专业合作社等新型新型农业经营主体；重点对县域</w:t>
      </w:r>
      <w:r>
        <w:rPr>
          <w:rFonts w:ascii="仿宋_GB2312" w:hAnsi="仿宋_GB2312" w:cs="仿宋_GB2312" w:eastAsia="仿宋_GB2312"/>
          <w:sz w:val="24"/>
          <w:color w:val="0000FF"/>
        </w:rPr>
        <w:t>15家村级植保员病虫害监测点田块，部分具代表性的种植经营主体病虫害常发重发田块进行植保无人机统防作业</w:t>
      </w:r>
      <w:r>
        <w:rPr>
          <w:rFonts w:ascii="仿宋_GB2312" w:hAnsi="仿宋_GB2312" w:cs="仿宋_GB2312" w:eastAsia="仿宋_GB2312"/>
          <w:sz w:val="24"/>
          <w:color w:val="0000FF"/>
        </w:rPr>
        <w:t>（含杀虫剂、杀菌剂、叶面肥、芸苔素内酯、沉降剂及作业服务费）。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1,517,000.00</w:t>
      </w:r>
    </w:p>
    <w:p>
      <w:pPr>
        <w:pStyle w:val="null3"/>
      </w:pPr>
      <w:r>
        <w:rPr>
          <w:rFonts w:ascii="仿宋_GB2312" w:hAnsi="仿宋_GB2312" w:cs="仿宋_GB2312" w:eastAsia="仿宋_GB2312"/>
        </w:rPr>
        <w:t>采购包最高限价（元）: 1,517,000.00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防控药剂</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1,017,000.00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飞防示范作业</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标的名称：防控药剂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color w:val="0000FF"/>
              </w:rPr>
              <w:t>采购内容</w:t>
            </w:r>
          </w:p>
          <w:tbl>
            <w:tblPr>
              <w:tblBorders>
                <w:top w:val="none" w:color="000000" w:sz="4"/>
                <w:left w:val="none" w:color="000000" w:sz="4"/>
                <w:bottom w:val="none" w:color="000000" w:sz="4"/>
                <w:right w:val="none" w:color="000000" w:sz="4"/>
                <w:insideH w:val="none"/>
                <w:insideV w:val="none"/>
              </w:tblBorders>
            </w:tblPr>
            <w:tblGrid>
              <w:gridCol w:w="349"/>
              <w:gridCol w:w="1119"/>
              <w:gridCol w:w="363"/>
              <w:gridCol w:w="709"/>
            </w:tblGrid>
            <w:tr>
              <w:tc>
                <w:tcPr>
                  <w:tcW w:type="dxa" w:w="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名称</w:t>
                  </w:r>
                </w:p>
              </w:tc>
              <w:tc>
                <w:tcPr>
                  <w:tcW w:type="dxa" w:w="11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规格及技术要求</w:t>
                  </w:r>
                </w:p>
              </w:tc>
              <w:tc>
                <w:tcPr>
                  <w:tcW w:type="dxa" w:w="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数量</w:t>
                  </w:r>
                </w:p>
              </w:tc>
              <w:tc>
                <w:tcPr>
                  <w:tcW w:type="dxa" w:w="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备注</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防控药剂：</w:t>
                  </w:r>
                  <w:r>
                    <w:rPr>
                      <w:rFonts w:ascii="仿宋_GB2312" w:hAnsi="仿宋_GB2312" w:cs="仿宋_GB2312" w:eastAsia="仿宋_GB2312"/>
                      <w:sz w:val="24"/>
                      <w:color w:val="0000FF"/>
                    </w:rPr>
                    <w:t>杀虫剂</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杀虫剂</w:t>
                  </w:r>
                  <w:r>
                    <w:rPr>
                      <w:rFonts w:ascii="仿宋_GB2312" w:hAnsi="仿宋_GB2312" w:cs="仿宋_GB2312" w:eastAsia="仿宋_GB2312"/>
                      <w:sz w:val="24"/>
                      <w:color w:val="0000FF"/>
                    </w:rPr>
                    <w:t>10%联苯·噻虫胺</w:t>
                  </w:r>
                  <w:r>
                    <w:rPr>
                      <w:rFonts w:ascii="仿宋_GB2312" w:hAnsi="仿宋_GB2312" w:cs="仿宋_GB2312" w:eastAsia="仿宋_GB2312"/>
                      <w:sz w:val="24"/>
                      <w:color w:val="0000FF"/>
                    </w:rPr>
                    <w:t>悬浮剂</w:t>
                  </w:r>
                  <w:r>
                    <w:rPr>
                      <w:rFonts w:ascii="仿宋_GB2312" w:hAnsi="仿宋_GB2312" w:cs="仿宋_GB2312" w:eastAsia="仿宋_GB2312"/>
                      <w:sz w:val="24"/>
                      <w:color w:val="0000FF"/>
                    </w:rPr>
                    <w:t>，</w:t>
                  </w:r>
                  <w:r>
                    <w:rPr>
                      <w:rFonts w:ascii="仿宋_GB2312" w:hAnsi="仿宋_GB2312" w:cs="仿宋_GB2312" w:eastAsia="仿宋_GB2312"/>
                      <w:sz w:val="24"/>
                      <w:color w:val="0000FF"/>
                    </w:rPr>
                    <w:t>100</w:t>
                  </w:r>
                  <w:r>
                    <w:rPr>
                      <w:rFonts w:ascii="仿宋_GB2312" w:hAnsi="仿宋_GB2312" w:cs="仿宋_GB2312" w:eastAsia="仿宋_GB2312"/>
                      <w:sz w:val="24"/>
                      <w:color w:val="0000FF"/>
                    </w:rPr>
                    <w:t>ml</w:t>
                  </w:r>
                  <w:r>
                    <w:rPr>
                      <w:rFonts w:ascii="仿宋_GB2312" w:hAnsi="仿宋_GB2312" w:cs="仿宋_GB2312" w:eastAsia="仿宋_GB2312"/>
                      <w:sz w:val="24"/>
                      <w:color w:val="0000FF"/>
                    </w:rPr>
                    <w:t>/瓶，25</w:t>
                  </w:r>
                  <w:r>
                    <w:rPr>
                      <w:rFonts w:ascii="仿宋_GB2312" w:hAnsi="仿宋_GB2312" w:cs="仿宋_GB2312" w:eastAsia="仿宋_GB2312"/>
                      <w:sz w:val="24"/>
                      <w:color w:val="0000FF"/>
                    </w:rPr>
                    <w:t>ml/亩。</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77500瓶</w:t>
                  </w:r>
                </w:p>
              </w:tc>
              <w:tc>
                <w:tcPr>
                  <w:tcW w:type="dxa" w:w="7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供应药剂共</w:t>
                  </w:r>
                  <w:r>
                    <w:rPr>
                      <w:rFonts w:ascii="仿宋_GB2312" w:hAnsi="仿宋_GB2312" w:cs="仿宋_GB2312" w:eastAsia="仿宋_GB2312"/>
                      <w:sz w:val="24"/>
                      <w:color w:val="0000FF"/>
                    </w:rPr>
                    <w:t>155000瓶，实施面</w:t>
                  </w:r>
                  <w:r>
                    <w:rPr>
                      <w:rFonts w:ascii="仿宋_GB2312" w:hAnsi="仿宋_GB2312" w:cs="仿宋_GB2312" w:eastAsia="仿宋_GB2312"/>
                      <w:sz w:val="24"/>
                      <w:color w:val="0000FF"/>
                    </w:rPr>
                    <w:t>积</w:t>
                  </w:r>
                  <w:r>
                    <w:rPr>
                      <w:rFonts w:ascii="仿宋_GB2312" w:hAnsi="仿宋_GB2312" w:cs="仿宋_GB2312" w:eastAsia="仿宋_GB2312"/>
                      <w:sz w:val="24"/>
                      <w:color w:val="0000FF"/>
                    </w:rPr>
                    <w:t>31万亩，统一发放。所有药剂符合国家标准。</w:t>
                  </w:r>
                </w:p>
                <w:p>
                  <w:pPr>
                    <w:pStyle w:val="null3"/>
                    <w:jc w:val="both"/>
                  </w:pPr>
                  <w:r>
                    <w:rPr>
                      <w:rFonts w:ascii="仿宋_GB2312" w:hAnsi="仿宋_GB2312" w:cs="仿宋_GB2312" w:eastAsia="仿宋_GB2312"/>
                      <w:sz w:val="24"/>
                      <w:color w:val="0000FF"/>
                    </w:rPr>
                    <w:t>防控药剂总价为</w:t>
                  </w:r>
                  <w:r>
                    <w:rPr>
                      <w:rFonts w:ascii="仿宋_GB2312" w:hAnsi="仿宋_GB2312" w:cs="仿宋_GB2312" w:eastAsia="仿宋_GB2312"/>
                      <w:sz w:val="24"/>
                      <w:color w:val="0000FF"/>
                    </w:rPr>
                    <w:t>1017000.00元，报价不得超过该项总价。</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防控药剂：</w:t>
                  </w:r>
                  <w:r>
                    <w:rPr>
                      <w:rFonts w:ascii="仿宋_GB2312" w:hAnsi="仿宋_GB2312" w:cs="仿宋_GB2312" w:eastAsia="仿宋_GB2312"/>
                      <w:sz w:val="24"/>
                      <w:color w:val="0000FF"/>
                    </w:rPr>
                    <w:t>杀菌剂</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杀菌剂</w:t>
                  </w:r>
                  <w:r>
                    <w:rPr>
                      <w:rFonts w:ascii="仿宋_GB2312" w:hAnsi="仿宋_GB2312" w:cs="仿宋_GB2312" w:eastAsia="仿宋_GB2312"/>
                      <w:sz w:val="24"/>
                      <w:color w:val="0000FF"/>
                    </w:rPr>
                    <w:t>40%丙硫</w:t>
                  </w:r>
                  <w:r>
                    <w:rPr>
                      <w:rFonts w:ascii="仿宋_GB2312" w:hAnsi="仿宋_GB2312" w:cs="仿宋_GB2312" w:eastAsia="仿宋_GB2312"/>
                      <w:sz w:val="24"/>
                      <w:color w:val="0000FF"/>
                    </w:rPr>
                    <w:t>·</w:t>
                  </w:r>
                  <w:r>
                    <w:rPr>
                      <w:rFonts w:ascii="仿宋_GB2312" w:hAnsi="仿宋_GB2312" w:cs="仿宋_GB2312" w:eastAsia="仿宋_GB2312"/>
                      <w:sz w:val="24"/>
                      <w:color w:val="0000FF"/>
                    </w:rPr>
                    <w:t>戊唑醇悬浮剂，</w:t>
                  </w:r>
                  <w:r>
                    <w:rPr>
                      <w:rFonts w:ascii="仿宋_GB2312" w:hAnsi="仿宋_GB2312" w:cs="仿宋_GB2312" w:eastAsia="仿宋_GB2312"/>
                      <w:sz w:val="24"/>
                      <w:color w:val="0000FF"/>
                    </w:rPr>
                    <w:t>100</w:t>
                  </w:r>
                  <w:r>
                    <w:rPr>
                      <w:rFonts w:ascii="仿宋_GB2312" w:hAnsi="仿宋_GB2312" w:cs="仿宋_GB2312" w:eastAsia="仿宋_GB2312"/>
                      <w:sz w:val="24"/>
                      <w:color w:val="0000FF"/>
                    </w:rPr>
                    <w:t>ml</w:t>
                  </w:r>
                  <w:r>
                    <w:rPr>
                      <w:rFonts w:ascii="仿宋_GB2312" w:hAnsi="仿宋_GB2312" w:cs="仿宋_GB2312" w:eastAsia="仿宋_GB2312"/>
                      <w:sz w:val="24"/>
                      <w:color w:val="0000FF"/>
                    </w:rPr>
                    <w:t>/瓶，25</w:t>
                  </w:r>
                  <w:r>
                    <w:rPr>
                      <w:rFonts w:ascii="仿宋_GB2312" w:hAnsi="仿宋_GB2312" w:cs="仿宋_GB2312" w:eastAsia="仿宋_GB2312"/>
                      <w:sz w:val="24"/>
                      <w:color w:val="0000FF"/>
                    </w:rPr>
                    <w:t>ml/亩。</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77500瓶</w:t>
                  </w:r>
                </w:p>
              </w:tc>
              <w:tc>
                <w:tcPr>
                  <w:tcW w:type="dxa" w:w="709"/>
                  <w:vMerge/>
                  <w:tcBorders>
                    <w:top w:val="none" w:color="000000" w:sz="4"/>
                    <w:left w:val="single" w:color="000000" w:sz="4"/>
                    <w:bottom w:val="single" w:color="000000" w:sz="4"/>
                    <w:right w:val="single" w:color="000000" w:sz="4"/>
                  </w:tcBorders>
                </w:tcPr>
                <w:p/>
              </w:tc>
            </w:tr>
          </w:tbl>
          <w:p>
            <w:pPr>
              <w:pStyle w:val="null3"/>
              <w:jc w:val="both"/>
            </w:pPr>
            <w:r>
              <w:rPr>
                <w:rFonts w:ascii="仿宋_GB2312" w:hAnsi="仿宋_GB2312" w:cs="仿宋_GB2312" w:eastAsia="仿宋_GB2312"/>
                <w:sz w:val="24"/>
                <w:b/>
                <w:color w:val="0000FF"/>
              </w:rPr>
              <w:t>注：本项目核心产品为</w:t>
            </w:r>
            <w:r>
              <w:rPr>
                <w:rFonts w:ascii="仿宋_GB2312" w:hAnsi="仿宋_GB2312" w:cs="仿宋_GB2312" w:eastAsia="仿宋_GB2312"/>
                <w:sz w:val="24"/>
                <w:b/>
                <w:color w:val="0000FF"/>
              </w:rPr>
              <w:t>“杀虫剂 10%联苯·噻虫胺悬浮剂”、“杀菌剂40%丙硫·戊唑醇悬浮剂”</w:t>
            </w:r>
            <w:r>
              <w:rPr>
                <w:rFonts w:ascii="仿宋_GB2312" w:hAnsi="仿宋_GB2312" w:cs="仿宋_GB2312" w:eastAsia="仿宋_GB2312"/>
                <w:sz w:val="24"/>
                <w:b/>
                <w:color w:val="0000FF"/>
              </w:rPr>
              <w:t>。</w:t>
            </w:r>
          </w:p>
          <w:p>
            <w:pPr>
              <w:pStyle w:val="null3"/>
              <w:jc w:val="both"/>
            </w:pPr>
          </w:p>
        </w:tc>
      </w:tr>
    </w:tbl>
    <w:p>
      <w:pPr>
        <w:pStyle w:val="null3"/>
      </w:pPr>
      <w:r>
        <w:rPr>
          <w:rFonts w:ascii="仿宋_GB2312" w:hAnsi="仿宋_GB2312" w:cs="仿宋_GB2312" w:eastAsia="仿宋_GB2312"/>
        </w:rPr>
        <w:t>标的名称：飞防示范作业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color w:val="0000FF"/>
              </w:rPr>
              <w:t>采购内容</w:t>
            </w:r>
          </w:p>
          <w:tbl>
            <w:tblPr>
              <w:tblBorders>
                <w:top w:val="none" w:color="000000" w:sz="4"/>
                <w:left w:val="none" w:color="000000" w:sz="4"/>
                <w:bottom w:val="none" w:color="000000" w:sz="4"/>
                <w:right w:val="none" w:color="000000" w:sz="4"/>
                <w:insideH w:val="none"/>
                <w:insideV w:val="none"/>
              </w:tblBorders>
            </w:tblPr>
            <w:tblGrid>
              <w:gridCol w:w="276"/>
              <w:gridCol w:w="1197"/>
              <w:gridCol w:w="364"/>
              <w:gridCol w:w="710"/>
            </w:tblGrid>
            <w:tr>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名称</w:t>
                  </w:r>
                </w:p>
              </w:tc>
              <w:tc>
                <w:tcPr>
                  <w:tcW w:type="dxa" w:w="1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规格及技术要求</w:t>
                  </w:r>
                </w:p>
              </w:tc>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数量</w:t>
                  </w:r>
                </w:p>
              </w:tc>
              <w:tc>
                <w:tcPr>
                  <w:tcW w:type="dxa" w:w="7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备注</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飞防示范作业</w:t>
                  </w:r>
                </w:p>
              </w:tc>
              <w:tc>
                <w:tcPr>
                  <w:tcW w:type="dxa" w:w="1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FF"/>
                    </w:rPr>
                    <w:t>药剂方案：</w:t>
                  </w:r>
                  <w:r>
                    <w:rPr>
                      <w:rFonts w:ascii="仿宋_GB2312" w:hAnsi="仿宋_GB2312" w:cs="仿宋_GB2312" w:eastAsia="仿宋_GB2312"/>
                      <w:sz w:val="24"/>
                      <w:color w:val="0000FF"/>
                    </w:rPr>
                    <w:t>10%联苯·噻虫胺25</w:t>
                  </w:r>
                  <w:r>
                    <w:rPr>
                      <w:rFonts w:ascii="仿宋_GB2312" w:hAnsi="仿宋_GB2312" w:cs="仿宋_GB2312" w:eastAsia="仿宋_GB2312"/>
                      <w:sz w:val="24"/>
                      <w:color w:val="0000FF"/>
                    </w:rPr>
                    <w:t>ml</w:t>
                  </w:r>
                  <w:r>
                    <w:rPr>
                      <w:rFonts w:ascii="仿宋_GB2312" w:hAnsi="仿宋_GB2312" w:cs="仿宋_GB2312" w:eastAsia="仿宋_GB2312"/>
                      <w:sz w:val="24"/>
                      <w:color w:val="0000FF"/>
                    </w:rPr>
                    <w:t>/</w:t>
                  </w:r>
                  <w:r>
                    <w:rPr>
                      <w:rFonts w:ascii="仿宋_GB2312" w:hAnsi="仿宋_GB2312" w:cs="仿宋_GB2312" w:eastAsia="仿宋_GB2312"/>
                      <w:sz w:val="24"/>
                      <w:color w:val="0000FF"/>
                    </w:rPr>
                    <w:t>亩</w:t>
                  </w:r>
                  <w:r>
                    <w:rPr>
                      <w:rFonts w:ascii="仿宋_GB2312" w:hAnsi="仿宋_GB2312" w:cs="仿宋_GB2312" w:eastAsia="仿宋_GB2312"/>
                      <w:sz w:val="24"/>
                      <w:color w:val="0000FF"/>
                    </w:rPr>
                    <w:t>+</w:t>
                  </w:r>
                  <w:r>
                    <w:rPr>
                      <w:rFonts w:ascii="仿宋_GB2312" w:hAnsi="仿宋_GB2312" w:cs="仿宋_GB2312" w:eastAsia="仿宋_GB2312"/>
                      <w:sz w:val="24"/>
                      <w:color w:val="0000FF"/>
                    </w:rPr>
                    <w:t>40%丙硫·</w:t>
                  </w:r>
                  <w:r>
                    <w:rPr>
                      <w:rFonts w:ascii="仿宋_GB2312" w:hAnsi="仿宋_GB2312" w:cs="仿宋_GB2312" w:eastAsia="仿宋_GB2312"/>
                      <w:sz w:val="24"/>
                      <w:color w:val="0000FF"/>
                    </w:rPr>
                    <w:t>戊唑醇</w:t>
                  </w:r>
                  <w:r>
                    <w:rPr>
                      <w:rFonts w:ascii="仿宋_GB2312" w:hAnsi="仿宋_GB2312" w:cs="仿宋_GB2312" w:eastAsia="仿宋_GB2312"/>
                      <w:sz w:val="24"/>
                      <w:color w:val="0000FF"/>
                    </w:rPr>
                    <w:t>40</w:t>
                  </w:r>
                  <w:r>
                    <w:rPr>
                      <w:rFonts w:ascii="仿宋_GB2312" w:hAnsi="仿宋_GB2312" w:cs="仿宋_GB2312" w:eastAsia="仿宋_GB2312"/>
                      <w:sz w:val="24"/>
                      <w:color w:val="0000FF"/>
                    </w:rPr>
                    <w:t>ml</w:t>
                  </w:r>
                  <w:r>
                    <w:rPr>
                      <w:rFonts w:ascii="仿宋_GB2312" w:hAnsi="仿宋_GB2312" w:cs="仿宋_GB2312" w:eastAsia="仿宋_GB2312"/>
                      <w:sz w:val="24"/>
                      <w:color w:val="0000FF"/>
                    </w:rPr>
                    <w:t>/</w:t>
                  </w:r>
                  <w:r>
                    <w:rPr>
                      <w:rFonts w:ascii="仿宋_GB2312" w:hAnsi="仿宋_GB2312" w:cs="仿宋_GB2312" w:eastAsia="仿宋_GB2312"/>
                      <w:sz w:val="24"/>
                      <w:color w:val="0000FF"/>
                    </w:rPr>
                    <w:t>亩</w:t>
                  </w:r>
                  <w:r>
                    <w:rPr>
                      <w:rFonts w:ascii="仿宋_GB2312" w:hAnsi="仿宋_GB2312" w:cs="仿宋_GB2312" w:eastAsia="仿宋_GB2312"/>
                      <w:sz w:val="24"/>
                      <w:color w:val="0000FF"/>
                    </w:rPr>
                    <w:t>+98%磷酸二氢钾100克/亩+0.01%芸苔素内酯10克/亩+沉降剂10克/亩。</w:t>
                  </w:r>
                </w:p>
                <w:p>
                  <w:pPr>
                    <w:pStyle w:val="null3"/>
                    <w:jc w:val="both"/>
                  </w:pPr>
                  <w:r>
                    <w:rPr>
                      <w:rFonts w:ascii="仿宋_GB2312" w:hAnsi="仿宋_GB2312" w:cs="仿宋_GB2312" w:eastAsia="仿宋_GB2312"/>
                      <w:sz w:val="24"/>
                      <w:b/>
                      <w:color w:val="0000FF"/>
                    </w:rPr>
                    <w:t>标准</w:t>
                  </w:r>
                  <w:r>
                    <w:rPr>
                      <w:rFonts w:ascii="仿宋_GB2312" w:hAnsi="仿宋_GB2312" w:cs="仿宋_GB2312" w:eastAsia="仿宋_GB2312"/>
                      <w:sz w:val="24"/>
                      <w:b/>
                      <w:color w:val="0000FF"/>
                    </w:rPr>
                    <w:t>要求</w:t>
                  </w:r>
                  <w:r>
                    <w:rPr>
                      <w:rFonts w:ascii="仿宋_GB2312" w:hAnsi="仿宋_GB2312" w:cs="仿宋_GB2312" w:eastAsia="仿宋_GB2312"/>
                      <w:sz w:val="24"/>
                      <w:b/>
                      <w:color w:val="0000FF"/>
                    </w:rPr>
                    <w:t>：</w:t>
                  </w:r>
                  <w:r>
                    <w:rPr>
                      <w:rFonts w:ascii="仿宋_GB2312" w:hAnsi="仿宋_GB2312" w:cs="仿宋_GB2312" w:eastAsia="仿宋_GB2312"/>
                      <w:sz w:val="24"/>
                      <w:color w:val="0000FF"/>
                    </w:rPr>
                    <w:t>飞防作业组织具备作业资质，严格作业规范，达到防治要求。</w:t>
                  </w:r>
                  <w:r>
                    <w:rPr>
                      <w:rFonts w:ascii="仿宋_GB2312" w:hAnsi="仿宋_GB2312" w:cs="仿宋_GB2312" w:eastAsia="仿宋_GB2312"/>
                      <w:sz w:val="24"/>
                      <w:color w:val="0000FF"/>
                    </w:rPr>
                    <w:t>植保无人机进行防治作业，飞行高度距</w:t>
                  </w:r>
                  <w:r>
                    <w:rPr>
                      <w:rFonts w:ascii="仿宋_GB2312" w:hAnsi="仿宋_GB2312" w:cs="仿宋_GB2312" w:eastAsia="仿宋_GB2312"/>
                      <w:sz w:val="24"/>
                      <w:color w:val="0000FF"/>
                    </w:rPr>
                    <w:t>小麦冠层</w:t>
                  </w:r>
                  <w:r>
                    <w:rPr>
                      <w:rFonts w:ascii="仿宋_GB2312" w:hAnsi="仿宋_GB2312" w:cs="仿宋_GB2312" w:eastAsia="仿宋_GB2312"/>
                      <w:sz w:val="24"/>
                      <w:color w:val="0000FF"/>
                    </w:rPr>
                    <w:t>2-3</w:t>
                  </w:r>
                  <w:r>
                    <w:rPr>
                      <w:rFonts w:ascii="仿宋_GB2312" w:hAnsi="仿宋_GB2312" w:cs="仿宋_GB2312" w:eastAsia="仿宋_GB2312"/>
                      <w:sz w:val="24"/>
                      <w:color w:val="0000FF"/>
                    </w:rPr>
                    <w:t>米</w:t>
                  </w:r>
                  <w:r>
                    <w:rPr>
                      <w:rFonts w:ascii="仿宋_GB2312" w:hAnsi="仿宋_GB2312" w:cs="仿宋_GB2312" w:eastAsia="仿宋_GB2312"/>
                      <w:sz w:val="24"/>
                      <w:color w:val="0000FF"/>
                    </w:rPr>
                    <w:t>，</w:t>
                  </w:r>
                  <w:r>
                    <w:rPr>
                      <w:rFonts w:ascii="仿宋_GB2312" w:hAnsi="仿宋_GB2312" w:cs="仿宋_GB2312" w:eastAsia="仿宋_GB2312"/>
                      <w:sz w:val="24"/>
                      <w:color w:val="0000FF"/>
                    </w:rPr>
                    <w:t>飞行速度不大于</w:t>
                  </w:r>
                  <w:r>
                    <w:rPr>
                      <w:rFonts w:ascii="仿宋_GB2312" w:hAnsi="仿宋_GB2312" w:cs="仿宋_GB2312" w:eastAsia="仿宋_GB2312"/>
                      <w:sz w:val="24"/>
                      <w:color w:val="0000FF"/>
                    </w:rPr>
                    <w:t>3 米/秒，喷幅不大于 3 米</w:t>
                  </w:r>
                  <w:r>
                    <w:rPr>
                      <w:rFonts w:ascii="仿宋_GB2312" w:hAnsi="仿宋_GB2312" w:cs="仿宋_GB2312" w:eastAsia="仿宋_GB2312"/>
                      <w:sz w:val="24"/>
                      <w:color w:val="0000FF"/>
                    </w:rPr>
                    <w:t>，</w:t>
                  </w:r>
                  <w:r>
                    <w:rPr>
                      <w:rFonts w:ascii="仿宋_GB2312" w:hAnsi="仿宋_GB2312" w:cs="仿宋_GB2312" w:eastAsia="仿宋_GB2312"/>
                      <w:sz w:val="24"/>
                      <w:color w:val="0000FF"/>
                    </w:rPr>
                    <w:t>亩施药液量不低于</w:t>
                  </w:r>
                  <w:r>
                    <w:rPr>
                      <w:rFonts w:ascii="仿宋_GB2312" w:hAnsi="仿宋_GB2312" w:cs="仿宋_GB2312" w:eastAsia="仿宋_GB2312"/>
                      <w:sz w:val="24"/>
                      <w:color w:val="0000FF"/>
                    </w:rPr>
                    <w:t>3升，并加专用沉降剂，确保不重喷、漏喷区域要补防。要采取二次稀释方法配制药剂，避免药害事故发生。</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面积</w:t>
                  </w:r>
                  <w:r>
                    <w:rPr>
                      <w:rFonts w:ascii="仿宋_GB2312" w:hAnsi="仿宋_GB2312" w:cs="仿宋_GB2312" w:eastAsia="仿宋_GB2312"/>
                      <w:sz w:val="24"/>
                      <w:color w:val="0000FF"/>
                    </w:rPr>
                    <w:t>2.5万亩次</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飞防示范作业总价为</w:t>
                  </w:r>
                  <w:r>
                    <w:rPr>
                      <w:rFonts w:ascii="仿宋_GB2312" w:hAnsi="仿宋_GB2312" w:cs="仿宋_GB2312" w:eastAsia="仿宋_GB2312"/>
                      <w:sz w:val="24"/>
                      <w:color w:val="0000FF"/>
                    </w:rPr>
                    <w:t>500000.00元，报价不得超过该项总价。</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合同签订后待甲方通知一周内完成</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三原县农业科学技术中心及一喷三防项目区。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待专项资金拨付后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交货地点后，由使用单位根据合同对货物的名称、品牌、规格、产地、数量进行验收，验收合格后签发《验收合格单》。飞防作业完成后，由采购人组织进行项目验收，验收合格后签发《验收合格单》。 2.验收不合格的成交单位，必须在接到通知后7个日历日内确保货物及服务通过验收。如接到通知后7个日历日内验收仍不合格，采购人可提出索赔或取消其采购合同。采购代理机构将把成交资格授予评审排序下一名的成交单位。 3.验收依据 3.1合同文本及合同补充文件（条款）。 3.2产品的合法来源渠道证明文件。 3.3竞争性磋商文件。 3.4成交供应商的竞争性磋商响应文件。 3.5合同货物清单。 3.6生产厂家的企业资质、货物的执行标准。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药剂质保期为终验合格之日起不少于12个月（技术参数中有要求的按参数要求提供质保），飞防服务质量：符合国家、行业的标准和有关规定。综合防治效果不低于85%，病虫害总体损失率控制在5%以内。成交人承诺的质保时间超过磋商文件要求的，按其承诺时间质保。 2.成交人承诺的质保期起始时间为终验合格之日。 3.所有产品质量必须符合国家有关规范和相关政策。所有设备及辅材必须是未使用过的新产品，质量优良、渠道正当，配置合理。 4.质保期出现的质量问题由成交人负责解决并承担所有费用。质保期后如需更换零部件，成交人应以优惠价提供。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及服务或质量不能满足技术要求，采购人有权终止合同，并对供方违约行为进行追究，同时按《中华人民共和国政府采购法》的有关规定进行处罚。3、供应商须确保资质证书等材料须在合同签订及履行期间持续有效，否则采购人有权终止合同并要求赔偿。</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1、根据《关于推动解决政府采购异常低价问题的通知》（财库〔2026〕2号）规定，出现下列情形之一的，评审委员会应当启动异常低价投标（响应）审查程序： 1.1投标（响应）报价低于全部通过符合性审查供应商投标（响应）报价平均值50%的，即投标（响应）报价&lt;全部通过符合性审查供应商投标（响应）报价平均值×50%；  1.2投标（响应）报价低于通过符合性审查的次低报价供应商投标（响应）报价50%的，即投标（响应）报价&lt;通过符合性审查的次低报价供应商投标（响应）报价×50%；  1.3投标（响应）报价低于采购项目最高限价45%的，即投标（响应）报价&lt;采购项目最高限价×45%；  1.4评审委员会基于专业判断，认为供应商报价过低，有可能影响产品质量或者不能诚信履约的其他情形。  相关供应商在评审现场合理的时间内对投标（响应）价格作出解释，提供项目具体成本测算等与报价合理性相关的书面说明及必要的证明材料，包括但不限于原材料成本、人工成本、制造费用等；其中，属于1.3项情形，供应商已随投标（响应）文件一并提交相关书面说明及必要的证明材料的，在评审现场可不再重复提交。投标（响应）供应商不能提供书面说明、证明材料，或者提供的书面说明、证明材料不能证明其报价合理性的，评审委员会应当将其作为无效投标（响应）处理。相关法律法规对供应商报价有规定的，从其规定。 2、成交人在领取成交通知书时须提供纸质响应文件正本一份、副本一份（双面打印）用于存档。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供应商需在项目电子化交易系统中按要求上传相应证明文件并进行电子签章。本项审查内容与特殊资格要求的“财务状况报告”审查为同一项内容。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提供供应商合法注册的法人或其他组织的营业执照等证明文件或自然人的身份证明</w:t>
            </w:r>
          </w:p>
        </w:tc>
        <w:tc>
          <w:tcPr>
            <w:tcW w:type="dxa" w:w="3322"/>
          </w:tcPr>
          <w:p>
            <w:pPr>
              <w:pStyle w:val="null3"/>
            </w:pPr>
            <w:r>
              <w:rPr>
                <w:rFonts w:ascii="仿宋_GB2312" w:hAnsi="仿宋_GB2312" w:cs="仿宋_GB2312" w:eastAsia="仿宋_GB2312"/>
              </w:rPr>
              <w:t>提供供应商合法注册的法人或其他组织的营业执照等证明文件或自然人的身份证明；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审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药剂资质</w:t>
            </w:r>
          </w:p>
        </w:tc>
        <w:tc>
          <w:tcPr>
            <w:tcW w:type="dxa" w:w="3322"/>
          </w:tcPr>
          <w:p>
            <w:pPr>
              <w:pStyle w:val="null3"/>
            </w:pPr>
            <w:r>
              <w:rPr>
                <w:rFonts w:ascii="仿宋_GB2312" w:hAnsi="仿宋_GB2312" w:cs="仿宋_GB2312" w:eastAsia="仿宋_GB2312"/>
              </w:rPr>
              <w:t>供应商具有农药经营许可证，并提供所投药剂生产厂家合法有效的农药登记证、农药生产许可证、农药质量标准证；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飞防作业资质</w:t>
            </w:r>
          </w:p>
        </w:tc>
        <w:tc>
          <w:tcPr>
            <w:tcW w:type="dxa" w:w="3322"/>
          </w:tcPr>
          <w:p>
            <w:pPr>
              <w:pStyle w:val="null3"/>
            </w:pPr>
            <w:r>
              <w:rPr>
                <w:rFonts w:ascii="仿宋_GB2312" w:hAnsi="仿宋_GB2312" w:cs="仿宋_GB2312" w:eastAsia="仿宋_GB2312"/>
              </w:rPr>
              <w:t>供应商具有民用无人驾驶航空器经营许可证或民用无人驾驶航空器运营合格证；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磋商截止日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根据财库【2019】38号文规定，此项在磋商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响应文件盖章签字</w:t>
            </w:r>
          </w:p>
        </w:tc>
        <w:tc>
          <w:tcPr>
            <w:tcW w:type="dxa" w:w="3322"/>
          </w:tcPr>
          <w:p>
            <w:pPr>
              <w:pStyle w:val="null3"/>
            </w:pPr>
            <w:r>
              <w:rPr>
                <w:rFonts w:ascii="仿宋_GB2312" w:hAnsi="仿宋_GB2312" w:cs="仿宋_GB2312" w:eastAsia="仿宋_GB2312"/>
              </w:rPr>
              <w:t>响应文件是否按照磋商文件的要求盖章签字</w:t>
            </w:r>
          </w:p>
        </w:tc>
        <w:tc>
          <w:tcPr>
            <w:tcW w:type="dxa" w:w="1661"/>
          </w:tcPr>
          <w:p>
            <w:pPr>
              <w:pStyle w:val="null3"/>
            </w:pPr>
            <w:r>
              <w:rPr>
                <w:rFonts w:ascii="仿宋_GB2312" w:hAnsi="仿宋_GB2312" w:cs="仿宋_GB2312" w:eastAsia="仿宋_GB2312"/>
              </w:rPr>
              <w:t>关于符合本国产品标准的声明函.docx 中小企业声明函 承诺书.docx 报价表 商务条款响应偏离表.docx 技术条款响应偏离表.docx 法定代表人授权书.docx 响应文件封面 《拒绝政府采购领域商业贿赂承诺书》.docx 分项报价表.docx 残疾人福利性单位声明函 供应商参与政府采购活动的承诺函.docx 标的清单 响应函 节能环保、环境标志产品明细表.docx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商务及技术响应</w:t>
            </w:r>
          </w:p>
        </w:tc>
        <w:tc>
          <w:tcPr>
            <w:tcW w:type="dxa" w:w="3322"/>
          </w:tcPr>
          <w:p>
            <w:pPr>
              <w:pStyle w:val="null3"/>
            </w:pPr>
            <w:r>
              <w:rPr>
                <w:rFonts w:ascii="仿宋_GB2312" w:hAnsi="仿宋_GB2312" w:cs="仿宋_GB2312" w:eastAsia="仿宋_GB2312"/>
              </w:rPr>
              <w:t>是否对磋商文件商务要求作出明确且实质性响应；是否对磋商文件技术要求作出明确响应，对不得偏离的要求未作出实质性响应。</w:t>
            </w:r>
          </w:p>
        </w:tc>
        <w:tc>
          <w:tcPr>
            <w:tcW w:type="dxa" w:w="1661"/>
          </w:tcPr>
          <w:p>
            <w:pPr>
              <w:pStyle w:val="null3"/>
            </w:pPr>
            <w:r>
              <w:rPr>
                <w:rFonts w:ascii="仿宋_GB2312" w:hAnsi="仿宋_GB2312" w:cs="仿宋_GB2312" w:eastAsia="仿宋_GB2312"/>
              </w:rPr>
              <w:t>商务条款响应偏离表.docx 技术条款响应偏离表.docx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响应文件无采购人不能接受的附加条件</w:t>
            </w:r>
          </w:p>
        </w:tc>
        <w:tc>
          <w:tcPr>
            <w:tcW w:type="dxa" w:w="1661"/>
          </w:tcPr>
          <w:p>
            <w:pPr>
              <w:pStyle w:val="null3"/>
            </w:pPr>
            <w:r>
              <w:rPr>
                <w:rFonts w:ascii="仿宋_GB2312" w:hAnsi="仿宋_GB2312" w:cs="仿宋_GB2312" w:eastAsia="仿宋_GB2312"/>
              </w:rPr>
              <w:t>供应商有必要说明的其他事项.docx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供应商有必要说明的其他事项.docx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则依次比较实施方案得分、质量保证及售后方案得分，以得分高的排序在先。若上述得分相同，则由全体磋商小组成员无记名投票，得票高者为第一成交候选人。</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投标产品中每有一项为节能产品政府采购清单中优先采购的节能产品的计0.5分，每有一项为环境标志产品政府采购清单中的产品的计0.5分，每有一项产品同时为节能产品政府采购清单中优先采购的节能产品和环境标志产品政府采购清单中的产品的得1分，最多得2分。（提供认证机构出具的、处于有效期之内的节能产品、环境标志产品认证证书）</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完全符合、满足磋商文件技术要求的计5分，有任意一项指标不满足的本项不计分。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技术条款响应偏离表.docx</w:t>
            </w:r>
          </w:p>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针对本项目的实施方案，包括但不限于：①备货、供货进度及保证措施；②拟投入本项目的人员安排及责任制度；③飞防作业实施方案；④作业安全保障措施；⑤应急处理措施。 评审标准： 方案各项内容全面详细、阐述条理清晰、能有效保障本项目实施得20分；方案中每有一项内容缺失扣4分，方案内容要素中每存在一处缺陷扣1分，该分项分值扣完为止。 注：缺陷是指：内容表述宽泛不具体、仅有框架或标题、内容前后表述不一致、适用的标准（方法）错误、存在项目名称错误或地点区域或采购人名称错误、内容明显与本项目需求无关等任意一种情形。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航化作业组织的规模、能力</w:t>
            </w:r>
          </w:p>
        </w:tc>
        <w:tc>
          <w:tcPr>
            <w:tcW w:type="dxa" w:w="2492"/>
          </w:tcPr>
          <w:p>
            <w:pPr>
              <w:pStyle w:val="null3"/>
            </w:pPr>
            <w:r>
              <w:rPr>
                <w:rFonts w:ascii="仿宋_GB2312" w:hAnsi="仿宋_GB2312" w:cs="仿宋_GB2312" w:eastAsia="仿宋_GB2312"/>
              </w:rPr>
              <w:t>1、具备植保无人机系统操作手合格证的飞手不少于 6 名（以合格证为准），少一名人员扣 1分，共5分，5分扣完为止。 2、开展航化作业的无人机设备（载药量 30 公斤以上）不少于5架（需提供购机发票、付款凭证等），每少一架无人机扣 1 分，共5分，5分扣完为止。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航化作业组织的规模、能力.docx</w:t>
            </w:r>
          </w:p>
        </w:tc>
      </w:tr>
      <w:tr>
        <w:tc>
          <w:tcPr>
            <w:tcW w:type="dxa" w:w="831"/>
            <w:vMerge/>
          </w:tcPr>
          <w:p/>
        </w:tc>
        <w:tc>
          <w:tcPr>
            <w:tcW w:type="dxa" w:w="1661"/>
          </w:tcPr>
          <w:p>
            <w:pPr>
              <w:pStyle w:val="null3"/>
            </w:pPr>
            <w:r>
              <w:rPr>
                <w:rFonts w:ascii="仿宋_GB2312" w:hAnsi="仿宋_GB2312" w:cs="仿宋_GB2312" w:eastAsia="仿宋_GB2312"/>
              </w:rPr>
              <w:t>航化作业监管系统</w:t>
            </w:r>
          </w:p>
        </w:tc>
        <w:tc>
          <w:tcPr>
            <w:tcW w:type="dxa" w:w="2492"/>
          </w:tcPr>
          <w:p>
            <w:pPr>
              <w:pStyle w:val="null3"/>
            </w:pPr>
            <w:r>
              <w:rPr>
                <w:rFonts w:ascii="仿宋_GB2312" w:hAnsi="仿宋_GB2312" w:cs="仿宋_GB2312" w:eastAsia="仿宋_GB2312"/>
              </w:rPr>
              <w:t>能够给甲方提供航化作业监管系统，核查无人机作业的地点、时间、轨迹、作业面积及喷液量等信息的计3分，不能提供的不计分。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航化作业监管系统.docx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能提供所投药剂产品的合法来源渠道证明文件（包括但不限于产品制造商授权、销售协议、代理协议、原厂授权等）的计3分，不提供或提供不全的不计分。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产品渠道.docx</w:t>
            </w:r>
          </w:p>
        </w:tc>
      </w:tr>
      <w:tr>
        <w:tc>
          <w:tcPr>
            <w:tcW w:type="dxa" w:w="831"/>
            <w:vMerge/>
          </w:tcPr>
          <w:p/>
        </w:tc>
        <w:tc>
          <w:tcPr>
            <w:tcW w:type="dxa" w:w="1661"/>
          </w:tcPr>
          <w:p>
            <w:pPr>
              <w:pStyle w:val="null3"/>
            </w:pPr>
            <w:r>
              <w:rPr>
                <w:rFonts w:ascii="仿宋_GB2312" w:hAnsi="仿宋_GB2312" w:cs="仿宋_GB2312" w:eastAsia="仿宋_GB2312"/>
              </w:rPr>
              <w:t>质量保证及售后方案</w:t>
            </w:r>
          </w:p>
        </w:tc>
        <w:tc>
          <w:tcPr>
            <w:tcW w:type="dxa" w:w="2492"/>
          </w:tcPr>
          <w:p>
            <w:pPr>
              <w:pStyle w:val="null3"/>
            </w:pPr>
            <w:r>
              <w:rPr>
                <w:rFonts w:ascii="仿宋_GB2312" w:hAnsi="仿宋_GB2312" w:cs="仿宋_GB2312" w:eastAsia="仿宋_GB2312"/>
              </w:rPr>
              <w:t>有针对本项目的质量保证方案，包括但不限于：①质量保证相关制度；②质量保证承诺及措施；③拟投入售后服务人员配置情况；④项目交付用户后出现缺陷响应时间及措施等。 评审标准： 方案各项内容全面详细、阐述条理清晰、能有效保障本项目实施得16分；方案中每有一项内容缺失扣4分，方案内容要素中每存在一处缺陷扣1分，该分项分值扣完为止。 注：缺陷是指：内容表述宽泛不具体、仅有框架或标题、内容前后表述不一致、适用的标准（方法）错误、存在项目名称错误或地点区域或采购人名称错误、内容明显与本项目需求无关等任意一种情形。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质量保证及售后方案.docx</w:t>
            </w:r>
          </w:p>
        </w:tc>
      </w:tr>
      <w:tr>
        <w:tc>
          <w:tcPr>
            <w:tcW w:type="dxa" w:w="831"/>
            <w:vMerge/>
          </w:tcPr>
          <w:p/>
        </w:tc>
        <w:tc>
          <w:tcPr>
            <w:tcW w:type="dxa" w:w="1661"/>
          </w:tcPr>
          <w:p>
            <w:pPr>
              <w:pStyle w:val="null3"/>
            </w:pPr>
            <w:r>
              <w:rPr>
                <w:rFonts w:ascii="仿宋_GB2312" w:hAnsi="仿宋_GB2312" w:cs="仿宋_GB2312" w:eastAsia="仿宋_GB2312"/>
              </w:rPr>
              <w:t>培训及合理化建议</w:t>
            </w:r>
          </w:p>
        </w:tc>
        <w:tc>
          <w:tcPr>
            <w:tcW w:type="dxa" w:w="2492"/>
          </w:tcPr>
          <w:p>
            <w:pPr>
              <w:pStyle w:val="null3"/>
            </w:pPr>
            <w:r>
              <w:rPr>
                <w:rFonts w:ascii="仿宋_GB2312" w:hAnsi="仿宋_GB2312" w:cs="仿宋_GB2312" w:eastAsia="仿宋_GB2312"/>
              </w:rPr>
              <w:t>针对本项目的培训方案及合理化建议，包括但不限于：①药剂使用培训方案及培训计划；②能提供小麦重大病虫害防治的具体实施建议等。 评审标准： 方案各项内容全面详细、阐述条理清晰、能有效保障本项目实施得8分；方案中每有一项内容缺失扣4分，方案内容要素中每存在一处缺陷扣1分，该分项分值扣完为止。 注：缺陷是指：内容表述宽泛不具体、仅有框架或标题、内容前后表述不一致、适用的标准（方法）错误、存在项目名称错误或地点区域或采购人名称错误、内容明显与本项目需求无关等任意一种情形。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培训及合理化建议.docx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以合同形式提供供应商2022年01月至今同类项目业绩，每份计1分，计满3分为止。（须提供完整合同复印件，加盖供应商公章。以合同签署时间为准）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磋商报价得分=（磋商基准价/最终磋商报价）×价格权值（即30%）×100 （因落实政府采购政策进行价格调整的，以调整后的价格计算评标基准价和磋商报价）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详见附件：供应商参与政府采购活动的承诺函.docx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详见附件：航化作业组织的规模、能力.docx</w:t>
      </w:r>
    </w:p>
    <w:p>
      <w:pPr>
        <w:pStyle w:val="null3"/>
        <w:ind w:firstLine="960"/>
      </w:pPr>
      <w:r>
        <w:rPr>
          <w:rFonts w:ascii="仿宋_GB2312" w:hAnsi="仿宋_GB2312" w:cs="仿宋_GB2312" w:eastAsia="仿宋_GB2312"/>
        </w:rPr>
        <w:t>详见附件：航化作业监管系统.docx</w:t>
      </w:r>
    </w:p>
    <w:p>
      <w:pPr>
        <w:pStyle w:val="null3"/>
        <w:ind w:firstLine="960"/>
      </w:pPr>
      <w:r>
        <w:rPr>
          <w:rFonts w:ascii="仿宋_GB2312" w:hAnsi="仿宋_GB2312" w:cs="仿宋_GB2312" w:eastAsia="仿宋_GB2312"/>
        </w:rPr>
        <w:t>详见附件：质量保证及售后方案.docx</w:t>
      </w:r>
    </w:p>
    <w:p>
      <w:pPr>
        <w:pStyle w:val="null3"/>
        <w:ind w:firstLine="960"/>
      </w:pPr>
      <w:r>
        <w:rPr>
          <w:rFonts w:ascii="仿宋_GB2312" w:hAnsi="仿宋_GB2312" w:cs="仿宋_GB2312" w:eastAsia="仿宋_GB2312"/>
        </w:rPr>
        <w:t>详见附件：产品渠道.docx</w:t>
      </w:r>
    </w:p>
    <w:p>
      <w:pPr>
        <w:pStyle w:val="null3"/>
        <w:ind w:firstLine="960"/>
      </w:pPr>
      <w:r>
        <w:rPr>
          <w:rFonts w:ascii="仿宋_GB2312" w:hAnsi="仿宋_GB2312" w:cs="仿宋_GB2312" w:eastAsia="仿宋_GB2312"/>
        </w:rPr>
        <w:t>详见附件：培训及合理化建议.docx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详见附件：供应商有必要说明的其他事项.docx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