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7B6538">
      <w:pPr>
        <w:pStyle w:val="4"/>
        <w:jc w:val="center"/>
        <w:outlineLvl w:val="1"/>
      </w:pPr>
      <w:r>
        <w:rPr>
          <w:rFonts w:ascii="仿宋_GB2312" w:hAnsi="仿宋_GB2312" w:eastAsia="仿宋_GB2312" w:cs="仿宋_GB2312"/>
          <w:b/>
          <w:sz w:val="36"/>
        </w:rPr>
        <w:t>磋商项目技术、服务、商务及其他要求</w:t>
      </w:r>
    </w:p>
    <w:p w14:paraId="21B0C969">
      <w:pPr>
        <w:pStyle w:val="4"/>
        <w:ind w:firstLine="480"/>
      </w:pPr>
      <w:r>
        <w:rPr>
          <w:rFonts w:ascii="仿宋_GB2312" w:hAnsi="仿宋_GB2312" w:eastAsia="仿宋_GB2312" w:cs="仿宋_GB2312"/>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453EF9E2">
      <w:pPr>
        <w:pStyle w:val="4"/>
        <w:outlineLvl w:val="2"/>
      </w:pPr>
      <w:r>
        <w:rPr>
          <w:rFonts w:ascii="仿宋_GB2312" w:hAnsi="仿宋_GB2312" w:eastAsia="仿宋_GB2312" w:cs="仿宋_GB2312"/>
          <w:b/>
          <w:sz w:val="28"/>
        </w:rPr>
        <w:t>3.1采购项目概况</w:t>
      </w:r>
    </w:p>
    <w:p w14:paraId="4E0F5341">
      <w:pPr>
        <w:pStyle w:val="4"/>
        <w:ind w:firstLine="480"/>
      </w:pPr>
      <w:r>
        <w:rPr>
          <w:rFonts w:ascii="仿宋_GB2312" w:hAnsi="仿宋_GB2312" w:eastAsia="仿宋_GB2312" w:cs="仿宋_GB2312"/>
        </w:rPr>
        <w:t>未央区草二村城中村改造配套基础设施建设项目,即规划路网中的悦和路，悦和路位于未央区，是秦汉大道南侧一条东西向支路，西起西铜路东侧辅道，东至柳郑路。悦和路新建段，西起现状小路，东至柳郑路，道路全长390.863m，规划设计宽度12.5m，悦和路新建段以西，本次仅临时顺接现状小路，对现状小路上面层进行改造，改造内容为铣刨及铺设沥青面层，改造长度257m，宽度约为8m。本次主要设计内容包括道路工程、给排水工程、交通工程、照明工程、电力排管等。</w:t>
      </w:r>
    </w:p>
    <w:p w14:paraId="5D7C6AAC">
      <w:pPr>
        <w:pStyle w:val="4"/>
        <w:outlineLvl w:val="2"/>
      </w:pPr>
      <w:r>
        <w:rPr>
          <w:rFonts w:ascii="仿宋_GB2312" w:hAnsi="仿宋_GB2312" w:eastAsia="仿宋_GB2312" w:cs="仿宋_GB2312"/>
          <w:b/>
          <w:sz w:val="28"/>
        </w:rPr>
        <w:t>3.2服务内容及服务要求</w:t>
      </w:r>
    </w:p>
    <w:p w14:paraId="5A891055">
      <w:pPr>
        <w:pStyle w:val="4"/>
        <w:outlineLvl w:val="3"/>
      </w:pPr>
      <w:r>
        <w:rPr>
          <w:rFonts w:ascii="仿宋_GB2312" w:hAnsi="仿宋_GB2312" w:eastAsia="仿宋_GB2312" w:cs="仿宋_GB2312"/>
          <w:b/>
          <w:sz w:val="24"/>
        </w:rPr>
        <w:t>3.2.1服务内容</w:t>
      </w:r>
    </w:p>
    <w:p w14:paraId="252307B6">
      <w:pPr>
        <w:pStyle w:val="4"/>
      </w:pPr>
      <w:r>
        <w:rPr>
          <w:rFonts w:ascii="仿宋_GB2312" w:hAnsi="仿宋_GB2312" w:eastAsia="仿宋_GB2312" w:cs="仿宋_GB2312"/>
        </w:rPr>
        <w:t>采购包1：</w:t>
      </w:r>
    </w:p>
    <w:p w14:paraId="092B909A">
      <w:pPr>
        <w:pStyle w:val="4"/>
      </w:pPr>
      <w:r>
        <w:rPr>
          <w:rFonts w:ascii="仿宋_GB2312" w:hAnsi="仿宋_GB2312" w:eastAsia="仿宋_GB2312" w:cs="仿宋_GB2312"/>
        </w:rPr>
        <w:t>采购包预算金额（元）: 187,824.00</w:t>
      </w:r>
    </w:p>
    <w:p w14:paraId="7AD4AEC3">
      <w:pPr>
        <w:pStyle w:val="4"/>
      </w:pPr>
      <w:r>
        <w:rPr>
          <w:rFonts w:ascii="仿宋_GB2312" w:hAnsi="仿宋_GB2312" w:eastAsia="仿宋_GB2312" w:cs="仿宋_GB2312"/>
        </w:rPr>
        <w:t>采购包最高限价（元）: 187,824.00</w:t>
      </w:r>
    </w:p>
    <w:p w14:paraId="2E00877D">
      <w:pPr>
        <w:pStyle w:val="4"/>
      </w:pPr>
      <w:r>
        <w:rPr>
          <w:rFonts w:ascii="仿宋_GB2312" w:hAnsi="仿宋_GB2312" w:eastAsia="仿宋_GB2312" w:cs="仿宋_GB2312"/>
        </w:rPr>
        <w:t>供应商报价不允许超过标的金额</w:t>
      </w:r>
    </w:p>
    <w:p w14:paraId="1C1E3F49">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9"/>
        <w:gridCol w:w="729"/>
        <w:gridCol w:w="744"/>
        <w:gridCol w:w="1216"/>
        <w:gridCol w:w="729"/>
        <w:gridCol w:w="729"/>
        <w:gridCol w:w="729"/>
        <w:gridCol w:w="729"/>
        <w:gridCol w:w="729"/>
        <w:gridCol w:w="729"/>
        <w:gridCol w:w="730"/>
      </w:tblGrid>
      <w:tr w14:paraId="1019D5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76DFE51D">
            <w:pPr>
              <w:pStyle w:val="4"/>
            </w:pPr>
            <w:r>
              <w:rPr>
                <w:rFonts w:ascii="仿宋_GB2312" w:hAnsi="仿宋_GB2312" w:eastAsia="仿宋_GB2312" w:cs="仿宋_GB2312"/>
              </w:rPr>
              <w:t>序号</w:t>
            </w:r>
          </w:p>
        </w:tc>
        <w:tc>
          <w:tcPr>
            <w:tcW w:w="755" w:type="dxa"/>
          </w:tcPr>
          <w:p w14:paraId="2D282964">
            <w:pPr>
              <w:pStyle w:val="4"/>
            </w:pPr>
            <w:r>
              <w:rPr>
                <w:rFonts w:ascii="仿宋_GB2312" w:hAnsi="仿宋_GB2312" w:eastAsia="仿宋_GB2312" w:cs="仿宋_GB2312"/>
              </w:rPr>
              <w:t>标的名称</w:t>
            </w:r>
          </w:p>
        </w:tc>
        <w:tc>
          <w:tcPr>
            <w:tcW w:w="755" w:type="dxa"/>
          </w:tcPr>
          <w:p w14:paraId="3EB723B5">
            <w:pPr>
              <w:pStyle w:val="4"/>
            </w:pPr>
            <w:r>
              <w:rPr>
                <w:rFonts w:ascii="仿宋_GB2312" w:hAnsi="仿宋_GB2312" w:eastAsia="仿宋_GB2312" w:cs="仿宋_GB2312"/>
              </w:rPr>
              <w:t>数量</w:t>
            </w:r>
          </w:p>
        </w:tc>
        <w:tc>
          <w:tcPr>
            <w:tcW w:w="755" w:type="dxa"/>
          </w:tcPr>
          <w:p w14:paraId="500DD5A9">
            <w:pPr>
              <w:pStyle w:val="4"/>
            </w:pPr>
            <w:r>
              <w:rPr>
                <w:rFonts w:ascii="仿宋_GB2312" w:hAnsi="仿宋_GB2312" w:eastAsia="仿宋_GB2312" w:cs="仿宋_GB2312"/>
              </w:rPr>
              <w:t>标的金额 （元）</w:t>
            </w:r>
          </w:p>
        </w:tc>
        <w:tc>
          <w:tcPr>
            <w:tcW w:w="755" w:type="dxa"/>
          </w:tcPr>
          <w:p w14:paraId="1D712150">
            <w:pPr>
              <w:pStyle w:val="4"/>
            </w:pPr>
            <w:r>
              <w:rPr>
                <w:rFonts w:ascii="仿宋_GB2312" w:hAnsi="仿宋_GB2312" w:eastAsia="仿宋_GB2312" w:cs="仿宋_GB2312"/>
              </w:rPr>
              <w:t>计量单位</w:t>
            </w:r>
          </w:p>
        </w:tc>
        <w:tc>
          <w:tcPr>
            <w:tcW w:w="755" w:type="dxa"/>
          </w:tcPr>
          <w:p w14:paraId="135A955D">
            <w:pPr>
              <w:pStyle w:val="4"/>
            </w:pPr>
            <w:r>
              <w:rPr>
                <w:rFonts w:ascii="仿宋_GB2312" w:hAnsi="仿宋_GB2312" w:eastAsia="仿宋_GB2312" w:cs="仿宋_GB2312"/>
              </w:rPr>
              <w:t>所属行业</w:t>
            </w:r>
          </w:p>
        </w:tc>
        <w:tc>
          <w:tcPr>
            <w:tcW w:w="755" w:type="dxa"/>
          </w:tcPr>
          <w:p w14:paraId="099C7916">
            <w:pPr>
              <w:pStyle w:val="4"/>
            </w:pPr>
            <w:r>
              <w:rPr>
                <w:rFonts w:ascii="仿宋_GB2312" w:hAnsi="仿宋_GB2312" w:eastAsia="仿宋_GB2312" w:cs="仿宋_GB2312"/>
              </w:rPr>
              <w:t>是否核心产品</w:t>
            </w:r>
          </w:p>
        </w:tc>
        <w:tc>
          <w:tcPr>
            <w:tcW w:w="755" w:type="dxa"/>
          </w:tcPr>
          <w:p w14:paraId="569A9258">
            <w:pPr>
              <w:pStyle w:val="4"/>
            </w:pPr>
            <w:r>
              <w:rPr>
                <w:rFonts w:ascii="仿宋_GB2312" w:hAnsi="仿宋_GB2312" w:eastAsia="仿宋_GB2312" w:cs="仿宋_GB2312"/>
              </w:rPr>
              <w:t>是否允许进口产品</w:t>
            </w:r>
          </w:p>
        </w:tc>
        <w:tc>
          <w:tcPr>
            <w:tcW w:w="755" w:type="dxa"/>
          </w:tcPr>
          <w:p w14:paraId="1D502FA4">
            <w:pPr>
              <w:pStyle w:val="4"/>
            </w:pPr>
            <w:r>
              <w:rPr>
                <w:rFonts w:ascii="仿宋_GB2312" w:hAnsi="仿宋_GB2312" w:eastAsia="仿宋_GB2312" w:cs="仿宋_GB2312"/>
              </w:rPr>
              <w:t>是否属于节能产品</w:t>
            </w:r>
          </w:p>
        </w:tc>
        <w:tc>
          <w:tcPr>
            <w:tcW w:w="755" w:type="dxa"/>
          </w:tcPr>
          <w:p w14:paraId="57A71A4B">
            <w:pPr>
              <w:pStyle w:val="4"/>
            </w:pPr>
            <w:r>
              <w:rPr>
                <w:rFonts w:ascii="仿宋_GB2312" w:hAnsi="仿宋_GB2312" w:eastAsia="仿宋_GB2312" w:cs="仿宋_GB2312"/>
              </w:rPr>
              <w:t>是否属于环境标志产品</w:t>
            </w:r>
          </w:p>
        </w:tc>
        <w:tc>
          <w:tcPr>
            <w:tcW w:w="755" w:type="dxa"/>
          </w:tcPr>
          <w:p w14:paraId="44B60B00">
            <w:pPr>
              <w:pStyle w:val="4"/>
            </w:pPr>
            <w:r>
              <w:rPr>
                <w:rFonts w:ascii="仿宋_GB2312" w:hAnsi="仿宋_GB2312" w:eastAsia="仿宋_GB2312" w:cs="仿宋_GB2312"/>
              </w:rPr>
              <w:t>是否实施本国产品政策</w:t>
            </w:r>
          </w:p>
        </w:tc>
      </w:tr>
      <w:tr w14:paraId="557AB8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7E017AED">
            <w:pPr>
              <w:pStyle w:val="4"/>
            </w:pPr>
            <w:r>
              <w:rPr>
                <w:rFonts w:ascii="仿宋_GB2312" w:hAnsi="仿宋_GB2312" w:eastAsia="仿宋_GB2312" w:cs="仿宋_GB2312"/>
              </w:rPr>
              <w:t>1</w:t>
            </w:r>
          </w:p>
        </w:tc>
        <w:tc>
          <w:tcPr>
            <w:tcW w:w="755" w:type="dxa"/>
          </w:tcPr>
          <w:p w14:paraId="0D0386F7">
            <w:pPr>
              <w:pStyle w:val="4"/>
            </w:pPr>
            <w:r>
              <w:rPr>
                <w:rFonts w:ascii="仿宋_GB2312" w:hAnsi="仿宋_GB2312" w:eastAsia="仿宋_GB2312" w:cs="仿宋_GB2312"/>
              </w:rPr>
              <w:t>未央区草二村城中村改造配套基础设施建设项目施工图设计</w:t>
            </w:r>
          </w:p>
        </w:tc>
        <w:tc>
          <w:tcPr>
            <w:tcW w:w="755" w:type="dxa"/>
          </w:tcPr>
          <w:p w14:paraId="3D2DDD1F">
            <w:pPr>
              <w:pStyle w:val="4"/>
              <w:jc w:val="right"/>
            </w:pPr>
            <w:r>
              <w:rPr>
                <w:rFonts w:ascii="仿宋_GB2312" w:hAnsi="仿宋_GB2312" w:eastAsia="仿宋_GB2312" w:cs="仿宋_GB2312"/>
              </w:rPr>
              <w:t>1.00</w:t>
            </w:r>
          </w:p>
        </w:tc>
        <w:tc>
          <w:tcPr>
            <w:tcW w:w="755" w:type="dxa"/>
          </w:tcPr>
          <w:p w14:paraId="32EDDEA7">
            <w:pPr>
              <w:pStyle w:val="4"/>
              <w:jc w:val="right"/>
            </w:pPr>
            <w:r>
              <w:rPr>
                <w:rFonts w:ascii="仿宋_GB2312" w:hAnsi="仿宋_GB2312" w:eastAsia="仿宋_GB2312" w:cs="仿宋_GB2312"/>
              </w:rPr>
              <w:t>187,824.00</w:t>
            </w:r>
          </w:p>
        </w:tc>
        <w:tc>
          <w:tcPr>
            <w:tcW w:w="755" w:type="dxa"/>
          </w:tcPr>
          <w:p w14:paraId="42EB2687">
            <w:pPr>
              <w:pStyle w:val="4"/>
            </w:pPr>
            <w:r>
              <w:rPr>
                <w:rFonts w:ascii="仿宋_GB2312" w:hAnsi="仿宋_GB2312" w:eastAsia="仿宋_GB2312" w:cs="仿宋_GB2312"/>
              </w:rPr>
              <w:t>项</w:t>
            </w:r>
          </w:p>
        </w:tc>
        <w:tc>
          <w:tcPr>
            <w:tcW w:w="755" w:type="dxa"/>
          </w:tcPr>
          <w:p w14:paraId="7039C74F">
            <w:pPr>
              <w:pStyle w:val="4"/>
            </w:pPr>
            <w:r>
              <w:rPr>
                <w:rFonts w:ascii="仿宋_GB2312" w:hAnsi="仿宋_GB2312" w:eastAsia="仿宋_GB2312" w:cs="仿宋_GB2312"/>
              </w:rPr>
              <w:t>其他未列明行业</w:t>
            </w:r>
          </w:p>
        </w:tc>
        <w:tc>
          <w:tcPr>
            <w:tcW w:w="755" w:type="dxa"/>
          </w:tcPr>
          <w:p w14:paraId="5527354A">
            <w:pPr>
              <w:pStyle w:val="4"/>
            </w:pPr>
            <w:r>
              <w:rPr>
                <w:rFonts w:ascii="仿宋_GB2312" w:hAnsi="仿宋_GB2312" w:eastAsia="仿宋_GB2312" w:cs="仿宋_GB2312"/>
              </w:rPr>
              <w:t>否</w:t>
            </w:r>
          </w:p>
        </w:tc>
        <w:tc>
          <w:tcPr>
            <w:tcW w:w="755" w:type="dxa"/>
          </w:tcPr>
          <w:p w14:paraId="78A853F1">
            <w:pPr>
              <w:pStyle w:val="4"/>
            </w:pPr>
            <w:r>
              <w:rPr>
                <w:rFonts w:ascii="仿宋_GB2312" w:hAnsi="仿宋_GB2312" w:eastAsia="仿宋_GB2312" w:cs="仿宋_GB2312"/>
              </w:rPr>
              <w:t>否</w:t>
            </w:r>
          </w:p>
        </w:tc>
        <w:tc>
          <w:tcPr>
            <w:tcW w:w="755" w:type="dxa"/>
          </w:tcPr>
          <w:p w14:paraId="6FA4F6E5">
            <w:pPr>
              <w:pStyle w:val="4"/>
            </w:pPr>
            <w:r>
              <w:rPr>
                <w:rFonts w:ascii="仿宋_GB2312" w:hAnsi="仿宋_GB2312" w:eastAsia="仿宋_GB2312" w:cs="仿宋_GB2312"/>
              </w:rPr>
              <w:t>否</w:t>
            </w:r>
          </w:p>
        </w:tc>
        <w:tc>
          <w:tcPr>
            <w:tcW w:w="755" w:type="dxa"/>
          </w:tcPr>
          <w:p w14:paraId="5784EA71">
            <w:pPr>
              <w:pStyle w:val="4"/>
            </w:pPr>
            <w:r>
              <w:rPr>
                <w:rFonts w:ascii="仿宋_GB2312" w:hAnsi="仿宋_GB2312" w:eastAsia="仿宋_GB2312" w:cs="仿宋_GB2312"/>
              </w:rPr>
              <w:t>否</w:t>
            </w:r>
          </w:p>
        </w:tc>
        <w:tc>
          <w:tcPr>
            <w:tcW w:w="755" w:type="dxa"/>
          </w:tcPr>
          <w:p w14:paraId="00172733">
            <w:pPr>
              <w:pStyle w:val="4"/>
            </w:pPr>
            <w:r>
              <w:rPr>
                <w:rFonts w:ascii="仿宋_GB2312" w:hAnsi="仿宋_GB2312" w:eastAsia="仿宋_GB2312" w:cs="仿宋_GB2312"/>
              </w:rPr>
              <w:t>否</w:t>
            </w:r>
          </w:p>
        </w:tc>
      </w:tr>
    </w:tbl>
    <w:p w14:paraId="4B412A25">
      <w:pPr>
        <w:pStyle w:val="4"/>
      </w:pPr>
      <w:r>
        <w:rPr>
          <w:rFonts w:ascii="仿宋_GB2312" w:hAnsi="仿宋_GB2312" w:eastAsia="仿宋_GB2312" w:cs="仿宋_GB2312"/>
        </w:rPr>
        <w:t>采购包2：</w:t>
      </w:r>
    </w:p>
    <w:p w14:paraId="3CC81C06">
      <w:pPr>
        <w:pStyle w:val="4"/>
      </w:pPr>
      <w:r>
        <w:rPr>
          <w:rFonts w:ascii="仿宋_GB2312" w:hAnsi="仿宋_GB2312" w:eastAsia="仿宋_GB2312" w:cs="仿宋_GB2312"/>
        </w:rPr>
        <w:t>采购包预算金额（元）: 125,216.00</w:t>
      </w:r>
    </w:p>
    <w:p w14:paraId="27B1A1D7">
      <w:pPr>
        <w:pStyle w:val="4"/>
      </w:pPr>
      <w:r>
        <w:rPr>
          <w:rFonts w:ascii="仿宋_GB2312" w:hAnsi="仿宋_GB2312" w:eastAsia="仿宋_GB2312" w:cs="仿宋_GB2312"/>
        </w:rPr>
        <w:t>采购包最高限价（元）: 125,216.00</w:t>
      </w:r>
    </w:p>
    <w:p w14:paraId="323546CC">
      <w:pPr>
        <w:pStyle w:val="4"/>
      </w:pPr>
      <w:r>
        <w:rPr>
          <w:rFonts w:ascii="仿宋_GB2312" w:hAnsi="仿宋_GB2312" w:eastAsia="仿宋_GB2312" w:cs="仿宋_GB2312"/>
        </w:rPr>
        <w:t>供应商报价不允许超过标的金额</w:t>
      </w:r>
    </w:p>
    <w:p w14:paraId="749EBEFA">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9"/>
        <w:gridCol w:w="729"/>
        <w:gridCol w:w="744"/>
        <w:gridCol w:w="1216"/>
        <w:gridCol w:w="729"/>
        <w:gridCol w:w="729"/>
        <w:gridCol w:w="729"/>
        <w:gridCol w:w="729"/>
        <w:gridCol w:w="729"/>
        <w:gridCol w:w="729"/>
        <w:gridCol w:w="730"/>
      </w:tblGrid>
      <w:tr w14:paraId="3362DA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7B1794A5">
            <w:pPr>
              <w:pStyle w:val="4"/>
            </w:pPr>
            <w:r>
              <w:rPr>
                <w:rFonts w:ascii="仿宋_GB2312" w:hAnsi="仿宋_GB2312" w:eastAsia="仿宋_GB2312" w:cs="仿宋_GB2312"/>
              </w:rPr>
              <w:t>序号</w:t>
            </w:r>
          </w:p>
        </w:tc>
        <w:tc>
          <w:tcPr>
            <w:tcW w:w="755" w:type="dxa"/>
          </w:tcPr>
          <w:p w14:paraId="76B640D1">
            <w:pPr>
              <w:pStyle w:val="4"/>
            </w:pPr>
            <w:r>
              <w:rPr>
                <w:rFonts w:ascii="仿宋_GB2312" w:hAnsi="仿宋_GB2312" w:eastAsia="仿宋_GB2312" w:cs="仿宋_GB2312"/>
              </w:rPr>
              <w:t>标的名称</w:t>
            </w:r>
          </w:p>
        </w:tc>
        <w:tc>
          <w:tcPr>
            <w:tcW w:w="755" w:type="dxa"/>
          </w:tcPr>
          <w:p w14:paraId="3CD23300">
            <w:pPr>
              <w:pStyle w:val="4"/>
            </w:pPr>
            <w:r>
              <w:rPr>
                <w:rFonts w:ascii="仿宋_GB2312" w:hAnsi="仿宋_GB2312" w:eastAsia="仿宋_GB2312" w:cs="仿宋_GB2312"/>
              </w:rPr>
              <w:t>数量</w:t>
            </w:r>
          </w:p>
        </w:tc>
        <w:tc>
          <w:tcPr>
            <w:tcW w:w="755" w:type="dxa"/>
          </w:tcPr>
          <w:p w14:paraId="14728593">
            <w:pPr>
              <w:pStyle w:val="4"/>
            </w:pPr>
            <w:r>
              <w:rPr>
                <w:rFonts w:ascii="仿宋_GB2312" w:hAnsi="仿宋_GB2312" w:eastAsia="仿宋_GB2312" w:cs="仿宋_GB2312"/>
              </w:rPr>
              <w:t>标的金额 （元）</w:t>
            </w:r>
          </w:p>
        </w:tc>
        <w:tc>
          <w:tcPr>
            <w:tcW w:w="755" w:type="dxa"/>
          </w:tcPr>
          <w:p w14:paraId="7CD8A60C">
            <w:pPr>
              <w:pStyle w:val="4"/>
            </w:pPr>
            <w:r>
              <w:rPr>
                <w:rFonts w:ascii="仿宋_GB2312" w:hAnsi="仿宋_GB2312" w:eastAsia="仿宋_GB2312" w:cs="仿宋_GB2312"/>
              </w:rPr>
              <w:t>计量单位</w:t>
            </w:r>
          </w:p>
        </w:tc>
        <w:tc>
          <w:tcPr>
            <w:tcW w:w="755" w:type="dxa"/>
          </w:tcPr>
          <w:p w14:paraId="307172CB">
            <w:pPr>
              <w:pStyle w:val="4"/>
            </w:pPr>
            <w:r>
              <w:rPr>
                <w:rFonts w:ascii="仿宋_GB2312" w:hAnsi="仿宋_GB2312" w:eastAsia="仿宋_GB2312" w:cs="仿宋_GB2312"/>
              </w:rPr>
              <w:t>所属行业</w:t>
            </w:r>
          </w:p>
        </w:tc>
        <w:tc>
          <w:tcPr>
            <w:tcW w:w="755" w:type="dxa"/>
          </w:tcPr>
          <w:p w14:paraId="1117D87C">
            <w:pPr>
              <w:pStyle w:val="4"/>
            </w:pPr>
            <w:r>
              <w:rPr>
                <w:rFonts w:ascii="仿宋_GB2312" w:hAnsi="仿宋_GB2312" w:eastAsia="仿宋_GB2312" w:cs="仿宋_GB2312"/>
              </w:rPr>
              <w:t>是否核心产品</w:t>
            </w:r>
          </w:p>
        </w:tc>
        <w:tc>
          <w:tcPr>
            <w:tcW w:w="755" w:type="dxa"/>
          </w:tcPr>
          <w:p w14:paraId="61FB0BA4">
            <w:pPr>
              <w:pStyle w:val="4"/>
            </w:pPr>
            <w:r>
              <w:rPr>
                <w:rFonts w:ascii="仿宋_GB2312" w:hAnsi="仿宋_GB2312" w:eastAsia="仿宋_GB2312" w:cs="仿宋_GB2312"/>
              </w:rPr>
              <w:t>是否允许进口产品</w:t>
            </w:r>
          </w:p>
        </w:tc>
        <w:tc>
          <w:tcPr>
            <w:tcW w:w="755" w:type="dxa"/>
          </w:tcPr>
          <w:p w14:paraId="0A075A21">
            <w:pPr>
              <w:pStyle w:val="4"/>
            </w:pPr>
            <w:r>
              <w:rPr>
                <w:rFonts w:ascii="仿宋_GB2312" w:hAnsi="仿宋_GB2312" w:eastAsia="仿宋_GB2312" w:cs="仿宋_GB2312"/>
              </w:rPr>
              <w:t>是否属于节能产品</w:t>
            </w:r>
          </w:p>
        </w:tc>
        <w:tc>
          <w:tcPr>
            <w:tcW w:w="755" w:type="dxa"/>
          </w:tcPr>
          <w:p w14:paraId="782C879B">
            <w:pPr>
              <w:pStyle w:val="4"/>
            </w:pPr>
            <w:r>
              <w:rPr>
                <w:rFonts w:ascii="仿宋_GB2312" w:hAnsi="仿宋_GB2312" w:eastAsia="仿宋_GB2312" w:cs="仿宋_GB2312"/>
              </w:rPr>
              <w:t>是否属于环境标志产品</w:t>
            </w:r>
          </w:p>
        </w:tc>
        <w:tc>
          <w:tcPr>
            <w:tcW w:w="755" w:type="dxa"/>
          </w:tcPr>
          <w:p w14:paraId="42508825">
            <w:pPr>
              <w:pStyle w:val="4"/>
            </w:pPr>
            <w:r>
              <w:rPr>
                <w:rFonts w:ascii="仿宋_GB2312" w:hAnsi="仿宋_GB2312" w:eastAsia="仿宋_GB2312" w:cs="仿宋_GB2312"/>
              </w:rPr>
              <w:t>是否实施本国产品政策</w:t>
            </w:r>
          </w:p>
        </w:tc>
      </w:tr>
      <w:tr w14:paraId="635BAF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29FA2EE5">
            <w:pPr>
              <w:pStyle w:val="4"/>
            </w:pPr>
            <w:r>
              <w:rPr>
                <w:rFonts w:ascii="仿宋_GB2312" w:hAnsi="仿宋_GB2312" w:eastAsia="仿宋_GB2312" w:cs="仿宋_GB2312"/>
              </w:rPr>
              <w:t>1</w:t>
            </w:r>
          </w:p>
        </w:tc>
        <w:tc>
          <w:tcPr>
            <w:tcW w:w="755" w:type="dxa"/>
          </w:tcPr>
          <w:p w14:paraId="262B3EBD">
            <w:pPr>
              <w:pStyle w:val="4"/>
            </w:pPr>
            <w:r>
              <w:rPr>
                <w:rFonts w:ascii="仿宋_GB2312" w:hAnsi="仿宋_GB2312" w:eastAsia="仿宋_GB2312" w:cs="仿宋_GB2312"/>
              </w:rPr>
              <w:t>未央区草二村城中村改造配套基础设施建设项目初步设计服务</w:t>
            </w:r>
          </w:p>
        </w:tc>
        <w:tc>
          <w:tcPr>
            <w:tcW w:w="755" w:type="dxa"/>
          </w:tcPr>
          <w:p w14:paraId="61219807">
            <w:pPr>
              <w:pStyle w:val="4"/>
              <w:jc w:val="right"/>
            </w:pPr>
            <w:r>
              <w:rPr>
                <w:rFonts w:ascii="仿宋_GB2312" w:hAnsi="仿宋_GB2312" w:eastAsia="仿宋_GB2312" w:cs="仿宋_GB2312"/>
              </w:rPr>
              <w:t>1.00</w:t>
            </w:r>
          </w:p>
        </w:tc>
        <w:tc>
          <w:tcPr>
            <w:tcW w:w="755" w:type="dxa"/>
          </w:tcPr>
          <w:p w14:paraId="3B55BC45">
            <w:pPr>
              <w:pStyle w:val="4"/>
              <w:jc w:val="right"/>
            </w:pPr>
            <w:r>
              <w:rPr>
                <w:rFonts w:ascii="仿宋_GB2312" w:hAnsi="仿宋_GB2312" w:eastAsia="仿宋_GB2312" w:cs="仿宋_GB2312"/>
              </w:rPr>
              <w:t>125,216.00</w:t>
            </w:r>
          </w:p>
        </w:tc>
        <w:tc>
          <w:tcPr>
            <w:tcW w:w="755" w:type="dxa"/>
          </w:tcPr>
          <w:p w14:paraId="6A77B369">
            <w:pPr>
              <w:pStyle w:val="4"/>
            </w:pPr>
            <w:r>
              <w:rPr>
                <w:rFonts w:ascii="仿宋_GB2312" w:hAnsi="仿宋_GB2312" w:eastAsia="仿宋_GB2312" w:cs="仿宋_GB2312"/>
              </w:rPr>
              <w:t>项</w:t>
            </w:r>
          </w:p>
        </w:tc>
        <w:tc>
          <w:tcPr>
            <w:tcW w:w="755" w:type="dxa"/>
          </w:tcPr>
          <w:p w14:paraId="0D9FF80D">
            <w:pPr>
              <w:pStyle w:val="4"/>
            </w:pPr>
            <w:r>
              <w:rPr>
                <w:rFonts w:ascii="仿宋_GB2312" w:hAnsi="仿宋_GB2312" w:eastAsia="仿宋_GB2312" w:cs="仿宋_GB2312"/>
              </w:rPr>
              <w:t>其他未列明行业</w:t>
            </w:r>
          </w:p>
        </w:tc>
        <w:tc>
          <w:tcPr>
            <w:tcW w:w="755" w:type="dxa"/>
          </w:tcPr>
          <w:p w14:paraId="4661C9A0">
            <w:pPr>
              <w:pStyle w:val="4"/>
            </w:pPr>
            <w:r>
              <w:rPr>
                <w:rFonts w:ascii="仿宋_GB2312" w:hAnsi="仿宋_GB2312" w:eastAsia="仿宋_GB2312" w:cs="仿宋_GB2312"/>
              </w:rPr>
              <w:t>否</w:t>
            </w:r>
          </w:p>
        </w:tc>
        <w:tc>
          <w:tcPr>
            <w:tcW w:w="755" w:type="dxa"/>
          </w:tcPr>
          <w:p w14:paraId="04F61A8D">
            <w:pPr>
              <w:pStyle w:val="4"/>
            </w:pPr>
            <w:r>
              <w:rPr>
                <w:rFonts w:ascii="仿宋_GB2312" w:hAnsi="仿宋_GB2312" w:eastAsia="仿宋_GB2312" w:cs="仿宋_GB2312"/>
              </w:rPr>
              <w:t>否</w:t>
            </w:r>
          </w:p>
        </w:tc>
        <w:tc>
          <w:tcPr>
            <w:tcW w:w="755" w:type="dxa"/>
          </w:tcPr>
          <w:p w14:paraId="2974E476">
            <w:pPr>
              <w:pStyle w:val="4"/>
            </w:pPr>
            <w:r>
              <w:rPr>
                <w:rFonts w:ascii="仿宋_GB2312" w:hAnsi="仿宋_GB2312" w:eastAsia="仿宋_GB2312" w:cs="仿宋_GB2312"/>
              </w:rPr>
              <w:t>否</w:t>
            </w:r>
          </w:p>
        </w:tc>
        <w:tc>
          <w:tcPr>
            <w:tcW w:w="755" w:type="dxa"/>
          </w:tcPr>
          <w:p w14:paraId="07F32537">
            <w:pPr>
              <w:pStyle w:val="4"/>
            </w:pPr>
            <w:r>
              <w:rPr>
                <w:rFonts w:ascii="仿宋_GB2312" w:hAnsi="仿宋_GB2312" w:eastAsia="仿宋_GB2312" w:cs="仿宋_GB2312"/>
              </w:rPr>
              <w:t>否</w:t>
            </w:r>
          </w:p>
        </w:tc>
        <w:tc>
          <w:tcPr>
            <w:tcW w:w="755" w:type="dxa"/>
          </w:tcPr>
          <w:p w14:paraId="6C56C95F">
            <w:pPr>
              <w:pStyle w:val="4"/>
            </w:pPr>
            <w:r>
              <w:rPr>
                <w:rFonts w:ascii="仿宋_GB2312" w:hAnsi="仿宋_GB2312" w:eastAsia="仿宋_GB2312" w:cs="仿宋_GB2312"/>
              </w:rPr>
              <w:t>否</w:t>
            </w:r>
          </w:p>
        </w:tc>
      </w:tr>
    </w:tbl>
    <w:p w14:paraId="33B2F023">
      <w:pPr>
        <w:pStyle w:val="4"/>
        <w:outlineLvl w:val="2"/>
      </w:pPr>
      <w:r>
        <w:rPr>
          <w:rFonts w:ascii="仿宋_GB2312" w:hAnsi="仿宋_GB2312" w:eastAsia="仿宋_GB2312" w:cs="仿宋_GB2312"/>
          <w:b/>
          <w:sz w:val="28"/>
        </w:rPr>
        <w:t>3.2.2服务要求</w:t>
      </w:r>
    </w:p>
    <w:p w14:paraId="02EAF99C">
      <w:pPr>
        <w:pStyle w:val="4"/>
      </w:pPr>
      <w:r>
        <w:rPr>
          <w:rFonts w:ascii="仿宋_GB2312" w:hAnsi="仿宋_GB2312" w:eastAsia="仿宋_GB2312" w:cs="仿宋_GB2312"/>
        </w:rPr>
        <w:t>采购包1：</w:t>
      </w:r>
    </w:p>
    <w:p w14:paraId="247D2CD6">
      <w:pPr>
        <w:pStyle w:val="4"/>
      </w:pPr>
      <w:r>
        <w:rPr>
          <w:rFonts w:ascii="仿宋_GB2312" w:hAnsi="仿宋_GB2312" w:eastAsia="仿宋_GB2312" w:cs="仿宋_GB2312"/>
        </w:rPr>
        <w:t>标的名称：未央区草二村城中村改造配套基础设施建设项目施工图设计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36CA65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2206483">
            <w:pPr>
              <w:pStyle w:val="4"/>
            </w:pPr>
            <w:r>
              <w:rPr>
                <w:rFonts w:ascii="仿宋_GB2312" w:hAnsi="仿宋_GB2312" w:eastAsia="仿宋_GB2312" w:cs="仿宋_GB2312"/>
              </w:rPr>
              <w:t xml:space="preserve"> 序号</w:t>
            </w:r>
          </w:p>
        </w:tc>
        <w:tc>
          <w:tcPr>
            <w:tcW w:w="2769" w:type="dxa"/>
          </w:tcPr>
          <w:p w14:paraId="54C427EC">
            <w:pPr>
              <w:pStyle w:val="4"/>
            </w:pPr>
            <w:r>
              <w:rPr>
                <w:rFonts w:ascii="仿宋_GB2312" w:hAnsi="仿宋_GB2312" w:eastAsia="仿宋_GB2312" w:cs="仿宋_GB2312"/>
              </w:rPr>
              <w:t xml:space="preserve"> 参数性质</w:t>
            </w:r>
          </w:p>
        </w:tc>
        <w:tc>
          <w:tcPr>
            <w:tcW w:w="2769" w:type="dxa"/>
          </w:tcPr>
          <w:p w14:paraId="489476AE">
            <w:pPr>
              <w:pStyle w:val="4"/>
            </w:pPr>
            <w:r>
              <w:rPr>
                <w:rFonts w:ascii="仿宋_GB2312" w:hAnsi="仿宋_GB2312" w:eastAsia="仿宋_GB2312" w:cs="仿宋_GB2312"/>
              </w:rPr>
              <w:t xml:space="preserve"> 技术参数与性能指标</w:t>
            </w:r>
          </w:p>
        </w:tc>
      </w:tr>
      <w:tr w14:paraId="5A9BB8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C0E9E38">
            <w:pPr>
              <w:pStyle w:val="4"/>
            </w:pPr>
            <w:r>
              <w:rPr>
                <w:rFonts w:ascii="仿宋_GB2312" w:hAnsi="仿宋_GB2312" w:eastAsia="仿宋_GB2312" w:cs="仿宋_GB2312"/>
              </w:rPr>
              <w:t>1</w:t>
            </w:r>
          </w:p>
        </w:tc>
        <w:tc>
          <w:tcPr>
            <w:tcW w:w="2769" w:type="dxa"/>
          </w:tcPr>
          <w:p w14:paraId="6263AE89"/>
        </w:tc>
        <w:tc>
          <w:tcPr>
            <w:tcW w:w="2769" w:type="dxa"/>
          </w:tcPr>
          <w:p w14:paraId="08735C81">
            <w:pPr>
              <w:pStyle w:val="4"/>
              <w:jc w:val="both"/>
            </w:pPr>
            <w:r>
              <w:rPr>
                <w:rFonts w:ascii="仿宋_GB2312" w:hAnsi="仿宋_GB2312" w:eastAsia="仿宋_GB2312" w:cs="仿宋_GB2312"/>
                <w:b/>
                <w:color w:val="000000"/>
                <w:sz w:val="20"/>
              </w:rPr>
              <w:t>一、服务内容(包含但不限于)：</w:t>
            </w:r>
          </w:p>
          <w:p w14:paraId="45505FF1">
            <w:pPr>
              <w:pStyle w:val="4"/>
              <w:jc w:val="both"/>
            </w:pPr>
            <w:r>
              <w:rPr>
                <w:rFonts w:ascii="仿宋_GB2312" w:hAnsi="仿宋_GB2312" w:eastAsia="仿宋_GB2312" w:cs="仿宋_GB2312"/>
                <w:color w:val="000000"/>
                <w:sz w:val="20"/>
              </w:rPr>
              <w:t>（1）编制施工图设计方案；</w:t>
            </w:r>
          </w:p>
          <w:p w14:paraId="0A303A73">
            <w:pPr>
              <w:pStyle w:val="4"/>
              <w:jc w:val="both"/>
            </w:pPr>
            <w:r>
              <w:rPr>
                <w:rFonts w:ascii="仿宋_GB2312" w:hAnsi="仿宋_GB2312" w:eastAsia="仿宋_GB2312" w:cs="仿宋_GB2312"/>
                <w:color w:val="000000"/>
                <w:sz w:val="20"/>
              </w:rPr>
              <w:t>（2）编制本项目的设计文本说明；</w:t>
            </w:r>
          </w:p>
          <w:p w14:paraId="0EEF4A67">
            <w:pPr>
              <w:pStyle w:val="4"/>
              <w:jc w:val="both"/>
            </w:pPr>
            <w:r>
              <w:rPr>
                <w:rFonts w:ascii="仿宋_GB2312" w:hAnsi="仿宋_GB2312" w:eastAsia="仿宋_GB2312" w:cs="仿宋_GB2312"/>
                <w:color w:val="000000"/>
                <w:sz w:val="20"/>
              </w:rPr>
              <w:t>（3）施工图设计图纸；</w:t>
            </w:r>
          </w:p>
          <w:p w14:paraId="26ED4F29">
            <w:pPr>
              <w:pStyle w:val="4"/>
              <w:jc w:val="both"/>
            </w:pPr>
            <w:r>
              <w:rPr>
                <w:rFonts w:ascii="仿宋_GB2312" w:hAnsi="仿宋_GB2312" w:eastAsia="仿宋_GB2312" w:cs="仿宋_GB2312"/>
                <w:color w:val="000000"/>
                <w:sz w:val="20"/>
              </w:rPr>
              <w:t>（4）根据项目实际情况提出合理化建议；</w:t>
            </w:r>
          </w:p>
          <w:p w14:paraId="327237EF">
            <w:pPr>
              <w:pStyle w:val="4"/>
              <w:jc w:val="both"/>
            </w:pPr>
            <w:r>
              <w:rPr>
                <w:rFonts w:ascii="仿宋_GB2312" w:hAnsi="仿宋_GB2312" w:eastAsia="仿宋_GB2312" w:cs="仿宋_GB2312"/>
                <w:color w:val="000000"/>
                <w:sz w:val="20"/>
              </w:rPr>
              <w:t>（5）项目成果资料的汇编整理及项目过程资料收集整理；</w:t>
            </w:r>
          </w:p>
          <w:p w14:paraId="72559434">
            <w:pPr>
              <w:pStyle w:val="4"/>
              <w:jc w:val="both"/>
            </w:pPr>
            <w:r>
              <w:rPr>
                <w:rFonts w:ascii="仿宋_GB2312" w:hAnsi="仿宋_GB2312" w:eastAsia="仿宋_GB2312" w:cs="仿宋_GB2312"/>
                <w:color w:val="000000"/>
                <w:sz w:val="20"/>
              </w:rPr>
              <w:t>（6）项目其他施工图设有关咨询的服务。</w:t>
            </w:r>
          </w:p>
          <w:p w14:paraId="5E4AB51D">
            <w:pPr>
              <w:pStyle w:val="4"/>
              <w:jc w:val="both"/>
            </w:pPr>
            <w:r>
              <w:rPr>
                <w:rFonts w:ascii="仿宋_GB2312" w:hAnsi="仿宋_GB2312" w:eastAsia="仿宋_GB2312" w:cs="仿宋_GB2312"/>
                <w:b/>
                <w:color w:val="000000"/>
                <w:sz w:val="20"/>
              </w:rPr>
              <w:t>二、技术要求：</w:t>
            </w:r>
          </w:p>
          <w:p w14:paraId="152DA706">
            <w:pPr>
              <w:pStyle w:val="4"/>
              <w:jc w:val="both"/>
            </w:pPr>
            <w:r>
              <w:rPr>
                <w:rFonts w:ascii="仿宋_GB2312" w:hAnsi="仿宋_GB2312" w:eastAsia="仿宋_GB2312" w:cs="仿宋_GB2312"/>
                <w:color w:val="000000"/>
                <w:sz w:val="20"/>
              </w:rPr>
              <w:t>具备开展道路建设施工图设计的技术力量和经验，采取科学、严谨、针对性强的执行方案，按照国家法律法规的有关规定及操作规程做好项目施工图设计，标准符合国家有关工程建设标准强制性条文和建设部门关于道路建设工程的标准、规范、规程、定额、办法、示例以及采购人要求，技术规范包括但不限于：</w:t>
            </w:r>
          </w:p>
          <w:p w14:paraId="033265D9">
            <w:pPr>
              <w:pStyle w:val="4"/>
              <w:jc w:val="both"/>
            </w:pPr>
            <w:r>
              <w:rPr>
                <w:rFonts w:ascii="仿宋_GB2312" w:hAnsi="仿宋_GB2312" w:eastAsia="仿宋_GB2312" w:cs="仿宋_GB2312"/>
                <w:color w:val="000000"/>
                <w:sz w:val="20"/>
              </w:rPr>
              <w:t>（1）《市政公用工程设计文件深度规定》（2025 年版）</w:t>
            </w:r>
          </w:p>
          <w:p w14:paraId="603D65B9">
            <w:pPr>
              <w:pStyle w:val="4"/>
            </w:pPr>
            <w:r>
              <w:rPr>
                <w:rFonts w:ascii="仿宋_GB2312" w:hAnsi="仿宋_GB2312" w:eastAsia="仿宋_GB2312" w:cs="仿宋_GB2312"/>
                <w:color w:val="000000"/>
                <w:sz w:val="20"/>
              </w:rPr>
              <w:t>（2）《城市道路交通工程项目规范》（GB55011-2021）；</w:t>
            </w:r>
          </w:p>
          <w:p w14:paraId="4A640266">
            <w:pPr>
              <w:pStyle w:val="4"/>
            </w:pPr>
            <w:r>
              <w:rPr>
                <w:rFonts w:ascii="仿宋_GB2312" w:hAnsi="仿宋_GB2312" w:eastAsia="仿宋_GB2312" w:cs="仿宋_GB2312"/>
                <w:color w:val="000000"/>
                <w:sz w:val="20"/>
              </w:rPr>
              <w:t>（3）《城市道路工程设计规范》（CJJ37-2012）（2016 年版）；</w:t>
            </w:r>
          </w:p>
          <w:p w14:paraId="2192B025">
            <w:pPr>
              <w:pStyle w:val="4"/>
            </w:pPr>
            <w:r>
              <w:rPr>
                <w:rFonts w:ascii="仿宋_GB2312" w:hAnsi="仿宋_GB2312" w:eastAsia="仿宋_GB2312" w:cs="仿宋_GB2312"/>
                <w:color w:val="000000"/>
                <w:sz w:val="20"/>
              </w:rPr>
              <w:t>（4）《城镇道路路面设计规范》（CJJ169-2012）；</w:t>
            </w:r>
          </w:p>
          <w:p w14:paraId="482F4CE3">
            <w:pPr>
              <w:pStyle w:val="4"/>
            </w:pPr>
            <w:r>
              <w:rPr>
                <w:rFonts w:ascii="仿宋_GB2312" w:hAnsi="仿宋_GB2312" w:eastAsia="仿宋_GB2312" w:cs="仿宋_GB2312"/>
                <w:color w:val="000000"/>
                <w:sz w:val="20"/>
              </w:rPr>
              <w:t>（5）《城市道路交叉口设计规程》（CJJ152-2010）</w:t>
            </w:r>
          </w:p>
          <w:p w14:paraId="38898D08">
            <w:pPr>
              <w:pStyle w:val="4"/>
            </w:pPr>
            <w:r>
              <w:rPr>
                <w:rFonts w:ascii="仿宋_GB2312" w:hAnsi="仿宋_GB2312" w:eastAsia="仿宋_GB2312" w:cs="仿宋_GB2312"/>
                <w:color w:val="000000"/>
                <w:sz w:val="20"/>
              </w:rPr>
              <w:t>（6）《室外排水设计标准》（GB50014-2021）；</w:t>
            </w:r>
          </w:p>
          <w:p w14:paraId="3DCB0B02">
            <w:pPr>
              <w:pStyle w:val="4"/>
            </w:pPr>
            <w:r>
              <w:rPr>
                <w:rFonts w:ascii="仿宋_GB2312" w:hAnsi="仿宋_GB2312" w:eastAsia="仿宋_GB2312" w:cs="仿宋_GB2312"/>
                <w:color w:val="000000"/>
                <w:sz w:val="20"/>
              </w:rPr>
              <w:t>（7）《城市给水工程项目规范》（GB55026-2022）；</w:t>
            </w:r>
          </w:p>
          <w:p w14:paraId="42F9A20B">
            <w:pPr>
              <w:pStyle w:val="4"/>
            </w:pPr>
            <w:r>
              <w:rPr>
                <w:rFonts w:ascii="仿宋_GB2312" w:hAnsi="仿宋_GB2312" w:eastAsia="仿宋_GB2312" w:cs="仿宋_GB2312"/>
                <w:color w:val="000000"/>
                <w:sz w:val="20"/>
              </w:rPr>
              <w:t>（8）《城乡排水工程项目规范》（GB55027-2022）；</w:t>
            </w:r>
          </w:p>
          <w:p w14:paraId="1CBE5D38">
            <w:pPr>
              <w:pStyle w:val="4"/>
            </w:pPr>
            <w:r>
              <w:rPr>
                <w:rFonts w:ascii="仿宋_GB2312" w:hAnsi="仿宋_GB2312" w:eastAsia="仿宋_GB2312" w:cs="仿宋_GB2312"/>
                <w:color w:val="000000"/>
                <w:sz w:val="20"/>
              </w:rPr>
              <w:t>（9）其他相关规标准。</w:t>
            </w:r>
          </w:p>
          <w:p w14:paraId="7BA50D55">
            <w:pPr>
              <w:pStyle w:val="4"/>
              <w:ind w:firstLine="200"/>
              <w:jc w:val="both"/>
            </w:pPr>
            <w:r>
              <w:rPr>
                <w:rFonts w:ascii="仿宋_GB2312" w:hAnsi="仿宋_GB2312" w:eastAsia="仿宋_GB2312" w:cs="仿宋_GB2312"/>
                <w:color w:val="000000"/>
                <w:sz w:val="20"/>
              </w:rPr>
              <w:t>凡涉及的相关规范，国家有最新标准的以最新标准为准，所有标准哪个标准高执行哪个标准。</w:t>
            </w:r>
          </w:p>
          <w:p w14:paraId="0910A91F">
            <w:pPr>
              <w:pStyle w:val="4"/>
              <w:jc w:val="both"/>
            </w:pPr>
            <w:r>
              <w:rPr>
                <w:rFonts w:ascii="仿宋_GB2312" w:hAnsi="仿宋_GB2312" w:eastAsia="仿宋_GB2312" w:cs="仿宋_GB2312"/>
                <w:b/>
                <w:color w:val="000000"/>
                <w:sz w:val="20"/>
              </w:rPr>
              <w:t>三、设计原则及要求：</w:t>
            </w:r>
          </w:p>
          <w:p w14:paraId="5E18B2DE">
            <w:pPr>
              <w:pStyle w:val="4"/>
              <w:jc w:val="left"/>
            </w:pPr>
            <w:r>
              <w:rPr>
                <w:rFonts w:ascii="仿宋_GB2312" w:hAnsi="仿宋_GB2312" w:eastAsia="仿宋_GB2312" w:cs="仿宋_GB2312"/>
                <w:color w:val="000000"/>
                <w:sz w:val="20"/>
              </w:rPr>
              <w:t>（一）方案设计原则</w:t>
            </w:r>
          </w:p>
          <w:p w14:paraId="6D815301">
            <w:pPr>
              <w:pStyle w:val="4"/>
              <w:ind w:firstLine="400"/>
              <w:jc w:val="left"/>
            </w:pPr>
            <w:r>
              <w:rPr>
                <w:rFonts w:ascii="仿宋_GB2312" w:hAnsi="仿宋_GB2312" w:eastAsia="仿宋_GB2312" w:cs="仿宋_GB2312"/>
                <w:color w:val="000000"/>
                <w:sz w:val="20"/>
              </w:rPr>
              <w:t>坚持科学合理、技术合理、经济合算、安全可靠且符合相关规范，不低于我市基础设施的平均水平，保证道路建设符合现行标准、正常投入使用。</w:t>
            </w:r>
          </w:p>
          <w:p w14:paraId="325B97E8">
            <w:pPr>
              <w:pStyle w:val="4"/>
              <w:ind w:firstLine="200"/>
              <w:jc w:val="left"/>
            </w:pPr>
            <w:r>
              <w:rPr>
                <w:rFonts w:ascii="仿宋_GB2312" w:hAnsi="仿宋_GB2312" w:eastAsia="仿宋_GB2312" w:cs="仿宋_GB2312"/>
                <w:color w:val="000000"/>
                <w:sz w:val="20"/>
              </w:rPr>
              <w:t>（1）认真贯彻执行《中华人民共和国建设法》、《建设工程质量管理条例》、《工程建设强制性标准》，国家行业主管部门颁布的相关法律法规，严格执行国家有关设计标准和规范。坚持百年大计，质量第一的原则，严格执行相关的设计、验收标准，确保方案设计质量满足要求。</w:t>
            </w:r>
          </w:p>
          <w:p w14:paraId="29BF7B82">
            <w:pPr>
              <w:pStyle w:val="4"/>
              <w:ind w:firstLine="200"/>
              <w:jc w:val="left"/>
            </w:pPr>
            <w:r>
              <w:rPr>
                <w:rFonts w:ascii="仿宋_GB2312" w:hAnsi="仿宋_GB2312" w:eastAsia="仿宋_GB2312" w:cs="仿宋_GB2312"/>
                <w:color w:val="000000"/>
                <w:sz w:val="20"/>
              </w:rPr>
              <w:t>（2）根据可研确定的设计方案及参数，进一步优化设计方案，做到既满足使用需要又节约投资。</w:t>
            </w:r>
          </w:p>
          <w:p w14:paraId="0E699503">
            <w:pPr>
              <w:pStyle w:val="4"/>
              <w:ind w:firstLine="200"/>
              <w:jc w:val="left"/>
            </w:pPr>
            <w:r>
              <w:rPr>
                <w:rFonts w:ascii="仿宋_GB2312" w:hAnsi="仿宋_GB2312" w:eastAsia="仿宋_GB2312" w:cs="仿宋_GB2312"/>
                <w:color w:val="000000"/>
                <w:sz w:val="20"/>
              </w:rPr>
              <w:t>（3）采用先进、成熟、可靠、适用的工艺技术，确保工程安全可靠运行；遵循安全、环保、节能减排原则，从当地实际条件出发，优化结构并合理利用，实现高效益低成本，使其具有良好的经济效益、环境效益和社会效益，坚持可持续发展战略。</w:t>
            </w:r>
          </w:p>
          <w:p w14:paraId="687C90FE">
            <w:pPr>
              <w:pStyle w:val="4"/>
              <w:ind w:firstLine="200"/>
              <w:jc w:val="left"/>
            </w:pPr>
            <w:r>
              <w:rPr>
                <w:rFonts w:ascii="仿宋_GB2312" w:hAnsi="仿宋_GB2312" w:eastAsia="仿宋_GB2312" w:cs="仿宋_GB2312"/>
                <w:color w:val="000000"/>
                <w:sz w:val="20"/>
              </w:rPr>
              <w:t>（4）结合现场实际，根据地块、建筑物、围墙、树木、河流以及其他市政管道、电信电缆位置等统筹兼顾，合理布置道路位置及走向。</w:t>
            </w:r>
          </w:p>
          <w:p w14:paraId="0E8C5413">
            <w:pPr>
              <w:pStyle w:val="4"/>
              <w:ind w:firstLine="200"/>
              <w:jc w:val="left"/>
            </w:pPr>
            <w:r>
              <w:rPr>
                <w:rFonts w:ascii="仿宋_GB2312" w:hAnsi="仿宋_GB2312" w:eastAsia="仿宋_GB2312" w:cs="仿宋_GB2312"/>
                <w:color w:val="000000"/>
                <w:sz w:val="20"/>
              </w:rPr>
              <w:t>（5）实事求是，尊重科学，在保证工程质量的前提下，建设中应合理采用安全、可靠、节能的新技术、新工艺、新材料，避免使用淘汰或落后的技术及产品，努力提升工程的管理效率和环保效益，降低投资，保证与日益发展的现代化城市要求相匹配实现渠道改造与科技进步相结合。坚持高起点、高标准、超前规划的指导思想，充分考虑高速度发展的特征，为城市发展预留适当的市政容量。</w:t>
            </w:r>
          </w:p>
          <w:p w14:paraId="47A18A08">
            <w:pPr>
              <w:pStyle w:val="4"/>
              <w:ind w:firstLine="200"/>
              <w:jc w:val="left"/>
            </w:pPr>
            <w:r>
              <w:rPr>
                <w:rFonts w:ascii="仿宋_GB2312" w:hAnsi="仿宋_GB2312" w:eastAsia="仿宋_GB2312" w:cs="仿宋_GB2312"/>
                <w:color w:val="000000"/>
                <w:sz w:val="20"/>
              </w:rPr>
              <w:t>(二)方案设计要求</w:t>
            </w:r>
          </w:p>
          <w:p w14:paraId="5EAE144A">
            <w:pPr>
              <w:pStyle w:val="4"/>
              <w:ind w:firstLine="200"/>
              <w:jc w:val="left"/>
            </w:pPr>
            <w:r>
              <w:rPr>
                <w:rFonts w:ascii="仿宋_GB2312" w:hAnsi="仿宋_GB2312" w:eastAsia="仿宋_GB2312" w:cs="仿宋_GB2312"/>
                <w:color w:val="000000"/>
                <w:sz w:val="20"/>
              </w:rPr>
              <w:t>（1）技术要求：服务成果应保证合法、真实、有效，各项数据来源均为官方渠道，方案设计完整全面、科学合理、可行性强；成果如有不完善，应无条件配合补充至达到采购人要求。</w:t>
            </w:r>
          </w:p>
          <w:p w14:paraId="057066C6">
            <w:pPr>
              <w:pStyle w:val="4"/>
              <w:ind w:firstLine="200"/>
              <w:jc w:val="left"/>
            </w:pPr>
            <w:r>
              <w:rPr>
                <w:rFonts w:ascii="仿宋_GB2312" w:hAnsi="仿宋_GB2312" w:eastAsia="仿宋_GB2312" w:cs="仿宋_GB2312"/>
                <w:color w:val="000000"/>
                <w:sz w:val="20"/>
              </w:rPr>
              <w:t>（2）方案成果符合要求，在规定的工作天数内完成方案设计后向采购人申请方案汇报；方案汇报要求主创方案设计师或者设计负责人进行总体及专项汇报，汇报以PPT、音频文件、动画等图文并茂形式进行；汇报后，根据采购人及评审专家的意见进行方案调整、修改。</w:t>
            </w:r>
          </w:p>
          <w:p w14:paraId="1D056E3D">
            <w:pPr>
              <w:pStyle w:val="4"/>
              <w:ind w:firstLine="200"/>
              <w:jc w:val="left"/>
            </w:pPr>
            <w:r>
              <w:rPr>
                <w:rFonts w:ascii="仿宋_GB2312" w:hAnsi="仿宋_GB2312" w:eastAsia="仿宋_GB2312" w:cs="仿宋_GB2312"/>
                <w:color w:val="000000"/>
                <w:sz w:val="20"/>
              </w:rPr>
              <w:t>（3）方案修改、调整定稿后，根据采购人要求提交正式项目方案设计文本，各个阶段的方案汇报，如有待沟通的问题，及时与建设单位进行沟通，协调解决。</w:t>
            </w:r>
          </w:p>
          <w:p w14:paraId="4B9DB550">
            <w:pPr>
              <w:pStyle w:val="4"/>
              <w:jc w:val="both"/>
            </w:pPr>
            <w:r>
              <w:rPr>
                <w:rFonts w:ascii="仿宋_GB2312" w:hAnsi="仿宋_GB2312" w:eastAsia="仿宋_GB2312" w:cs="仿宋_GB2312"/>
                <w:b/>
                <w:color w:val="000000"/>
                <w:sz w:val="20"/>
              </w:rPr>
              <w:t>四、进度要求：</w:t>
            </w:r>
            <w:r>
              <w:rPr>
                <w:rFonts w:ascii="仿宋_GB2312" w:hAnsi="仿宋_GB2312" w:eastAsia="仿宋_GB2312" w:cs="仿宋_GB2312"/>
                <w:color w:val="000000"/>
                <w:sz w:val="20"/>
              </w:rPr>
              <w:t>通过采取组织、技术、经济等控制措施将项目实施进度控制在采购人所要求的合理时间节点内。</w:t>
            </w:r>
          </w:p>
          <w:p w14:paraId="11D32749">
            <w:pPr>
              <w:pStyle w:val="4"/>
              <w:jc w:val="left"/>
            </w:pPr>
            <w:r>
              <w:rPr>
                <w:rFonts w:ascii="仿宋_GB2312" w:hAnsi="仿宋_GB2312" w:eastAsia="仿宋_GB2312" w:cs="仿宋_GB2312"/>
                <w:b/>
                <w:color w:val="000000"/>
                <w:sz w:val="20"/>
              </w:rPr>
              <w:t>五、服务要求：</w:t>
            </w:r>
            <w:r>
              <w:rPr>
                <w:rFonts w:ascii="仿宋_GB2312" w:hAnsi="仿宋_GB2312" w:eastAsia="仿宋_GB2312" w:cs="仿宋_GB2312"/>
                <w:color w:val="000000"/>
                <w:sz w:val="20"/>
              </w:rPr>
              <w:t>（1）服务方须指派专属人员与采购人联系服务事宜，服务响应时间应根据采购人实际安排随时调整。</w:t>
            </w:r>
          </w:p>
          <w:p w14:paraId="49426203">
            <w:pPr>
              <w:pStyle w:val="4"/>
              <w:ind w:firstLine="200"/>
              <w:jc w:val="left"/>
            </w:pPr>
            <w:r>
              <w:rPr>
                <w:rFonts w:ascii="仿宋_GB2312" w:hAnsi="仿宋_GB2312" w:eastAsia="仿宋_GB2312" w:cs="仿宋_GB2312"/>
                <w:color w:val="000000"/>
                <w:sz w:val="20"/>
              </w:rPr>
              <w:t>（2）服务方需根据服务实际情况编制服务方案、管理方案、服务计划、重点难点分析、质量控制、后续服务等方案措施。</w:t>
            </w:r>
          </w:p>
          <w:p w14:paraId="30468B71">
            <w:pPr>
              <w:pStyle w:val="4"/>
              <w:ind w:firstLine="200"/>
              <w:jc w:val="left"/>
            </w:pPr>
            <w:r>
              <w:rPr>
                <w:rFonts w:ascii="仿宋_GB2312" w:hAnsi="仿宋_GB2312" w:eastAsia="仿宋_GB2312" w:cs="仿宋_GB2312"/>
                <w:color w:val="000000"/>
                <w:sz w:val="20"/>
              </w:rPr>
              <w:t>（3）服务过程中，严格遵守各种管理规定及规章制度，做到奉公守法、诚实守信、廉洁自律、安全文明；服务过程中如发生工伤及意外事故由服务单位负责。</w:t>
            </w:r>
          </w:p>
          <w:p w14:paraId="3D11C24C">
            <w:pPr>
              <w:pStyle w:val="4"/>
              <w:ind w:firstLine="200"/>
              <w:jc w:val="left"/>
            </w:pPr>
            <w:r>
              <w:rPr>
                <w:rFonts w:ascii="仿宋_GB2312" w:hAnsi="仿宋_GB2312" w:eastAsia="仿宋_GB2312" w:cs="仿宋_GB2312"/>
                <w:color w:val="000000"/>
                <w:sz w:val="20"/>
              </w:rPr>
              <w:t>（4）服务方拟投入的服务人员对于在工作中获悉的一切政府工作的信息应严格保守秘密，不得泄露；对于违反者，给采购人单位造成不良社会影响的，或给采购人单位造成损失的，由服务方承担赔偿责任。</w:t>
            </w:r>
          </w:p>
          <w:p w14:paraId="7EB4B413">
            <w:pPr>
              <w:pStyle w:val="4"/>
              <w:ind w:firstLine="200"/>
              <w:jc w:val="left"/>
            </w:pPr>
            <w:r>
              <w:rPr>
                <w:rFonts w:ascii="仿宋_GB2312" w:hAnsi="仿宋_GB2312" w:eastAsia="仿宋_GB2312" w:cs="仿宋_GB2312"/>
                <w:color w:val="000000"/>
                <w:sz w:val="20"/>
              </w:rPr>
              <w:t>（5）严格按照国家、陕西省、西安市有关规定及采购人要求进行服务，不得随意更改或者变换服务内容，每项服务内容实施前应事先取得采购人的落实后方可实施。</w:t>
            </w:r>
          </w:p>
          <w:p w14:paraId="0D5B433B">
            <w:pPr>
              <w:pStyle w:val="4"/>
              <w:ind w:firstLine="200"/>
              <w:jc w:val="left"/>
            </w:pPr>
            <w:r>
              <w:rPr>
                <w:rFonts w:ascii="仿宋_GB2312" w:hAnsi="仿宋_GB2312" w:eastAsia="仿宋_GB2312" w:cs="仿宋_GB2312"/>
                <w:color w:val="000000"/>
                <w:sz w:val="20"/>
              </w:rPr>
              <w:t>（6）配合促进采购人安排的其他相关工作。</w:t>
            </w:r>
          </w:p>
          <w:p w14:paraId="3C9D3FC6">
            <w:pPr>
              <w:pStyle w:val="4"/>
              <w:jc w:val="left"/>
            </w:pPr>
            <w:r>
              <w:rPr>
                <w:rFonts w:ascii="仿宋_GB2312" w:hAnsi="仿宋_GB2312" w:eastAsia="仿宋_GB2312" w:cs="仿宋_GB2312"/>
                <w:b/>
                <w:color w:val="000000"/>
                <w:sz w:val="20"/>
              </w:rPr>
              <w:t>六、成果要求：</w:t>
            </w:r>
            <w:r>
              <w:rPr>
                <w:rFonts w:ascii="仿宋_GB2312" w:hAnsi="仿宋_GB2312" w:eastAsia="仿宋_GB2312" w:cs="仿宋_GB2312"/>
                <w:color w:val="000000"/>
                <w:sz w:val="20"/>
              </w:rPr>
              <w:t>（1）成果内容应完整真实、科学严谨、思路清晰、具有代表性，综合考虑道路建设的功能和潜力，提出建设实施详细规划和可行性优化方案，符合新形势、新变化、新发展下道路建设。</w:t>
            </w:r>
          </w:p>
          <w:p w14:paraId="1354B302">
            <w:pPr>
              <w:pStyle w:val="4"/>
              <w:ind w:firstLine="400"/>
              <w:jc w:val="left"/>
            </w:pPr>
            <w:r>
              <w:rPr>
                <w:rFonts w:ascii="仿宋_GB2312" w:hAnsi="仿宋_GB2312" w:eastAsia="仿宋_GB2312" w:cs="仿宋_GB2312"/>
                <w:color w:val="000000"/>
                <w:sz w:val="20"/>
              </w:rPr>
              <w:t>（2）成果内容包含但不限于：①施工图阶段：图纸目录、施工图设计总说明、材料用量统计表、总平面索引图、施工尺寸放线图、植物种植图、节点及关键部位施工详图等。②所有设计成果初稿完成后应按采购人提出的审查意见和修改意见进行修改，直至获得有关主管部门审批通过，本项目所完成的编制成果的所有权、知识产权归采购人。</w:t>
            </w:r>
          </w:p>
          <w:p w14:paraId="39133864">
            <w:pPr>
              <w:pStyle w:val="4"/>
              <w:jc w:val="both"/>
            </w:pPr>
            <w:r>
              <w:rPr>
                <w:rFonts w:ascii="仿宋_GB2312" w:hAnsi="仿宋_GB2312" w:eastAsia="仿宋_GB2312" w:cs="仿宋_GB2312"/>
                <w:color w:val="000000"/>
                <w:sz w:val="20"/>
              </w:rPr>
              <w:t>（3）所有提供资料包括：①纸质成果印刷装订，一式四份；②电子成果为与纸质成果相对应的电子文档（pdf格式）。</w:t>
            </w:r>
          </w:p>
          <w:p w14:paraId="7D7C1EFB">
            <w:pPr>
              <w:pStyle w:val="4"/>
              <w:jc w:val="left"/>
            </w:pPr>
            <w:r>
              <w:rPr>
                <w:rFonts w:ascii="仿宋_GB2312" w:hAnsi="仿宋_GB2312" w:eastAsia="仿宋_GB2312" w:cs="仿宋_GB2312"/>
                <w:b/>
                <w:color w:val="000000"/>
                <w:sz w:val="20"/>
              </w:rPr>
              <w:t>七、服务标准：</w:t>
            </w:r>
            <w:r>
              <w:rPr>
                <w:rFonts w:ascii="仿宋_GB2312" w:hAnsi="仿宋_GB2312" w:eastAsia="仿宋_GB2312" w:cs="仿宋_GB2312"/>
                <w:color w:val="000000"/>
                <w:sz w:val="20"/>
              </w:rPr>
              <w:t>（1）各项服务符合国家、省、市（行业）强制性标准及采购人要求的合格标准。</w:t>
            </w:r>
          </w:p>
          <w:p w14:paraId="4E52739C">
            <w:pPr>
              <w:pStyle w:val="4"/>
            </w:pPr>
            <w:r>
              <w:rPr>
                <w:rFonts w:ascii="仿宋_GB2312" w:hAnsi="仿宋_GB2312" w:eastAsia="仿宋_GB2312" w:cs="仿宋_GB2312"/>
                <w:color w:val="000000"/>
                <w:sz w:val="20"/>
              </w:rPr>
              <w:t>（2）服务、产品（如有）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哪个标准高执行哪个标准。</w:t>
            </w:r>
          </w:p>
        </w:tc>
      </w:tr>
    </w:tbl>
    <w:p w14:paraId="4F7157D4">
      <w:pPr>
        <w:pStyle w:val="4"/>
      </w:pPr>
      <w:r>
        <w:rPr>
          <w:rFonts w:ascii="仿宋_GB2312" w:hAnsi="仿宋_GB2312" w:eastAsia="仿宋_GB2312" w:cs="仿宋_GB2312"/>
        </w:rPr>
        <w:t>采购包2：</w:t>
      </w:r>
    </w:p>
    <w:p w14:paraId="729761CF">
      <w:pPr>
        <w:pStyle w:val="4"/>
      </w:pPr>
      <w:r>
        <w:rPr>
          <w:rFonts w:ascii="仿宋_GB2312" w:hAnsi="仿宋_GB2312" w:eastAsia="仿宋_GB2312" w:cs="仿宋_GB2312"/>
        </w:rPr>
        <w:t>标的名称：未央区草二村城中村改造配套基础设施建设项目初步设计服务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186347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F39FE8D">
            <w:pPr>
              <w:pStyle w:val="4"/>
            </w:pPr>
            <w:r>
              <w:rPr>
                <w:rFonts w:ascii="仿宋_GB2312" w:hAnsi="仿宋_GB2312" w:eastAsia="仿宋_GB2312" w:cs="仿宋_GB2312"/>
              </w:rPr>
              <w:t xml:space="preserve"> 序号</w:t>
            </w:r>
          </w:p>
        </w:tc>
        <w:tc>
          <w:tcPr>
            <w:tcW w:w="2769" w:type="dxa"/>
          </w:tcPr>
          <w:p w14:paraId="21D48327">
            <w:pPr>
              <w:pStyle w:val="4"/>
            </w:pPr>
            <w:r>
              <w:rPr>
                <w:rFonts w:ascii="仿宋_GB2312" w:hAnsi="仿宋_GB2312" w:eastAsia="仿宋_GB2312" w:cs="仿宋_GB2312"/>
              </w:rPr>
              <w:t xml:space="preserve"> 参数性质</w:t>
            </w:r>
          </w:p>
        </w:tc>
        <w:tc>
          <w:tcPr>
            <w:tcW w:w="2769" w:type="dxa"/>
          </w:tcPr>
          <w:p w14:paraId="640BE3C3">
            <w:pPr>
              <w:pStyle w:val="4"/>
            </w:pPr>
            <w:r>
              <w:rPr>
                <w:rFonts w:ascii="仿宋_GB2312" w:hAnsi="仿宋_GB2312" w:eastAsia="仿宋_GB2312" w:cs="仿宋_GB2312"/>
              </w:rPr>
              <w:t xml:space="preserve"> 技术参数与性能指标</w:t>
            </w:r>
          </w:p>
        </w:tc>
      </w:tr>
      <w:tr w14:paraId="00D882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D0E504B">
            <w:pPr>
              <w:pStyle w:val="4"/>
            </w:pPr>
            <w:r>
              <w:rPr>
                <w:rFonts w:ascii="仿宋_GB2312" w:hAnsi="仿宋_GB2312" w:eastAsia="仿宋_GB2312" w:cs="仿宋_GB2312"/>
              </w:rPr>
              <w:t>1</w:t>
            </w:r>
          </w:p>
        </w:tc>
        <w:tc>
          <w:tcPr>
            <w:tcW w:w="2769" w:type="dxa"/>
          </w:tcPr>
          <w:p w14:paraId="15CD7E17"/>
        </w:tc>
        <w:tc>
          <w:tcPr>
            <w:tcW w:w="2769" w:type="dxa"/>
          </w:tcPr>
          <w:p w14:paraId="4BAB54AC">
            <w:pPr>
              <w:pStyle w:val="4"/>
              <w:jc w:val="both"/>
            </w:pPr>
            <w:r>
              <w:rPr>
                <w:rFonts w:ascii="仿宋_GB2312" w:hAnsi="仿宋_GB2312" w:eastAsia="仿宋_GB2312" w:cs="仿宋_GB2312"/>
                <w:b/>
                <w:color w:val="000000"/>
                <w:sz w:val="20"/>
              </w:rPr>
              <w:t>一、服务内容(包含但不限于)：</w:t>
            </w:r>
          </w:p>
          <w:p w14:paraId="1D2FD97F">
            <w:pPr>
              <w:pStyle w:val="4"/>
              <w:jc w:val="both"/>
            </w:pPr>
            <w:r>
              <w:rPr>
                <w:rFonts w:ascii="仿宋_GB2312" w:hAnsi="仿宋_GB2312" w:eastAsia="仿宋_GB2312" w:cs="仿宋_GB2312"/>
                <w:color w:val="000000"/>
                <w:sz w:val="20"/>
              </w:rPr>
              <w:t>（1）编制初步设计方案；</w:t>
            </w:r>
          </w:p>
          <w:p w14:paraId="049A33EF">
            <w:pPr>
              <w:pStyle w:val="4"/>
              <w:jc w:val="both"/>
            </w:pPr>
            <w:r>
              <w:rPr>
                <w:rFonts w:ascii="仿宋_GB2312" w:hAnsi="仿宋_GB2312" w:eastAsia="仿宋_GB2312" w:cs="仿宋_GB2312"/>
                <w:color w:val="000000"/>
                <w:sz w:val="20"/>
              </w:rPr>
              <w:t>（2）编制初步工程投资概算；</w:t>
            </w:r>
          </w:p>
          <w:p w14:paraId="09D3E5C9">
            <w:pPr>
              <w:pStyle w:val="4"/>
              <w:jc w:val="both"/>
            </w:pPr>
            <w:r>
              <w:rPr>
                <w:rFonts w:ascii="仿宋_GB2312" w:hAnsi="仿宋_GB2312" w:eastAsia="仿宋_GB2312" w:cs="仿宋_GB2312"/>
                <w:color w:val="000000"/>
                <w:sz w:val="20"/>
              </w:rPr>
              <w:t>（3）根据项目实际情况提出合理化建议；</w:t>
            </w:r>
          </w:p>
          <w:p w14:paraId="3066513F">
            <w:pPr>
              <w:pStyle w:val="4"/>
              <w:jc w:val="both"/>
            </w:pPr>
            <w:r>
              <w:rPr>
                <w:rFonts w:ascii="仿宋_GB2312" w:hAnsi="仿宋_GB2312" w:eastAsia="仿宋_GB2312" w:cs="仿宋_GB2312"/>
                <w:color w:val="000000"/>
                <w:sz w:val="20"/>
              </w:rPr>
              <w:t>（4）项目成果资料的汇编整理及项目过程资料收集整理；</w:t>
            </w:r>
          </w:p>
          <w:p w14:paraId="629D2A7E">
            <w:pPr>
              <w:pStyle w:val="4"/>
              <w:jc w:val="both"/>
            </w:pPr>
            <w:r>
              <w:rPr>
                <w:rFonts w:ascii="仿宋_GB2312" w:hAnsi="仿宋_GB2312" w:eastAsia="仿宋_GB2312" w:cs="仿宋_GB2312"/>
                <w:color w:val="000000"/>
                <w:sz w:val="20"/>
              </w:rPr>
              <w:t>（5）项目其他初步设计有关咨询的服务。</w:t>
            </w:r>
          </w:p>
          <w:p w14:paraId="4ADEB750">
            <w:pPr>
              <w:pStyle w:val="4"/>
              <w:jc w:val="both"/>
            </w:pPr>
            <w:r>
              <w:rPr>
                <w:rFonts w:ascii="仿宋_GB2312" w:hAnsi="仿宋_GB2312" w:eastAsia="仿宋_GB2312" w:cs="仿宋_GB2312"/>
                <w:b/>
                <w:color w:val="000000"/>
                <w:sz w:val="20"/>
              </w:rPr>
              <w:t>二、技术要求：</w:t>
            </w:r>
            <w:r>
              <w:rPr>
                <w:rFonts w:ascii="仿宋_GB2312" w:hAnsi="仿宋_GB2312" w:eastAsia="仿宋_GB2312" w:cs="仿宋_GB2312"/>
                <w:color w:val="000000"/>
                <w:sz w:val="20"/>
              </w:rPr>
              <w:t>具备开展道路建设初步设计的技术力量和经验，采取科学、严谨、针对性强的执行方案，按照国家法律法规的有关规定及操作规程做好项目的初步设计，标准符合国家有关工程建设标准强制性条文和建设部门关于道路建设工程的标准、规范、规程、定额、办法、示例以及采购人要求，技术规范包括但不限于：</w:t>
            </w:r>
          </w:p>
          <w:p w14:paraId="7DE63A40">
            <w:pPr>
              <w:pStyle w:val="4"/>
              <w:jc w:val="both"/>
            </w:pPr>
            <w:r>
              <w:rPr>
                <w:rFonts w:ascii="仿宋_GB2312" w:hAnsi="仿宋_GB2312" w:eastAsia="仿宋_GB2312" w:cs="仿宋_GB2312"/>
                <w:color w:val="000000"/>
                <w:sz w:val="20"/>
              </w:rPr>
              <w:t>（1）《市政公用工程设计文件深度规定》（2025 年版）</w:t>
            </w:r>
          </w:p>
          <w:p w14:paraId="38A0A080">
            <w:pPr>
              <w:pStyle w:val="4"/>
              <w:jc w:val="both"/>
            </w:pPr>
            <w:r>
              <w:rPr>
                <w:rFonts w:ascii="仿宋_GB2312" w:hAnsi="仿宋_GB2312" w:eastAsia="仿宋_GB2312" w:cs="仿宋_GB2312"/>
                <w:color w:val="000000"/>
                <w:sz w:val="20"/>
              </w:rPr>
              <w:t>（2）《城市道路交通工程项目规范》（GB55011-2021）；</w:t>
            </w:r>
          </w:p>
          <w:p w14:paraId="6FAE77C2">
            <w:pPr>
              <w:pStyle w:val="4"/>
              <w:jc w:val="both"/>
            </w:pPr>
            <w:r>
              <w:rPr>
                <w:rFonts w:ascii="仿宋_GB2312" w:hAnsi="仿宋_GB2312" w:eastAsia="仿宋_GB2312" w:cs="仿宋_GB2312"/>
                <w:color w:val="000000"/>
                <w:sz w:val="20"/>
              </w:rPr>
              <w:t>（3）《城市道路工程设计规范》（CJJ37-2012）（2016 年版）；</w:t>
            </w:r>
          </w:p>
          <w:p w14:paraId="24C2309E">
            <w:pPr>
              <w:pStyle w:val="4"/>
              <w:jc w:val="both"/>
            </w:pPr>
            <w:r>
              <w:rPr>
                <w:rFonts w:ascii="仿宋_GB2312" w:hAnsi="仿宋_GB2312" w:eastAsia="仿宋_GB2312" w:cs="仿宋_GB2312"/>
                <w:color w:val="000000"/>
                <w:sz w:val="20"/>
              </w:rPr>
              <w:t>（4）《城镇道路路面设计规范》（CJJ169-2012）；</w:t>
            </w:r>
          </w:p>
          <w:p w14:paraId="04765C91">
            <w:pPr>
              <w:pStyle w:val="4"/>
              <w:jc w:val="both"/>
            </w:pPr>
            <w:r>
              <w:rPr>
                <w:rFonts w:ascii="仿宋_GB2312" w:hAnsi="仿宋_GB2312" w:eastAsia="仿宋_GB2312" w:cs="仿宋_GB2312"/>
                <w:color w:val="000000"/>
                <w:sz w:val="20"/>
              </w:rPr>
              <w:t>（5）《城市道路交叉口设计规程》（CJJ152-2010）</w:t>
            </w:r>
          </w:p>
          <w:p w14:paraId="17B8521C">
            <w:pPr>
              <w:pStyle w:val="4"/>
              <w:jc w:val="both"/>
            </w:pPr>
            <w:r>
              <w:rPr>
                <w:rFonts w:ascii="仿宋_GB2312" w:hAnsi="仿宋_GB2312" w:eastAsia="仿宋_GB2312" w:cs="仿宋_GB2312"/>
                <w:color w:val="000000"/>
                <w:sz w:val="20"/>
              </w:rPr>
              <w:t>（6）《室外排水设计标准》（GB50014-2021）；</w:t>
            </w:r>
          </w:p>
          <w:p w14:paraId="77A119FC">
            <w:pPr>
              <w:pStyle w:val="4"/>
              <w:jc w:val="both"/>
            </w:pPr>
            <w:r>
              <w:rPr>
                <w:rFonts w:ascii="仿宋_GB2312" w:hAnsi="仿宋_GB2312" w:eastAsia="仿宋_GB2312" w:cs="仿宋_GB2312"/>
                <w:color w:val="000000"/>
                <w:sz w:val="20"/>
              </w:rPr>
              <w:t>（7）《城市给水工程项目规范》（GB55026-2022）；</w:t>
            </w:r>
          </w:p>
          <w:p w14:paraId="21A454FA">
            <w:pPr>
              <w:pStyle w:val="4"/>
              <w:jc w:val="both"/>
            </w:pPr>
            <w:r>
              <w:rPr>
                <w:rFonts w:ascii="仿宋_GB2312" w:hAnsi="仿宋_GB2312" w:eastAsia="仿宋_GB2312" w:cs="仿宋_GB2312"/>
                <w:color w:val="000000"/>
                <w:sz w:val="20"/>
              </w:rPr>
              <w:t>（8）《城乡排水工程项目规范》（GB55027-2022）；</w:t>
            </w:r>
          </w:p>
          <w:p w14:paraId="2289B2B0">
            <w:pPr>
              <w:pStyle w:val="4"/>
              <w:jc w:val="both"/>
            </w:pPr>
            <w:r>
              <w:rPr>
                <w:rFonts w:ascii="仿宋_GB2312" w:hAnsi="仿宋_GB2312" w:eastAsia="仿宋_GB2312" w:cs="仿宋_GB2312"/>
                <w:color w:val="000000"/>
                <w:sz w:val="20"/>
              </w:rPr>
              <w:t>（9）其他相关规标准。</w:t>
            </w:r>
          </w:p>
          <w:p w14:paraId="745F046E">
            <w:pPr>
              <w:pStyle w:val="4"/>
              <w:ind w:firstLine="200"/>
              <w:jc w:val="both"/>
            </w:pPr>
            <w:r>
              <w:rPr>
                <w:rFonts w:ascii="仿宋_GB2312" w:hAnsi="仿宋_GB2312" w:eastAsia="仿宋_GB2312" w:cs="仿宋_GB2312"/>
                <w:color w:val="000000"/>
                <w:sz w:val="20"/>
              </w:rPr>
              <w:t>凡涉及的相关规范，国家有最新标准的以最新标准为准，所有标准哪个标准高执行哪个标准。</w:t>
            </w:r>
          </w:p>
          <w:p w14:paraId="2B379CDA">
            <w:pPr>
              <w:pStyle w:val="4"/>
              <w:jc w:val="both"/>
            </w:pPr>
            <w:r>
              <w:rPr>
                <w:rFonts w:ascii="仿宋_GB2312" w:hAnsi="仿宋_GB2312" w:eastAsia="仿宋_GB2312" w:cs="仿宋_GB2312"/>
                <w:b/>
                <w:color w:val="000000"/>
                <w:sz w:val="20"/>
              </w:rPr>
              <w:t>三、设计原则及要求：</w:t>
            </w:r>
            <w:r>
              <w:rPr>
                <w:rFonts w:ascii="仿宋_GB2312" w:hAnsi="仿宋_GB2312" w:eastAsia="仿宋_GB2312" w:cs="仿宋_GB2312"/>
                <w:color w:val="000000"/>
                <w:sz w:val="20"/>
              </w:rPr>
              <w:t>做到科学严谨、技术合理、经济合算、</w:t>
            </w:r>
            <w:r>
              <w:rPr>
                <w:rFonts w:ascii="仿宋_GB2312" w:hAnsi="仿宋_GB2312" w:eastAsia="仿宋_GB2312" w:cs="仿宋_GB2312"/>
              </w:rPr>
              <w:t xml:space="preserve">  </w:t>
            </w:r>
            <w:r>
              <w:rPr>
                <w:rFonts w:ascii="仿宋_GB2312" w:hAnsi="仿宋_GB2312" w:eastAsia="仿宋_GB2312" w:cs="仿宋_GB2312"/>
                <w:color w:val="000000"/>
                <w:sz w:val="20"/>
              </w:rPr>
              <w:t>实施可靠，按不低于我市基础设施的平均水平实施初步设计，保证道路建设流程和步骤符合标准、正常实施。</w:t>
            </w:r>
          </w:p>
          <w:p w14:paraId="64F882F1">
            <w:pPr>
              <w:pStyle w:val="4"/>
              <w:jc w:val="both"/>
            </w:pPr>
            <w:r>
              <w:rPr>
                <w:rFonts w:ascii="仿宋_GB2312" w:hAnsi="仿宋_GB2312" w:eastAsia="仿宋_GB2312" w:cs="仿宋_GB2312"/>
                <w:b/>
                <w:color w:val="000000"/>
                <w:sz w:val="20"/>
              </w:rPr>
              <w:t>四、进度要求：</w:t>
            </w:r>
            <w:r>
              <w:rPr>
                <w:rFonts w:ascii="仿宋_GB2312" w:hAnsi="仿宋_GB2312" w:eastAsia="仿宋_GB2312" w:cs="仿宋_GB2312"/>
                <w:color w:val="000000"/>
                <w:sz w:val="20"/>
              </w:rPr>
              <w:t>通过采取组织、技术、经济等控制措施将项目实施进度控制在采购人所要求的合理时间节点内。</w:t>
            </w:r>
          </w:p>
          <w:p w14:paraId="6144FE45">
            <w:pPr>
              <w:pStyle w:val="4"/>
              <w:jc w:val="left"/>
            </w:pPr>
            <w:r>
              <w:rPr>
                <w:rFonts w:ascii="仿宋_GB2312" w:hAnsi="仿宋_GB2312" w:eastAsia="仿宋_GB2312" w:cs="仿宋_GB2312"/>
                <w:b/>
                <w:color w:val="000000"/>
                <w:sz w:val="20"/>
              </w:rPr>
              <w:t>五、服务要求：</w:t>
            </w:r>
            <w:r>
              <w:rPr>
                <w:rFonts w:ascii="仿宋_GB2312" w:hAnsi="仿宋_GB2312" w:eastAsia="仿宋_GB2312" w:cs="仿宋_GB2312"/>
                <w:color w:val="000000"/>
                <w:sz w:val="20"/>
              </w:rPr>
              <w:t>（1）服务方须指派专属人员与采购人联系服务事宜，服务响应时间应根据采购人实际安排随时调整。</w:t>
            </w:r>
          </w:p>
          <w:p w14:paraId="5E7B41D0">
            <w:pPr>
              <w:pStyle w:val="4"/>
              <w:jc w:val="left"/>
            </w:pPr>
            <w:r>
              <w:rPr>
                <w:rFonts w:ascii="仿宋_GB2312" w:hAnsi="仿宋_GB2312" w:eastAsia="仿宋_GB2312" w:cs="仿宋_GB2312"/>
                <w:color w:val="000000"/>
                <w:sz w:val="20"/>
              </w:rPr>
              <w:t>（2）服务方需根据服务实际情况编制服务方案、管理方案、服务计划、重点难点分析、质量控制、后续服务等方案措施。</w:t>
            </w:r>
          </w:p>
          <w:p w14:paraId="465BA9DB">
            <w:pPr>
              <w:pStyle w:val="4"/>
              <w:jc w:val="left"/>
            </w:pPr>
            <w:r>
              <w:rPr>
                <w:rFonts w:ascii="仿宋_GB2312" w:hAnsi="仿宋_GB2312" w:eastAsia="仿宋_GB2312" w:cs="仿宋_GB2312"/>
                <w:color w:val="000000"/>
                <w:sz w:val="20"/>
              </w:rPr>
              <w:t>（3）服务过程中，严格遵守各种管理规定及规章制度，做到奉公守法、诚实守信、廉洁自律、安全文明；服务过程中如发生工伤及意外事故由服务单位负责。</w:t>
            </w:r>
          </w:p>
          <w:p w14:paraId="61DC3FA9">
            <w:pPr>
              <w:pStyle w:val="4"/>
              <w:jc w:val="left"/>
            </w:pPr>
            <w:r>
              <w:rPr>
                <w:rFonts w:ascii="仿宋_GB2312" w:hAnsi="仿宋_GB2312" w:eastAsia="仿宋_GB2312" w:cs="仿宋_GB2312"/>
                <w:color w:val="000000"/>
                <w:sz w:val="20"/>
              </w:rPr>
              <w:t>（4）服务方拟投入的服务人员对于在工作中获悉的一切政府工作的信息应严格保守秘密，不得泄露；对于违反者，给采购人单位造成不良社会影响的，或给采购人单位造成损失的，由服务方承担赔偿责任。</w:t>
            </w:r>
          </w:p>
          <w:p w14:paraId="4E0043D7">
            <w:pPr>
              <w:pStyle w:val="4"/>
              <w:jc w:val="left"/>
            </w:pPr>
            <w:r>
              <w:rPr>
                <w:rFonts w:ascii="仿宋_GB2312" w:hAnsi="仿宋_GB2312" w:eastAsia="仿宋_GB2312" w:cs="仿宋_GB2312"/>
                <w:color w:val="000000"/>
                <w:sz w:val="20"/>
              </w:rPr>
              <w:t>（5）严格按照国家、陕西省、西安市有关规定及采购人要求进行服务，不得随意更改或者变换服务内容，每项服务内容实施前应事先取得采购人的落实后方可实施。</w:t>
            </w:r>
          </w:p>
          <w:p w14:paraId="002F8241">
            <w:pPr>
              <w:pStyle w:val="4"/>
              <w:jc w:val="left"/>
            </w:pPr>
            <w:r>
              <w:rPr>
                <w:rFonts w:ascii="仿宋_GB2312" w:hAnsi="仿宋_GB2312" w:eastAsia="仿宋_GB2312" w:cs="仿宋_GB2312"/>
                <w:color w:val="000000"/>
                <w:sz w:val="20"/>
              </w:rPr>
              <w:t>（6）配合促进采购人安排的其他相关工作。</w:t>
            </w:r>
          </w:p>
          <w:p w14:paraId="4E77A9F9">
            <w:pPr>
              <w:pStyle w:val="4"/>
              <w:jc w:val="left"/>
            </w:pPr>
            <w:r>
              <w:rPr>
                <w:rFonts w:ascii="仿宋_GB2312" w:hAnsi="仿宋_GB2312" w:eastAsia="仿宋_GB2312" w:cs="仿宋_GB2312"/>
                <w:b/>
                <w:color w:val="000000"/>
                <w:sz w:val="20"/>
              </w:rPr>
              <w:t>六、成果要求：</w:t>
            </w:r>
            <w:r>
              <w:rPr>
                <w:rFonts w:ascii="仿宋_GB2312" w:hAnsi="仿宋_GB2312" w:eastAsia="仿宋_GB2312" w:cs="仿宋_GB2312"/>
                <w:color w:val="000000"/>
                <w:sz w:val="20"/>
              </w:rPr>
              <w:t>（1）成果内容应完整真实、科学严谨、思路清晰、具有代表性，综合考虑道路建设的功能和潜力，提出建设实施详细规划和可行性优化方案，符合新形势、新变化、新发展下道路建设。</w:t>
            </w:r>
          </w:p>
          <w:p w14:paraId="304E821F">
            <w:pPr>
              <w:pStyle w:val="4"/>
              <w:jc w:val="both"/>
            </w:pPr>
            <w:r>
              <w:rPr>
                <w:rFonts w:ascii="仿宋_GB2312" w:hAnsi="仿宋_GB2312" w:eastAsia="仿宋_GB2312" w:cs="仿宋_GB2312"/>
                <w:color w:val="000000"/>
                <w:sz w:val="20"/>
              </w:rPr>
              <w:t>（2）成果文件包括：初步设计说明、初步设计方案图、工程投资概算等，所有初步设计成果初稿完成后应按采购人提出的审查意见和修改意见进行修改，直至获得有关主管部门审批通过，本项目所完成的编制成果的所有权、知识产权归采购人。</w:t>
            </w:r>
          </w:p>
          <w:p w14:paraId="3A5034F0">
            <w:pPr>
              <w:pStyle w:val="4"/>
              <w:jc w:val="both"/>
            </w:pPr>
            <w:r>
              <w:rPr>
                <w:rFonts w:ascii="仿宋_GB2312" w:hAnsi="仿宋_GB2312" w:eastAsia="仿宋_GB2312" w:cs="仿宋_GB2312"/>
                <w:color w:val="000000"/>
                <w:sz w:val="20"/>
              </w:rPr>
              <w:t>（3）所有提供资料包括：①纸质成果印刷一份；②电子成果为与纸质成果相对应的电子文档（pdf格式）。</w:t>
            </w:r>
          </w:p>
          <w:p w14:paraId="12382614">
            <w:pPr>
              <w:pStyle w:val="4"/>
              <w:jc w:val="left"/>
            </w:pPr>
            <w:r>
              <w:rPr>
                <w:rFonts w:ascii="仿宋_GB2312" w:hAnsi="仿宋_GB2312" w:eastAsia="仿宋_GB2312" w:cs="仿宋_GB2312"/>
                <w:b/>
                <w:color w:val="000000"/>
                <w:sz w:val="20"/>
              </w:rPr>
              <w:t>七、服务标准：</w:t>
            </w:r>
            <w:r>
              <w:rPr>
                <w:rFonts w:ascii="仿宋_GB2312" w:hAnsi="仿宋_GB2312" w:eastAsia="仿宋_GB2312" w:cs="仿宋_GB2312"/>
                <w:color w:val="000000"/>
                <w:sz w:val="20"/>
              </w:rPr>
              <w:t>（1）各项服务符合国家、省、市（行业）强制性标准及采购人要求的合格标准。</w:t>
            </w:r>
          </w:p>
          <w:p w14:paraId="6FA95C9F">
            <w:pPr>
              <w:pStyle w:val="4"/>
            </w:pPr>
            <w:r>
              <w:rPr>
                <w:rFonts w:ascii="仿宋_GB2312" w:hAnsi="仿宋_GB2312" w:eastAsia="仿宋_GB2312" w:cs="仿宋_GB2312"/>
                <w:color w:val="000000"/>
                <w:sz w:val="20"/>
              </w:rPr>
              <w:t>（2）服务、产品（如有）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哪个标准高执行哪个标准。</w:t>
            </w:r>
          </w:p>
        </w:tc>
      </w:tr>
    </w:tbl>
    <w:p w14:paraId="4836E758">
      <w:pPr>
        <w:pStyle w:val="4"/>
        <w:outlineLvl w:val="2"/>
      </w:pPr>
      <w:r>
        <w:rPr>
          <w:rFonts w:ascii="仿宋_GB2312" w:hAnsi="仿宋_GB2312" w:eastAsia="仿宋_GB2312" w:cs="仿宋_GB2312"/>
          <w:b/>
          <w:sz w:val="28"/>
        </w:rPr>
        <w:t>3.2.3人员配置要求</w:t>
      </w:r>
    </w:p>
    <w:p w14:paraId="2D788E5B">
      <w:pPr>
        <w:pStyle w:val="4"/>
      </w:pPr>
      <w:r>
        <w:rPr>
          <w:rFonts w:ascii="仿宋_GB2312" w:hAnsi="仿宋_GB2312" w:eastAsia="仿宋_GB2312" w:cs="仿宋_GB2312"/>
        </w:rPr>
        <w:t>采购包1：</w:t>
      </w:r>
    </w:p>
    <w:p w14:paraId="29C4016F">
      <w:pPr>
        <w:pStyle w:val="4"/>
      </w:pPr>
      <w:r>
        <w:rPr>
          <w:rFonts w:ascii="仿宋_GB2312" w:hAnsi="仿宋_GB2312" w:eastAsia="仿宋_GB2312" w:cs="仿宋_GB2312"/>
        </w:rPr>
        <w:t>供应商根据服务要求及特性，自行配置履行合同所必需的专业服务团队(不限于项目负责人、管理人员、技术人员、设计人员、编制人员、辅助人员等)，自行组织实施与管理，相关人员经过严格培训，具有相关工作经验，技术水平高、能够胜任项目工作。服务队伍稳定，保证整个项目顺利完成，服务方未经采购人同意，不得擅自更换本项目在响应文件中指定的服务队伍。</w:t>
      </w:r>
    </w:p>
    <w:p w14:paraId="6BA92145">
      <w:pPr>
        <w:pStyle w:val="4"/>
      </w:pPr>
      <w:r>
        <w:rPr>
          <w:rFonts w:ascii="仿宋_GB2312" w:hAnsi="仿宋_GB2312" w:eastAsia="仿宋_GB2312" w:cs="仿宋_GB2312"/>
        </w:rPr>
        <w:t>采购包2：</w:t>
      </w:r>
    </w:p>
    <w:p w14:paraId="4A89287B">
      <w:pPr>
        <w:pStyle w:val="4"/>
      </w:pPr>
      <w:r>
        <w:rPr>
          <w:rFonts w:ascii="仿宋_GB2312" w:hAnsi="仿宋_GB2312" w:eastAsia="仿宋_GB2312" w:cs="仿宋_GB2312"/>
        </w:rPr>
        <w:t>供应商根据服务要求及特性，自行配置履行合同所必需的专业服务团队(不限于项目负责人、管理人员、技术人员、设计人员、编制人员、辅助人员等)，自行组织实施与管理，相关人员经过严格培训，具有相关工作经验，技术水平高、能够胜任项目工作。服务队伍稳定，保证整个项目顺利完成，服务方未经采购人同意，不得擅自更换本项目在响应文件中指定的服务队伍。</w:t>
      </w:r>
    </w:p>
    <w:p w14:paraId="7DAA258D">
      <w:pPr>
        <w:pStyle w:val="4"/>
        <w:outlineLvl w:val="2"/>
      </w:pPr>
      <w:r>
        <w:rPr>
          <w:rFonts w:ascii="仿宋_GB2312" w:hAnsi="仿宋_GB2312" w:eastAsia="仿宋_GB2312" w:cs="仿宋_GB2312"/>
          <w:b/>
          <w:sz w:val="28"/>
        </w:rPr>
        <w:t>3.2.4设施设备要求</w:t>
      </w:r>
    </w:p>
    <w:p w14:paraId="6A8CDD9E">
      <w:pPr>
        <w:pStyle w:val="4"/>
      </w:pPr>
      <w:r>
        <w:rPr>
          <w:rFonts w:ascii="仿宋_GB2312" w:hAnsi="仿宋_GB2312" w:eastAsia="仿宋_GB2312" w:cs="仿宋_GB2312"/>
        </w:rPr>
        <w:t>采购包1：</w:t>
      </w:r>
    </w:p>
    <w:p w14:paraId="3AF2ED5C">
      <w:pPr>
        <w:pStyle w:val="4"/>
      </w:pPr>
      <w:r>
        <w:rPr>
          <w:rFonts w:ascii="仿宋_GB2312" w:hAnsi="仿宋_GB2312" w:eastAsia="仿宋_GB2312" w:cs="仿宋_GB2312"/>
        </w:rPr>
        <w:t>供应商根据项目特性及要求，自行配置投入履行合同所必需的各类设施设备(不限于专业设备、辅助设备、工具、软件等)，保证项目顺利实施。</w:t>
      </w:r>
    </w:p>
    <w:p w14:paraId="1917F404">
      <w:pPr>
        <w:pStyle w:val="4"/>
      </w:pPr>
      <w:r>
        <w:rPr>
          <w:rFonts w:ascii="仿宋_GB2312" w:hAnsi="仿宋_GB2312" w:eastAsia="仿宋_GB2312" w:cs="仿宋_GB2312"/>
        </w:rPr>
        <w:t>采购包2：</w:t>
      </w:r>
    </w:p>
    <w:p w14:paraId="7288912D">
      <w:pPr>
        <w:pStyle w:val="4"/>
      </w:pPr>
      <w:r>
        <w:rPr>
          <w:rFonts w:ascii="仿宋_GB2312" w:hAnsi="仿宋_GB2312" w:eastAsia="仿宋_GB2312" w:cs="仿宋_GB2312"/>
        </w:rPr>
        <w:t>供应商根据项目特性及要求，自行配置投入履行合同所必需的各类设施设备(不限于专业设备、辅助设备、工具、软件等)，保证项目顺利实施。</w:t>
      </w:r>
    </w:p>
    <w:p w14:paraId="0C5F497A">
      <w:pPr>
        <w:pStyle w:val="4"/>
        <w:outlineLvl w:val="2"/>
      </w:pPr>
      <w:r>
        <w:rPr>
          <w:rFonts w:ascii="仿宋_GB2312" w:hAnsi="仿宋_GB2312" w:eastAsia="仿宋_GB2312" w:cs="仿宋_GB2312"/>
          <w:b/>
          <w:sz w:val="28"/>
        </w:rPr>
        <w:t>3.2.5其他要求</w:t>
      </w:r>
    </w:p>
    <w:p w14:paraId="29883AF2">
      <w:pPr>
        <w:pStyle w:val="4"/>
      </w:pPr>
      <w:r>
        <w:rPr>
          <w:rFonts w:ascii="仿宋_GB2312" w:hAnsi="仿宋_GB2312" w:eastAsia="仿宋_GB2312" w:cs="仿宋_GB2312"/>
        </w:rPr>
        <w:t>采购包1：</w:t>
      </w:r>
    </w:p>
    <w:p w14:paraId="3B0774F6">
      <w:pPr>
        <w:pStyle w:val="4"/>
      </w:pPr>
      <w:r>
        <w:rPr>
          <w:rFonts w:ascii="仿宋_GB2312" w:hAnsi="仿宋_GB2312" w:eastAsia="仿宋_GB2312" w:cs="仿宋_GB2312"/>
        </w:rPr>
        <w:t>（一）本项目按总价进行报价。是供应商响应磋商项目要求的全部工作内容的价格体现，包括供应商完成本项目所需的直接费用、间接费、利润、税金及其它相关的一切费用，包括但不限于：设计费、人工费、设备使用费、资料费、管理费、评审费、利润、税金及不可预见费等全部费用；在提供服务的过程中的任何遗漏，均由成交供应商免费提供，采购人将不再支付任何费用。 （二）本项目标的所属行业为： 其他未列明行业 （从业人员300人以下的为中小微型企业。其中，从业人员100人及以上的为中型企业；从业人员10人及以上的为小型企业；从业人员10人以下的为微型企业）。</w:t>
      </w:r>
    </w:p>
    <w:p w14:paraId="5598C6CA">
      <w:pPr>
        <w:pStyle w:val="4"/>
      </w:pPr>
      <w:r>
        <w:rPr>
          <w:rFonts w:ascii="仿宋_GB2312" w:hAnsi="仿宋_GB2312" w:eastAsia="仿宋_GB2312" w:cs="仿宋_GB2312"/>
        </w:rPr>
        <w:t>采购包2：</w:t>
      </w:r>
    </w:p>
    <w:p w14:paraId="3C891FC3">
      <w:pPr>
        <w:pStyle w:val="4"/>
      </w:pPr>
      <w:r>
        <w:rPr>
          <w:rFonts w:ascii="仿宋_GB2312" w:hAnsi="仿宋_GB2312" w:eastAsia="仿宋_GB2312" w:cs="仿宋_GB2312"/>
        </w:rPr>
        <w:t>（一）本项目按总价进行报价。是供应商响应磋商项目要求的全部工作内容的价格体现，包括供应商完成本项目所需的直接费用、间接费、利润、税金及其它相关的一切费用，包括但不限于：初步设计费、人工费、设备使用费、资料费、管理费、评审费、利润、税金及不可预见费等全部费用；在提供服务的过程中的任何遗漏，均由成交供应商免费提供，采购人将不再支付任何费用。 （二）本项目标的所属行业为： 其他未列明行业 （从业人员300人以下的为中小微型企业。其中，从业人员100人及以上的为中型企业；从业人员10人及以上的为小型企业；从业人员10人以下的为微型企业）。</w:t>
      </w:r>
    </w:p>
    <w:p w14:paraId="2CFD5D35">
      <w:pPr>
        <w:pStyle w:val="4"/>
        <w:outlineLvl w:val="2"/>
      </w:pPr>
      <w:r>
        <w:rPr>
          <w:rFonts w:ascii="仿宋_GB2312" w:hAnsi="仿宋_GB2312" w:eastAsia="仿宋_GB2312" w:cs="仿宋_GB2312"/>
          <w:b/>
          <w:sz w:val="28"/>
        </w:rPr>
        <w:t>3.3商务要求</w:t>
      </w:r>
    </w:p>
    <w:p w14:paraId="44246D26">
      <w:pPr>
        <w:pStyle w:val="4"/>
        <w:outlineLvl w:val="3"/>
      </w:pPr>
      <w:r>
        <w:rPr>
          <w:rFonts w:ascii="仿宋_GB2312" w:hAnsi="仿宋_GB2312" w:eastAsia="仿宋_GB2312" w:cs="仿宋_GB2312"/>
          <w:b/>
          <w:sz w:val="24"/>
        </w:rPr>
        <w:t>3.3.1服务期限</w:t>
      </w:r>
    </w:p>
    <w:p w14:paraId="5D2209F1">
      <w:pPr>
        <w:pStyle w:val="4"/>
      </w:pPr>
      <w:r>
        <w:rPr>
          <w:rFonts w:ascii="仿宋_GB2312" w:hAnsi="仿宋_GB2312" w:eastAsia="仿宋_GB2312" w:cs="仿宋_GB2312"/>
        </w:rPr>
        <w:t>采购包1：</w:t>
      </w:r>
    </w:p>
    <w:p w14:paraId="075E3A9F">
      <w:pPr>
        <w:pStyle w:val="4"/>
      </w:pPr>
      <w:r>
        <w:rPr>
          <w:rFonts w:ascii="仿宋_GB2312" w:hAnsi="仿宋_GB2312" w:eastAsia="仿宋_GB2312" w:cs="仿宋_GB2312"/>
        </w:rPr>
        <w:t>初步设计批复后30日历天</w:t>
      </w:r>
    </w:p>
    <w:p w14:paraId="419EB4BF">
      <w:pPr>
        <w:pStyle w:val="4"/>
      </w:pPr>
      <w:r>
        <w:rPr>
          <w:rFonts w:ascii="仿宋_GB2312" w:hAnsi="仿宋_GB2312" w:eastAsia="仿宋_GB2312" w:cs="仿宋_GB2312"/>
        </w:rPr>
        <w:t>采购包2：</w:t>
      </w:r>
    </w:p>
    <w:p w14:paraId="48F586B7">
      <w:pPr>
        <w:pStyle w:val="4"/>
      </w:pPr>
      <w:r>
        <w:rPr>
          <w:rFonts w:ascii="仿宋_GB2312" w:hAnsi="仿宋_GB2312" w:eastAsia="仿宋_GB2312" w:cs="仿宋_GB2312"/>
        </w:rPr>
        <w:t>自合同签订生效之日起30日历天</w:t>
      </w:r>
    </w:p>
    <w:p w14:paraId="4E018B97">
      <w:pPr>
        <w:pStyle w:val="4"/>
        <w:outlineLvl w:val="3"/>
      </w:pPr>
      <w:r>
        <w:rPr>
          <w:rFonts w:ascii="仿宋_GB2312" w:hAnsi="仿宋_GB2312" w:eastAsia="仿宋_GB2312" w:cs="仿宋_GB2312"/>
          <w:b/>
          <w:sz w:val="24"/>
        </w:rPr>
        <w:t>3.3.2服务地点</w:t>
      </w:r>
    </w:p>
    <w:p w14:paraId="2750574C">
      <w:pPr>
        <w:pStyle w:val="4"/>
      </w:pPr>
      <w:r>
        <w:rPr>
          <w:rFonts w:ascii="仿宋_GB2312" w:hAnsi="仿宋_GB2312" w:eastAsia="仿宋_GB2312" w:cs="仿宋_GB2312"/>
        </w:rPr>
        <w:t>采购包1：</w:t>
      </w:r>
    </w:p>
    <w:p w14:paraId="1C57ABB0">
      <w:pPr>
        <w:pStyle w:val="4"/>
      </w:pPr>
      <w:r>
        <w:rPr>
          <w:rFonts w:ascii="仿宋_GB2312" w:hAnsi="仿宋_GB2312" w:eastAsia="仿宋_GB2312" w:cs="仿宋_GB2312"/>
        </w:rPr>
        <w:t>按采购人指定地点</w:t>
      </w:r>
    </w:p>
    <w:p w14:paraId="0354BB83">
      <w:pPr>
        <w:pStyle w:val="4"/>
      </w:pPr>
      <w:r>
        <w:rPr>
          <w:rFonts w:ascii="仿宋_GB2312" w:hAnsi="仿宋_GB2312" w:eastAsia="仿宋_GB2312" w:cs="仿宋_GB2312"/>
        </w:rPr>
        <w:t>采购包2：</w:t>
      </w:r>
    </w:p>
    <w:p w14:paraId="75E66595">
      <w:pPr>
        <w:pStyle w:val="4"/>
      </w:pPr>
      <w:r>
        <w:rPr>
          <w:rFonts w:ascii="仿宋_GB2312" w:hAnsi="仿宋_GB2312" w:eastAsia="仿宋_GB2312" w:cs="仿宋_GB2312"/>
        </w:rPr>
        <w:t>按采购人指定地点</w:t>
      </w:r>
    </w:p>
    <w:p w14:paraId="6759E168">
      <w:pPr>
        <w:pStyle w:val="4"/>
        <w:outlineLvl w:val="3"/>
      </w:pPr>
      <w:r>
        <w:rPr>
          <w:rFonts w:ascii="仿宋_GB2312" w:hAnsi="仿宋_GB2312" w:eastAsia="仿宋_GB2312" w:cs="仿宋_GB2312"/>
          <w:b/>
          <w:sz w:val="24"/>
        </w:rPr>
        <w:t>3.3.3考核（验收）标准和方法</w:t>
      </w:r>
    </w:p>
    <w:p w14:paraId="0DEE4494">
      <w:pPr>
        <w:pStyle w:val="4"/>
      </w:pPr>
      <w:r>
        <w:rPr>
          <w:rFonts w:ascii="仿宋_GB2312" w:hAnsi="仿宋_GB2312" w:eastAsia="仿宋_GB2312" w:cs="仿宋_GB2312"/>
        </w:rPr>
        <w:t>采购包1：</w:t>
      </w:r>
    </w:p>
    <w:p w14:paraId="1A45F4C1">
      <w:pPr>
        <w:pStyle w:val="4"/>
      </w:pPr>
      <w:r>
        <w:rPr>
          <w:rFonts w:ascii="仿宋_GB2312" w:hAnsi="仿宋_GB2312" w:eastAsia="仿宋_GB2312" w:cs="仿宋_GB2312"/>
        </w:rPr>
        <w:t>现行的国家标准或国家行政部门颁布的法律法规、规章制度等，是项目验收的另一个重要依据。没有国家标准的，可以参考行业标准。采购人根据磋商文件、合同等相关文件，进行验收，确认服务内容、服务标准和服务方式等是否达到采购要求。服务商须接受采购人对相关服务的各类考核或检查；若服务结果验收不通过或质量不符合采购要求，服务商应在一定期限内以采购人要求的标准进行整改或完善，并再次进行考核或检查，若服务商在接受检查整改后最终仍未按要求提供符合要求的服务，采购人有权按违约予以撤项，由此产生的一切责任和费用均由服务商承担，具体按拟签订采购合同相关条款执行。</w:t>
      </w:r>
    </w:p>
    <w:p w14:paraId="7B510E96">
      <w:pPr>
        <w:pStyle w:val="4"/>
      </w:pPr>
      <w:r>
        <w:rPr>
          <w:rFonts w:ascii="仿宋_GB2312" w:hAnsi="仿宋_GB2312" w:eastAsia="仿宋_GB2312" w:cs="仿宋_GB2312"/>
        </w:rPr>
        <w:t>采购包2：</w:t>
      </w:r>
    </w:p>
    <w:p w14:paraId="32E68965">
      <w:pPr>
        <w:pStyle w:val="4"/>
      </w:pPr>
      <w:r>
        <w:rPr>
          <w:rFonts w:ascii="仿宋_GB2312" w:hAnsi="仿宋_GB2312" w:eastAsia="仿宋_GB2312" w:cs="仿宋_GB2312"/>
        </w:rPr>
        <w:t>现行的国家标准或国家行政部门颁布的法律法规、规章制度等，是项目验收的另一个重要依据。没有国家标准的，可以参考行业标准。采购人根据磋商文件、合同等相关文件，进行验收，确认服务内容、服务标准和服务方式等是否达到采购要求。服务商须接受采购人对相关服务的各类考核或检查；若服务结果验收不通过或质量不符合采购要求，服务商应在一定期限内以采购人要求的标准进行整改或完善，并再次进行考核或检查，若服务商在接受检查整改后最终仍未按要求提供符合要求的服务，采购人有权按违约予以撤项，由此产生的一切责任和费用均由服务商承担，具体按拟签订采购合同相关条款执行。</w:t>
      </w:r>
    </w:p>
    <w:p w14:paraId="3A571622">
      <w:pPr>
        <w:pStyle w:val="4"/>
        <w:outlineLvl w:val="3"/>
      </w:pPr>
      <w:r>
        <w:rPr>
          <w:rFonts w:ascii="仿宋_GB2312" w:hAnsi="仿宋_GB2312" w:eastAsia="仿宋_GB2312" w:cs="仿宋_GB2312"/>
          <w:b/>
          <w:sz w:val="24"/>
        </w:rPr>
        <w:t>3.3.4支付方式</w:t>
      </w:r>
    </w:p>
    <w:p w14:paraId="062049DF">
      <w:pPr>
        <w:pStyle w:val="4"/>
      </w:pPr>
      <w:r>
        <w:rPr>
          <w:rFonts w:ascii="仿宋_GB2312" w:hAnsi="仿宋_GB2312" w:eastAsia="仿宋_GB2312" w:cs="仿宋_GB2312"/>
        </w:rPr>
        <w:t>采购包1：</w:t>
      </w:r>
    </w:p>
    <w:p w14:paraId="4DE10704">
      <w:pPr>
        <w:pStyle w:val="4"/>
      </w:pPr>
      <w:r>
        <w:rPr>
          <w:rFonts w:ascii="仿宋_GB2312" w:hAnsi="仿宋_GB2312" w:eastAsia="仿宋_GB2312" w:cs="仿宋_GB2312"/>
        </w:rPr>
        <w:t>分期付款</w:t>
      </w:r>
    </w:p>
    <w:p w14:paraId="6EF89C4B">
      <w:pPr>
        <w:pStyle w:val="4"/>
      </w:pPr>
      <w:r>
        <w:rPr>
          <w:rFonts w:ascii="仿宋_GB2312" w:hAnsi="仿宋_GB2312" w:eastAsia="仿宋_GB2312" w:cs="仿宋_GB2312"/>
        </w:rPr>
        <w:t>采购包2：</w:t>
      </w:r>
    </w:p>
    <w:p w14:paraId="01506600">
      <w:pPr>
        <w:pStyle w:val="4"/>
      </w:pPr>
      <w:r>
        <w:rPr>
          <w:rFonts w:ascii="仿宋_GB2312" w:hAnsi="仿宋_GB2312" w:eastAsia="仿宋_GB2312" w:cs="仿宋_GB2312"/>
        </w:rPr>
        <w:t>一次付清</w:t>
      </w:r>
      <w:bookmarkStart w:id="0" w:name="_GoBack"/>
      <w:bookmarkEnd w:id="0"/>
    </w:p>
    <w:p w14:paraId="410622F5">
      <w:pPr>
        <w:pStyle w:val="4"/>
        <w:outlineLvl w:val="3"/>
      </w:pPr>
      <w:r>
        <w:rPr>
          <w:rFonts w:ascii="仿宋_GB2312" w:hAnsi="仿宋_GB2312" w:eastAsia="仿宋_GB2312" w:cs="仿宋_GB2312"/>
          <w:b/>
          <w:sz w:val="24"/>
        </w:rPr>
        <w:t>3.3.5支付约定</w:t>
      </w:r>
    </w:p>
    <w:p w14:paraId="14E9A4A3">
      <w:pPr>
        <w:pStyle w:val="4"/>
      </w:pPr>
      <w:r>
        <w:rPr>
          <w:rFonts w:ascii="仿宋_GB2312" w:hAnsi="仿宋_GB2312" w:eastAsia="仿宋_GB2312" w:cs="仿宋_GB2312"/>
        </w:rPr>
        <w:t>采购包1：</w:t>
      </w:r>
    </w:p>
    <w:p w14:paraId="6B58D828">
      <w:pPr>
        <w:pStyle w:val="4"/>
        <w:ind w:firstLine="1200"/>
      </w:pPr>
      <w:r>
        <w:rPr>
          <w:rFonts w:ascii="仿宋_GB2312" w:hAnsi="仿宋_GB2312" w:eastAsia="仿宋_GB2312" w:cs="仿宋_GB2312"/>
        </w:rPr>
        <w:t>1、其他，合同签订后，服务方提供经专家、采购人评审后的施工图设计成果，服务方开具相应金额的发票交于采购人后，达到付款条件起10个工作日内，支付合同总金额的80.0%</w:t>
      </w:r>
    </w:p>
    <w:p w14:paraId="487F58AB">
      <w:pPr>
        <w:pStyle w:val="4"/>
        <w:ind w:firstLine="1200"/>
      </w:pPr>
      <w:r>
        <w:rPr>
          <w:rFonts w:ascii="仿宋_GB2312" w:hAnsi="仿宋_GB2312" w:eastAsia="仿宋_GB2312" w:cs="仿宋_GB2312"/>
        </w:rPr>
        <w:t>2、其他，工程竣工验收完成，服务方开具相应金额的发票交于采购人后，达到付款条件起10个工作日内，支付合同总金额的20.0%</w:t>
      </w:r>
    </w:p>
    <w:p w14:paraId="64330D61">
      <w:pPr>
        <w:pStyle w:val="4"/>
      </w:pPr>
      <w:r>
        <w:rPr>
          <w:rFonts w:ascii="仿宋_GB2312" w:hAnsi="仿宋_GB2312" w:eastAsia="仿宋_GB2312" w:cs="仿宋_GB2312"/>
        </w:rPr>
        <w:t>采购包2：</w:t>
      </w:r>
    </w:p>
    <w:p w14:paraId="0E6D7660">
      <w:pPr>
        <w:pStyle w:val="4"/>
        <w:ind w:firstLine="1200"/>
      </w:pPr>
      <w:r>
        <w:rPr>
          <w:rFonts w:ascii="仿宋_GB2312" w:hAnsi="仿宋_GB2312" w:eastAsia="仿宋_GB2312" w:cs="仿宋_GB2312"/>
        </w:rPr>
        <w:t>1、其他，合同签订生效，服务方开始服务，待拿到初步设计批复后，服务方开具等额发票交于采购人后，达到付款条件起10个工作日内，支付合同总金额的100.0%</w:t>
      </w:r>
    </w:p>
    <w:p w14:paraId="3E4A6AAC">
      <w:pPr>
        <w:pStyle w:val="4"/>
        <w:outlineLvl w:val="3"/>
      </w:pPr>
      <w:r>
        <w:rPr>
          <w:rFonts w:ascii="仿宋_GB2312" w:hAnsi="仿宋_GB2312" w:eastAsia="仿宋_GB2312" w:cs="仿宋_GB2312"/>
          <w:b/>
          <w:sz w:val="24"/>
        </w:rPr>
        <w:t>3.3.6违约责任及解决争议的方法</w:t>
      </w:r>
    </w:p>
    <w:p w14:paraId="4BA67FC4">
      <w:pPr>
        <w:pStyle w:val="4"/>
      </w:pPr>
      <w:r>
        <w:rPr>
          <w:rFonts w:ascii="仿宋_GB2312" w:hAnsi="仿宋_GB2312" w:eastAsia="仿宋_GB2312" w:cs="仿宋_GB2312"/>
        </w:rPr>
        <w:t>采购包1：</w:t>
      </w:r>
    </w:p>
    <w:p w14:paraId="336D6EC5">
      <w:pPr>
        <w:pStyle w:val="4"/>
      </w:pPr>
      <w:r>
        <w:rPr>
          <w:rFonts w:ascii="仿宋_GB2312" w:hAnsi="仿宋_GB2312" w:eastAsia="仿宋_GB2312" w:cs="仿宋_GB2312"/>
        </w:rPr>
        <w:t>(一)依据《中华人民共和国民法典》中的相关条款执行。 (二)其他具体详见拟签订采购合同相关条款。</w:t>
      </w:r>
    </w:p>
    <w:p w14:paraId="27A90F7F">
      <w:pPr>
        <w:pStyle w:val="4"/>
      </w:pPr>
      <w:r>
        <w:rPr>
          <w:rFonts w:ascii="仿宋_GB2312" w:hAnsi="仿宋_GB2312" w:eastAsia="仿宋_GB2312" w:cs="仿宋_GB2312"/>
        </w:rPr>
        <w:t>采购包2：</w:t>
      </w:r>
    </w:p>
    <w:p w14:paraId="1C8ACBE4">
      <w:pPr>
        <w:pStyle w:val="4"/>
      </w:pPr>
      <w:r>
        <w:rPr>
          <w:rFonts w:ascii="仿宋_GB2312" w:hAnsi="仿宋_GB2312" w:eastAsia="仿宋_GB2312" w:cs="仿宋_GB2312"/>
        </w:rPr>
        <w:t>(一)依据《中华人民共和国民法典》中的相关条款执行。 (二)其他具体详见拟签订采购合同相关条款。</w:t>
      </w:r>
    </w:p>
    <w:p w14:paraId="32A0D54F">
      <w:pPr>
        <w:pStyle w:val="4"/>
        <w:outlineLvl w:val="2"/>
      </w:pPr>
      <w:r>
        <w:rPr>
          <w:rFonts w:ascii="仿宋_GB2312" w:hAnsi="仿宋_GB2312" w:eastAsia="仿宋_GB2312" w:cs="仿宋_GB2312"/>
          <w:b/>
          <w:sz w:val="28"/>
        </w:rPr>
        <w:t>3.4其他要求</w:t>
      </w:r>
    </w:p>
    <w:p w14:paraId="410612AA">
      <w:pPr>
        <w:pStyle w:val="4"/>
      </w:pPr>
      <w:r>
        <w:rPr>
          <w:rFonts w:ascii="仿宋_GB2312" w:hAnsi="仿宋_GB2312" w:eastAsia="仿宋_GB2312" w:cs="仿宋_GB2312"/>
        </w:rPr>
        <w:t>(一)磋商有效期 1.出现特殊情况需要延长磋商有效期的，采购代理机构或采购人可于磋商有效期满之前，以书面形式通知所有供应商延长磋商有效期。 2.在磋商有效期内，供应商撤销响应文件的，应承担磋商文件和法律规定的责任。 3.成交供应商的磋商有效期自动延长至合同终止为止。 (二)恶意质疑、投诉的法律后果 1.对捏造事实、提供虚假材料进行质疑、投诉的行为将予以严肃处理： 《政府采购质疑和投诉办法》（财政部令第94号）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 2.对捏造事实诬告陷害他人、诽谤他人的法律适用： （1）《中华人民共和国刑法》第243条【诬告陷害罪】捏造事实诬告陷害他人，意图使他人受到刑事追究，情节严重的，处三年以下有期徒刑、拘役或者管制；造成严重后果的，处三年以上十年以下有期徒刑。 （2）《中华人民共和国刑法》第246条【侮辱罪、诽谤罪】以暴力或者其他方法公然侮辱他人或者捏造事实诽谤他人，情节严重的，处三年以下有期徒刑、拘役、管制或者剥夺政治权利。 (三)参与本项目的供应商应通过陕西省政府采购综合管理平台的项目电子化交易系统在线实施报名、获取采购文件、响应、报价等操作，供应商无需现场提供纸质响应文件。但在中标（成交）后，中标（成交）供应商在领取中标（成交）通知书时需提供纸质响应文件正本一套、副本一套用于备案，纸质响应文件应通过专用制作软件直接打印，确保与项目电子化交易系统中的电子响应文件保持一致，不允许修改和补充。中标（成交）通知书领取地址：西安曲江新区翠华南路1688号创意盒子13层1304室。 （四）询问、质疑、投诉的接收和处理严格按照《中华人民共和国政府采购法》《中华人民共和国政府采购法实施条例》《政府采购质疑和投诉办法》等规定办理。供应商对采购人或代理机构的质疑答复不满意，或者采购人或代理机构未在规定期限内作出答复的，可以在答复期满后15个工作日内向同级财政部门提起投诉。 根据《陕西省财政厅关于在全省开展电子化投诉工作有关事项的通知》（陕财办采函〔2022〕15 号），政府采购供应商可登录“陕西省政府采购综合管理平台”系统进行线上投诉。</w:t>
      </w:r>
    </w:p>
    <w:p w14:paraId="3DF5F5E3">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4C3B2E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981301"/>
    <w:rsid w:val="119813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2026-05-20T07:19:00Z</dcterms:created>
  <dc:creator>米粒儿</dc:creator>
  <cp:lastModifiedBy>米粒儿</cp:lastModifiedBy>
  <dcterms:modified xsi:type="dcterms:W3CDTF">2026-05-20T07:19:59Z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0E233226787B45068D7E196BBBE2B542_11</vt:lpwstr>
  </property>
  <property fmtid="{D5CDD505-2E9C-101B-9397-08002B2CF9AE}" pid="4" name="KSOTemplateDocerSaveRecord">
    <vt:lpwstr>eyJoZGlkIjoiOGUzYTVjZjU1MmE1NTk0NmY4MTNhNWZlMTRiYWQ0ZjMiLCJ1c2VySWQiOiIyNTE4NzQ5NjYifQ==</vt:lpwstr>
  </property>
</Properties>
</file>