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版本号：SXHC2026—16620260717001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西安高新区GX3-29-2号宗地土地整理项目监理服务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SXHC2026—166</w:t>
      </w:r>
      <w:r>
        <w:br/>
      </w:r>
      <w:r>
        <w:br/>
      </w:r>
      <w:r>
        <w:br/>
      </w:r>
    </w:p>
    <w:p>
      <w:pPr>
        <w:pStyle w:val="null3"/>
        <w:jc w:val="center"/>
        <w:outlineLvl w:val="2"/>
      </w:pPr>
      <w:r>
        <w:rPr>
          <w:rFonts w:ascii="仿宋_GB2312" w:hAnsi="仿宋_GB2312" w:cs="仿宋_GB2312" w:eastAsia="仿宋_GB2312"/>
          <w:sz w:val="28"/>
          <w:b/>
        </w:rPr>
        <w:t>西安高新技术产业开发区土地储备中心</w:t>
      </w:r>
    </w:p>
    <w:p>
      <w:pPr>
        <w:pStyle w:val="null3"/>
        <w:jc w:val="center"/>
        <w:outlineLvl w:val="2"/>
      </w:pPr>
      <w:r>
        <w:rPr>
          <w:rFonts w:ascii="仿宋_GB2312" w:hAnsi="仿宋_GB2312" w:cs="仿宋_GB2312" w:eastAsia="仿宋_GB2312"/>
          <w:sz w:val="28"/>
          <w:b/>
        </w:rPr>
        <w:t>陕西华采招标有限公司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2026年07月17日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陕西华采招标有限公司</w:t>
      </w:r>
      <w:r>
        <w:rPr>
          <w:rFonts w:ascii="仿宋_GB2312" w:hAnsi="仿宋_GB2312" w:cs="仿宋_GB2312" w:eastAsia="仿宋_GB2312"/>
        </w:rPr>
        <w:t>（以下简称“代理机构”）受</w:t>
      </w:r>
      <w:r>
        <w:rPr>
          <w:rFonts w:ascii="仿宋_GB2312" w:hAnsi="仿宋_GB2312" w:cs="仿宋_GB2312" w:eastAsia="仿宋_GB2312"/>
        </w:rPr>
        <w:t>西安高新技术产业开发区土地储备中心</w:t>
      </w:r>
      <w:r>
        <w:rPr>
          <w:rFonts w:ascii="仿宋_GB2312" w:hAnsi="仿宋_GB2312" w:cs="仿宋_GB2312" w:eastAsia="仿宋_GB2312"/>
        </w:rPr>
        <w:t>委托，拟对</w:t>
      </w:r>
      <w:r>
        <w:rPr>
          <w:rFonts w:ascii="仿宋_GB2312" w:hAnsi="仿宋_GB2312" w:cs="仿宋_GB2312" w:eastAsia="仿宋_GB2312"/>
        </w:rPr>
        <w:t>西安高新区GX3-29-2号宗地土地整理项目监理服务</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SXHC2026—166</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西安高新区GX3-29-2号宗地土地整理项目监理服务</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西安高新区GX3-29-2号宗地土地整理项目监理服务。</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采购包1（西安高新区GX3-29-2号宗地土地整理项目监理服务）：属于专门面向中小企业采购。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1、具有独立承担民事责任能力：企业法人应提供合法有效的标识有统一社会信用代码的营业执照；事业法人应提供事业单位法人证书；其他组织应提供合法登记证明文件，自然人应提供身份证。</w:t>
      </w:r>
    </w:p>
    <w:p>
      <w:pPr>
        <w:pStyle w:val="null3"/>
      </w:pPr>
      <w:r>
        <w:rPr>
          <w:rFonts w:ascii="仿宋_GB2312" w:hAnsi="仿宋_GB2312" w:cs="仿宋_GB2312" w:eastAsia="仿宋_GB2312"/>
        </w:rPr>
        <w:t>2、法定代表人身份证明或法定代表人授权委托书：法定代表人直接参加投标的，须提供法定代表人身份证明；法定代表人授权代表参加投标的，须提供法定代表人授权委托书。</w:t>
      </w:r>
    </w:p>
    <w:p>
      <w:pPr>
        <w:pStyle w:val="null3"/>
      </w:pPr>
      <w:r>
        <w:rPr>
          <w:rFonts w:ascii="仿宋_GB2312" w:hAnsi="仿宋_GB2312" w:cs="仿宋_GB2312" w:eastAsia="仿宋_GB2312"/>
        </w:rPr>
        <w:t>3、企业资质：投标人须具备工程监理综合资质或市政公用工程监理甲级资质。</w:t>
      </w:r>
    </w:p>
    <w:p>
      <w:pPr>
        <w:pStyle w:val="null3"/>
      </w:pPr>
      <w:r>
        <w:rPr>
          <w:rFonts w:ascii="仿宋_GB2312" w:hAnsi="仿宋_GB2312" w:cs="仿宋_GB2312" w:eastAsia="仿宋_GB2312"/>
        </w:rPr>
        <w:t>4、拟派总监理工程师资质及要求：拟派项目总监理工程师具有市政公用工程专业国家注册监理工程师资格，在本单位注册且无在监工程（提供承诺书）。</w:t>
      </w:r>
    </w:p>
    <w:p>
      <w:pPr>
        <w:pStyle w:val="null3"/>
      </w:pPr>
      <w:r>
        <w:rPr>
          <w:rFonts w:ascii="仿宋_GB2312" w:hAnsi="仿宋_GB2312" w:cs="仿宋_GB2312" w:eastAsia="仿宋_GB2312"/>
        </w:rPr>
        <w:t>5、信誉要求：投标人未被列入“失信被执行人”、“重大税收违法案件当事人名单”和“政府采购严重违法失信行为记录名单”。</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西安高新技术产业开发区土地储备中心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西安高新区成章路丝路创智谷5号楼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710117</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029-88333753</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陕西华采招标有限公司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西安高新区锦业路1号绿地领海大厦B座10层1006室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潘聪、张聪聪</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029-68255920-806</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西安高新技术产业开发区财政金融局综合监督部</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胥工</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029-88333950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代理服务费的计算方法：以中标金额为基数，参考《国家计委关于印发&lt;招标代理服务收费管理暂行办法&gt;的通知》（计价格〔2002〕1980号）及《国家发改委关于降低部分建设项目收费标准规范收费行为等有关问题的通知》（发改价格〔2011〕534号）规定按标准收取，若按照标准收取不足6000元，按6000元计取。 （2）代理服务费可以采取现金、支票、银行汇票、电汇、网银等方式缴纳。 （3）代理服务费缴纳信息： 银行户名：陕西华采招标有限公司 开户银行：招商银行陕西自贸试验区西安高新科技支行 账号：129905942210666 联系人：韩工 联系电话：029-68255920转802</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西安高新技术产业开发区土地储备中心</w:t>
      </w:r>
      <w:r>
        <w:rPr>
          <w:rFonts w:ascii="仿宋_GB2312" w:hAnsi="仿宋_GB2312" w:cs="仿宋_GB2312" w:eastAsia="仿宋_GB2312"/>
        </w:rPr>
        <w:t>和</w:t>
      </w:r>
      <w:r>
        <w:rPr>
          <w:rFonts w:ascii="仿宋_GB2312" w:hAnsi="仿宋_GB2312" w:cs="仿宋_GB2312" w:eastAsia="仿宋_GB2312"/>
        </w:rPr>
        <w:t>陕西华采招标有限公司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西安高新技术产业开发区土地储备中心</w:t>
      </w:r>
      <w:r>
        <w:rPr>
          <w:rFonts w:ascii="仿宋_GB2312" w:hAnsi="仿宋_GB2312" w:cs="仿宋_GB2312" w:eastAsia="仿宋_GB2312"/>
        </w:rPr>
        <w:t>负责解释。除上述招标文件内容，其他内容由</w:t>
      </w:r>
      <w:r>
        <w:rPr>
          <w:rFonts w:ascii="仿宋_GB2312" w:hAnsi="仿宋_GB2312" w:cs="仿宋_GB2312" w:eastAsia="仿宋_GB2312"/>
        </w:rPr>
        <w:t>陕西华采招标有限公司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西安高新技术产业开发区土地储备中心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陕西华采招标有限公司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按照招标文件要求及合同约定执行。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陕西华采招标有限公司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陕西华采招标有限公司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陕西华采招标有限公司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联系人：党娜</w:t>
      </w:r>
    </w:p>
    <w:p>
      <w:pPr>
        <w:pStyle w:val="null3"/>
      </w:pPr>
      <w:r>
        <w:rPr>
          <w:rFonts w:ascii="仿宋_GB2312" w:hAnsi="仿宋_GB2312" w:cs="仿宋_GB2312" w:eastAsia="仿宋_GB2312"/>
        </w:rPr>
        <w:t>联系电话：029-68255920-806</w:t>
      </w:r>
    </w:p>
    <w:p>
      <w:pPr>
        <w:pStyle w:val="null3"/>
      </w:pPr>
      <w:r>
        <w:rPr>
          <w:rFonts w:ascii="仿宋_GB2312" w:hAnsi="仿宋_GB2312" w:cs="仿宋_GB2312" w:eastAsia="仿宋_GB2312"/>
        </w:rPr>
        <w:t>地址：西安高新区锦业路1号绿地领海大厦B座10层1006室</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西安高新区GX3-29-2号宗地土地整理项目监理服务。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600,000.00</w:t>
      </w:r>
    </w:p>
    <w:p>
      <w:pPr>
        <w:pStyle w:val="null3"/>
      </w:pPr>
      <w:r>
        <w:rPr>
          <w:rFonts w:ascii="仿宋_GB2312" w:hAnsi="仿宋_GB2312" w:cs="仿宋_GB2312" w:eastAsia="仿宋_GB2312"/>
        </w:rPr>
        <w:t>采购包最高限价（元）: 600,000.00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西安高新区GX3-29-2号宗地土地整理项目监理服务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600,000.00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标的名称：西安高新区GX3-29-2号宗地土地整理项目监理服务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02"/>
              <w:jc w:val="left"/>
            </w:pPr>
            <w:r>
              <w:rPr>
                <w:rFonts w:ascii="仿宋_GB2312" w:hAnsi="仿宋_GB2312" w:cs="仿宋_GB2312" w:eastAsia="仿宋_GB2312"/>
                <w:b/>
              </w:rPr>
              <w:t>一、项目概况</w:t>
            </w:r>
          </w:p>
          <w:p>
            <w:pPr>
              <w:pStyle w:val="null3"/>
              <w:ind w:firstLine="400"/>
              <w:jc w:val="left"/>
            </w:pPr>
            <w:r>
              <w:rPr>
                <w:rFonts w:ascii="仿宋_GB2312" w:hAnsi="仿宋_GB2312" w:cs="仿宋_GB2312" w:eastAsia="仿宋_GB2312"/>
              </w:rPr>
              <w:t xml:space="preserve">本项目位于高新区竹南路以南、兆元路以东。该项目的土地整理工程金额为3479.960562万元。参考《建设工程监理与相关服务收费标准》《建设工程监理与相关服务收费管理规定》发改价格（2007）670号文相关内容，本项目监理服务费预算金额为60.00万元。 </w:t>
            </w:r>
          </w:p>
          <w:p>
            <w:pPr>
              <w:pStyle w:val="null3"/>
              <w:ind w:firstLine="400"/>
              <w:jc w:val="left"/>
            </w:pPr>
            <w:r>
              <w:rPr>
                <w:rFonts w:ascii="仿宋_GB2312" w:hAnsi="仿宋_GB2312" w:cs="仿宋_GB2312" w:eastAsia="仿宋_GB2312"/>
                <w:b/>
              </w:rPr>
              <w:t>二、服务及质量要求</w:t>
            </w:r>
          </w:p>
          <w:p>
            <w:pPr>
              <w:pStyle w:val="null3"/>
              <w:ind w:firstLine="400"/>
              <w:jc w:val="left"/>
            </w:pPr>
            <w:r>
              <w:rPr>
                <w:rFonts w:ascii="仿宋_GB2312" w:hAnsi="仿宋_GB2312" w:cs="仿宋_GB2312" w:eastAsia="仿宋_GB2312"/>
              </w:rPr>
              <w:t>（一）本项目监理服务全过程须严格遵照《建设工程监理规范》（GB/T 50319）、国家、行业及地方现行工程建设质量、安全、进度、造价管理相关规范、标准及文件执行。最终达到国家、省市或相关行业规范“合格”标准要求。</w:t>
            </w:r>
          </w:p>
          <w:p>
            <w:pPr>
              <w:pStyle w:val="null3"/>
              <w:ind w:firstLine="400"/>
              <w:jc w:val="left"/>
            </w:pPr>
            <w:r>
              <w:rPr>
                <w:rFonts w:ascii="仿宋_GB2312" w:hAnsi="仿宋_GB2312" w:cs="仿宋_GB2312" w:eastAsia="仿宋_GB2312"/>
              </w:rPr>
              <w:t>（二）审查施工单位编制的施工方案及进度计划并督促其实施。重点审査其中的质量安全技术措施、专项施工方案与工程建设强制性标准的符合性。督促、检查施工单位严格执行合同和严格按照国家相关技术规范、标准、以及文件的要求进行施工。</w:t>
            </w:r>
          </w:p>
          <w:p>
            <w:pPr>
              <w:pStyle w:val="null3"/>
              <w:ind w:firstLine="400"/>
              <w:jc w:val="left"/>
            </w:pPr>
            <w:r>
              <w:rPr>
                <w:rFonts w:ascii="仿宋_GB2312" w:hAnsi="仿宋_GB2312" w:cs="仿宋_GB2312" w:eastAsia="仿宋_GB2312"/>
              </w:rPr>
              <w:t>（三）督促执行施工合同，协调委托人与施工单位之间的争议。</w:t>
            </w:r>
          </w:p>
          <w:p>
            <w:pPr>
              <w:pStyle w:val="null3"/>
              <w:ind w:firstLine="400"/>
              <w:jc w:val="left"/>
            </w:pPr>
            <w:r>
              <w:rPr>
                <w:rFonts w:ascii="仿宋_GB2312" w:hAnsi="仿宋_GB2312" w:cs="仿宋_GB2312" w:eastAsia="仿宋_GB2312"/>
              </w:rPr>
              <w:t>（四）审查施工单位的工程进度计划，随时提出监理意见，控制工程进度的实施。审核施工单位已完成的合格的工程量，协助委托人搞好工程计量及变更工程量的核增和核减。</w:t>
            </w:r>
          </w:p>
          <w:p>
            <w:pPr>
              <w:pStyle w:val="null3"/>
              <w:ind w:firstLine="400"/>
              <w:jc w:val="left"/>
            </w:pPr>
            <w:r>
              <w:rPr>
                <w:rFonts w:ascii="仿宋_GB2312" w:hAnsi="仿宋_GB2312" w:cs="仿宋_GB2312" w:eastAsia="仿宋_GB2312"/>
              </w:rPr>
              <w:t>（五）监督检查施工单位的管理制度、质量保证体系、文明施工及安全生产保证体系。</w:t>
            </w:r>
          </w:p>
          <w:p>
            <w:pPr>
              <w:pStyle w:val="null3"/>
              <w:ind w:firstLine="400"/>
              <w:jc w:val="left"/>
            </w:pPr>
            <w:r>
              <w:rPr>
                <w:rFonts w:ascii="仿宋_GB2312" w:hAnsi="仿宋_GB2312" w:cs="仿宋_GB2312" w:eastAsia="仿宋_GB2312"/>
              </w:rPr>
              <w:t>（六）负责协助委托人组织工程竣工验收，签署由施工单位提出的竣工验收报告，并提供工程项目施工阶段质量评估意见。</w:t>
            </w:r>
          </w:p>
          <w:p>
            <w:pPr>
              <w:pStyle w:val="null3"/>
              <w:ind w:firstLine="400"/>
              <w:jc w:val="left"/>
            </w:pPr>
            <w:r>
              <w:rPr>
                <w:rFonts w:ascii="仿宋_GB2312" w:hAnsi="仿宋_GB2312" w:cs="仿宋_GB2312" w:eastAsia="仿宋_GB2312"/>
              </w:rPr>
              <w:t>（七）配合工程结算，根据工程施工承包合同的具体约定，对工程结算进行审核验收，并提出竣工结算审核意见书。</w:t>
            </w:r>
          </w:p>
          <w:p>
            <w:pPr>
              <w:pStyle w:val="null3"/>
              <w:ind w:firstLine="400"/>
              <w:jc w:val="left"/>
            </w:pPr>
            <w:r>
              <w:rPr>
                <w:rFonts w:ascii="仿宋_GB2312" w:hAnsi="仿宋_GB2312" w:cs="仿宋_GB2312" w:eastAsia="仿宋_GB2312"/>
              </w:rPr>
              <w:t>（八）其他依法应由监理履行的职责。</w:t>
            </w:r>
          </w:p>
          <w:p>
            <w:pPr>
              <w:pStyle w:val="null3"/>
              <w:ind w:firstLine="402"/>
              <w:jc w:val="both"/>
            </w:pPr>
            <w:r>
              <w:rPr>
                <w:rFonts w:ascii="仿宋_GB2312" w:hAnsi="仿宋_GB2312" w:cs="仿宋_GB2312" w:eastAsia="仿宋_GB2312"/>
                <w:b/>
              </w:rPr>
              <w:t>三、</w:t>
            </w:r>
            <w:r>
              <w:rPr>
                <w:rFonts w:ascii="仿宋_GB2312" w:hAnsi="仿宋_GB2312" w:cs="仿宋_GB2312" w:eastAsia="仿宋_GB2312"/>
                <w:b/>
              </w:rPr>
              <w:t>商务要求</w:t>
            </w:r>
          </w:p>
          <w:p>
            <w:pPr>
              <w:pStyle w:val="null3"/>
              <w:ind w:firstLine="400"/>
              <w:jc w:val="both"/>
            </w:pPr>
            <w:r>
              <w:rPr>
                <w:rFonts w:ascii="仿宋_GB2312" w:hAnsi="仿宋_GB2312" w:cs="仿宋_GB2312" w:eastAsia="仿宋_GB2312"/>
              </w:rPr>
              <w:t>（一）服务期：自合同签订之日起至项目交付验收合格之日且按本合同规定移交完所有监理文件之日止。</w:t>
            </w:r>
          </w:p>
          <w:p>
            <w:pPr>
              <w:pStyle w:val="null3"/>
            </w:pPr>
            <w:r>
              <w:rPr>
                <w:rFonts w:ascii="仿宋_GB2312" w:hAnsi="仿宋_GB2312" w:cs="仿宋_GB2312" w:eastAsia="仿宋_GB2312"/>
              </w:rPr>
              <w:t xml:space="preserve">    （二）服务地点：采购人指定地点。</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满足服务要求。</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满足服务要求。</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满足服务要求。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自合同签订之日起至项目交付验收合格之日且按本合同规定移交完所有监理文件之日止。</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按照招标文件要求及合同约定执行。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进度款，完成项目监理验收后，成交供应商向采购人出具相关验收报告，达到付款条件起30个工作日内，支付合同总金额的100.0%</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按照招标文件要求及合同约定执行。</w:t>
      </w:r>
    </w:p>
    <w:p>
      <w:pPr>
        <w:pStyle w:val="null3"/>
        <w:jc w:val="left"/>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本项目所属行业为：其他未列明行业（根据《中小企业划型标准规定》（工信部联企业〔2011〕300号），其他未列明行业划分标准为“从业人员300人以下的为中小微型企业。其中，从业人员100人及以上的为中型企业；从业人员10人及以上的为小型企业；从业人员10人以下的为微型企业”）。（2）因系统格式设置无法调整，合同付款支付要求以第七章“拟签订采购合同文本”中体现的内容为准。（3）中标人在领取中标通知书前，须向采购代理机构提供纸质版投标文件3套（一正两副），且提供的投标文件必须与在陕西省政府采购综合管理平台的项目电子化交易系统中递交的电子投标文件内容一致，纸质版投标文件必须装订成册签字盖章。（4）如招标文件中融资相关内容与新政策要求有出入，按照最新要求执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投标人需在项目电子化交易系统中按要求填写《投标函》完成承诺并进行电子签章。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投标人需在项目电子化交易系统中按要求上传基本资格条件承诺函并进行电子签章。</w:t>
            </w:r>
          </w:p>
        </w:tc>
        <w:tc>
          <w:tcPr>
            <w:tcW w:type="dxa" w:w="1661"/>
          </w:tcPr>
          <w:p>
            <w:pPr>
              <w:pStyle w:val="null3"/>
            </w:pPr>
            <w:r>
              <w:rPr>
                <w:rFonts w:ascii="仿宋_GB2312" w:hAnsi="仿宋_GB2312" w:cs="仿宋_GB2312" w:eastAsia="仿宋_GB2312"/>
              </w:rPr>
              <w:t>基本资格条件承诺函.docx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投标人需在项目电子化交易系统中按要求填写《投标函》完成承诺并进行电子签章。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w:t>
            </w:r>
          </w:p>
        </w:tc>
        <w:tc>
          <w:tcPr>
            <w:tcW w:type="dxa" w:w="3322"/>
          </w:tcPr>
          <w:p>
            <w:pPr>
              <w:pStyle w:val="null3"/>
            </w:pPr>
            <w:r>
              <w:rPr>
                <w:rFonts w:ascii="仿宋_GB2312" w:hAnsi="仿宋_GB2312" w:cs="仿宋_GB2312" w:eastAsia="仿宋_GB2312"/>
              </w:rPr>
              <w:t>企业法人应提供合法有效的标识有统一社会信用代码的营业执照；事业法人应提供事业单位法人证书；其他组织应提供合法登记证明文件，自然人应提供身份证。</w:t>
            </w:r>
          </w:p>
        </w:tc>
        <w:tc>
          <w:tcPr>
            <w:tcW w:type="dxa" w:w="1661"/>
          </w:tcPr>
          <w:p>
            <w:pPr>
              <w:pStyle w:val="null3"/>
            </w:pPr>
            <w:r>
              <w:rPr>
                <w:rFonts w:ascii="仿宋_GB2312" w:hAnsi="仿宋_GB2312" w:cs="仿宋_GB2312" w:eastAsia="仿宋_GB2312"/>
              </w:rPr>
              <w:t>具有独立承担民事责任能力.docx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法定代表人身份证明或法定代表人授权委托书</w:t>
            </w:r>
          </w:p>
        </w:tc>
        <w:tc>
          <w:tcPr>
            <w:tcW w:type="dxa" w:w="3322"/>
          </w:tcPr>
          <w:p>
            <w:pPr>
              <w:pStyle w:val="null3"/>
            </w:pPr>
            <w:r>
              <w:rPr>
                <w:rFonts w:ascii="仿宋_GB2312" w:hAnsi="仿宋_GB2312" w:cs="仿宋_GB2312" w:eastAsia="仿宋_GB2312"/>
              </w:rPr>
              <w:t>法定代表人直接参加投标的，须提供法定代表人身份证明；法定代表人授权代表参加投标的，须提供法定代表人授权委托书。</w:t>
            </w:r>
          </w:p>
        </w:tc>
        <w:tc>
          <w:tcPr>
            <w:tcW w:type="dxa" w:w="1661"/>
          </w:tcPr>
          <w:p>
            <w:pPr>
              <w:pStyle w:val="null3"/>
            </w:pPr>
            <w:r>
              <w:rPr>
                <w:rFonts w:ascii="仿宋_GB2312" w:hAnsi="仿宋_GB2312" w:cs="仿宋_GB2312" w:eastAsia="仿宋_GB2312"/>
              </w:rPr>
              <w:t>法定代表人身份证明或法定代表人授权委托书.docx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投标人须具备工程监理综合资质或市政公用工程监理甲级资质。</w:t>
            </w:r>
          </w:p>
        </w:tc>
        <w:tc>
          <w:tcPr>
            <w:tcW w:type="dxa" w:w="1661"/>
          </w:tcPr>
          <w:p>
            <w:pPr>
              <w:pStyle w:val="null3"/>
            </w:pPr>
            <w:r>
              <w:rPr>
                <w:rFonts w:ascii="仿宋_GB2312" w:hAnsi="仿宋_GB2312" w:cs="仿宋_GB2312" w:eastAsia="仿宋_GB2312"/>
              </w:rPr>
              <w:t>企业资质.docx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拟派总监理工程师资质及要求</w:t>
            </w:r>
          </w:p>
        </w:tc>
        <w:tc>
          <w:tcPr>
            <w:tcW w:type="dxa" w:w="3322"/>
          </w:tcPr>
          <w:p>
            <w:pPr>
              <w:pStyle w:val="null3"/>
            </w:pPr>
            <w:r>
              <w:rPr>
                <w:rFonts w:ascii="仿宋_GB2312" w:hAnsi="仿宋_GB2312" w:cs="仿宋_GB2312" w:eastAsia="仿宋_GB2312"/>
              </w:rPr>
              <w:t>拟派项目总监理工程师具有市政公用工程专业国家注册监理工程师资格，在本单位注册且无在监工程（提供承诺书）。</w:t>
            </w:r>
          </w:p>
        </w:tc>
        <w:tc>
          <w:tcPr>
            <w:tcW w:type="dxa" w:w="1661"/>
          </w:tcPr>
          <w:p>
            <w:pPr>
              <w:pStyle w:val="null3"/>
            </w:pPr>
            <w:r>
              <w:rPr>
                <w:rFonts w:ascii="仿宋_GB2312" w:hAnsi="仿宋_GB2312" w:cs="仿宋_GB2312" w:eastAsia="仿宋_GB2312"/>
              </w:rPr>
              <w:t>拟派总监理工程师资质及要求.docx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投标人未被列入“失信被执行人”、“重大税收违法案件当事人名单”和“政府采购严重违法失信行为记录名单”。</w:t>
            </w:r>
          </w:p>
        </w:tc>
        <w:tc>
          <w:tcPr>
            <w:tcW w:type="dxa" w:w="1661"/>
          </w:tcPr>
          <w:p>
            <w:pPr>
              <w:pStyle w:val="null3"/>
            </w:pPr>
            <w:r>
              <w:rPr>
                <w:rFonts w:ascii="仿宋_GB2312" w:hAnsi="仿宋_GB2312" w:cs="仿宋_GB2312" w:eastAsia="仿宋_GB2312"/>
              </w:rPr>
              <w:t>信誉要求.docx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（1）报价唯一； （2）报价货币符合招标文件要求； （3）未超出采购预算或招标文件规定的最高限价。</w:t>
            </w:r>
          </w:p>
        </w:tc>
        <w:tc>
          <w:tcPr>
            <w:tcW w:type="dxa" w:w="1661"/>
          </w:tcPr>
          <w:p>
            <w:pPr>
              <w:pStyle w:val="null3"/>
            </w:pPr>
            <w:r>
              <w:rPr>
                <w:rFonts w:ascii="仿宋_GB2312" w:hAnsi="仿宋_GB2312" w:cs="仿宋_GB2312" w:eastAsia="仿宋_GB2312"/>
              </w:rPr>
              <w:t>开标一览表 投标报价表.docx 费用组成明细表.docx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与所投项目名称、项目编号一致，且符合招标文件签署盖章要求。</w:t>
            </w:r>
          </w:p>
        </w:tc>
        <w:tc>
          <w:tcPr>
            <w:tcW w:type="dxa" w:w="1661"/>
          </w:tcPr>
          <w:p>
            <w:pPr>
              <w:pStyle w:val="null3"/>
            </w:pPr>
            <w:r>
              <w:rPr>
                <w:rFonts w:ascii="仿宋_GB2312" w:hAnsi="仿宋_GB2312" w:cs="仿宋_GB2312" w:eastAsia="仿宋_GB2312"/>
              </w:rPr>
              <w:t>投标函 投标文件封面.docx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从递交投标文件的截止之日起算不少于90个日历日。</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合同条款</w:t>
            </w:r>
          </w:p>
        </w:tc>
        <w:tc>
          <w:tcPr>
            <w:tcW w:type="dxa" w:w="3322"/>
          </w:tcPr>
          <w:p>
            <w:pPr>
              <w:pStyle w:val="null3"/>
            </w:pPr>
            <w:r>
              <w:rPr>
                <w:rFonts w:ascii="仿宋_GB2312" w:hAnsi="仿宋_GB2312" w:cs="仿宋_GB2312" w:eastAsia="仿宋_GB2312"/>
              </w:rPr>
              <w:t>响应招标文件合同条款未出现负偏离且响应的内容中未附有采购人不能接受的附加条件。</w:t>
            </w:r>
          </w:p>
        </w:tc>
        <w:tc>
          <w:tcPr>
            <w:tcW w:type="dxa" w:w="1661"/>
          </w:tcPr>
          <w:p>
            <w:pPr>
              <w:pStyle w:val="null3"/>
            </w:pPr>
            <w:r>
              <w:rPr>
                <w:rFonts w:ascii="仿宋_GB2312" w:hAnsi="仿宋_GB2312" w:cs="仿宋_GB2312" w:eastAsia="仿宋_GB2312"/>
              </w:rPr>
              <w:t>合同条款响应偏离表.docx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监理实施方案</w:t>
            </w:r>
          </w:p>
        </w:tc>
        <w:tc>
          <w:tcPr>
            <w:tcW w:type="dxa" w:w="2492"/>
          </w:tcPr>
          <w:p>
            <w:pPr>
              <w:pStyle w:val="null3"/>
            </w:pPr>
            <w:r>
              <w:rPr>
                <w:rFonts w:ascii="仿宋_GB2312" w:hAnsi="仿宋_GB2312" w:cs="仿宋_GB2312" w:eastAsia="仿宋_GB2312"/>
              </w:rPr>
              <w:t>内容至少包括针对本项目提供监理实施方案，包括但不限于： ①监理范围、内容、目标、工作依据； ②监理工作程序、方法和制度； ③监理机构设置和岗位职责； ④投资控制措施措施； ⑤进度控制及质量控制措施； ⑥造价、环保监理措施； ⑦合同及信息管理措施； ⑧组织协调及重点、难点监控措施； ⑨工程进度款、工程结算的管理等。 评审标准：监理实施方案各部分内容全面详细、阐述条理清晰详尽、符合本项目采购需求得18分，每缺一项内容扣2分，评审内容有瑕疵的根据情况扣分，扣完为止。 备注：评审内容“瑕疵”是指：内容粗略、逻辑混乱、描述过于简单、与项目特点不匹配、逻辑漏洞、出现常识性错误、存在不适用项目实际情况的情形或只有标题没有实质性内容等。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服务方案响应说明.docx</w:t>
            </w:r>
          </w:p>
        </w:tc>
      </w:tr>
      <w:tr>
        <w:tc>
          <w:tcPr>
            <w:tcW w:type="dxa" w:w="831"/>
            <w:vMerge/>
          </w:tcPr>
          <w:p/>
        </w:tc>
        <w:tc>
          <w:tcPr>
            <w:tcW w:type="dxa" w:w="1661"/>
          </w:tcPr>
          <w:p>
            <w:pPr>
              <w:pStyle w:val="null3"/>
            </w:pPr>
            <w:r>
              <w:rPr>
                <w:rFonts w:ascii="仿宋_GB2312" w:hAnsi="仿宋_GB2312" w:cs="仿宋_GB2312" w:eastAsia="仿宋_GB2312"/>
              </w:rPr>
              <w:t>服务保障措施</w:t>
            </w:r>
          </w:p>
        </w:tc>
        <w:tc>
          <w:tcPr>
            <w:tcW w:type="dxa" w:w="2492"/>
          </w:tcPr>
          <w:p>
            <w:pPr>
              <w:pStyle w:val="null3"/>
            </w:pPr>
            <w:r>
              <w:rPr>
                <w:rFonts w:ascii="仿宋_GB2312" w:hAnsi="仿宋_GB2312" w:cs="仿宋_GB2312" w:eastAsia="仿宋_GB2312"/>
              </w:rPr>
              <w:t>内容至少包括①项目进度保障措施；②质量及安全保障措施；③成果保障及风险管理措施等。 评审标准：服务保障措施各部分内容全面详细、阐述条理清晰详尽、符合本项目采购需求得6分，每缺一项内容扣2分，评审内容有瑕疵的根据情况扣分，扣完为止。 备注：评审内容“瑕疵”是指：内容粗略、逻辑混乱、描述过于简单、与项目特点不匹配、逻辑漏洞、出现常识性错误、存在不适用项目实际情况的情形或只有标题没有实质性内容等。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服务方案响应说明.docx</w:t>
            </w:r>
          </w:p>
        </w:tc>
      </w:tr>
      <w:tr>
        <w:tc>
          <w:tcPr>
            <w:tcW w:type="dxa" w:w="831"/>
            <w:vMerge/>
          </w:tcPr>
          <w:p/>
        </w:tc>
        <w:tc>
          <w:tcPr>
            <w:tcW w:type="dxa" w:w="1661"/>
          </w:tcPr>
          <w:p>
            <w:pPr>
              <w:pStyle w:val="null3"/>
            </w:pPr>
            <w:r>
              <w:rPr>
                <w:rFonts w:ascii="仿宋_GB2312" w:hAnsi="仿宋_GB2312" w:cs="仿宋_GB2312" w:eastAsia="仿宋_GB2312"/>
              </w:rPr>
              <w:t>管理制度</w:t>
            </w:r>
          </w:p>
        </w:tc>
        <w:tc>
          <w:tcPr>
            <w:tcW w:type="dxa" w:w="2492"/>
          </w:tcPr>
          <w:p>
            <w:pPr>
              <w:pStyle w:val="null3"/>
            </w:pPr>
            <w:r>
              <w:rPr>
                <w:rFonts w:ascii="仿宋_GB2312" w:hAnsi="仿宋_GB2312" w:cs="仿宋_GB2312" w:eastAsia="仿宋_GB2312"/>
              </w:rPr>
              <w:t>内容至少包括①业务质量控制制度；②档案管理制度；③保密制度（保密手段、人员保密管理、保密承诺等）等。 评审标准：管理制度各部分内容全面详细、阐述条理清晰详尽、符合本项目采购需求得6分，每缺一项内容扣2分，评审内容有瑕疵的根据情况扣分，扣完为止。 备注：评审内容“瑕疵”是指：内容粗略、逻辑混乱、描述过于简单、与项目特点不匹配、逻辑漏洞、出现常识性错误、存在不适用项目实际情况的情形或只有标题没有实质性内容等。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服务方案响应说明.docx</w:t>
            </w:r>
          </w:p>
        </w:tc>
      </w:tr>
      <w:tr>
        <w:tc>
          <w:tcPr>
            <w:tcW w:type="dxa" w:w="831"/>
            <w:vMerge/>
          </w:tcPr>
          <w:p/>
        </w:tc>
        <w:tc>
          <w:tcPr>
            <w:tcW w:type="dxa" w:w="1661"/>
          </w:tcPr>
          <w:p>
            <w:pPr>
              <w:pStyle w:val="null3"/>
            </w:pPr>
            <w:r>
              <w:rPr>
                <w:rFonts w:ascii="仿宋_GB2312" w:hAnsi="仿宋_GB2312" w:cs="仿宋_GB2312" w:eastAsia="仿宋_GB2312"/>
              </w:rPr>
              <w:t>拟投入项目人员配备方案-项目团队配置</w:t>
            </w:r>
          </w:p>
        </w:tc>
        <w:tc>
          <w:tcPr>
            <w:tcW w:type="dxa" w:w="2492"/>
          </w:tcPr>
          <w:p>
            <w:pPr>
              <w:pStyle w:val="null3"/>
            </w:pPr>
            <w:r>
              <w:rPr>
                <w:rFonts w:ascii="仿宋_GB2312" w:hAnsi="仿宋_GB2312" w:cs="仿宋_GB2312" w:eastAsia="仿宋_GB2312"/>
              </w:rPr>
              <w:t>内容至少包括①团队人员配置清单；②各专业岗位职责安排；③团队管理制度（人员管理、任务委派、培训制度、奖惩制度等）等。 评审标准：项目团队配置各部分内容全面详细、阐述条理清晰详尽、符合本项目采购需求得6分，每缺一项内容扣2分，评审内容有瑕疵的根据情况扣分，扣完为止。 备注：评审内容“瑕疵”是指：内容粗略、逻辑混乱、描述过于简单、与项目特点不匹配、逻辑漏洞、出现常识性错误、存在不适用项目实际情况的情形或只有标题没有实质性内容等。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服务方案响应说明.docx</w:t>
            </w:r>
          </w:p>
        </w:tc>
      </w:tr>
      <w:tr>
        <w:tc>
          <w:tcPr>
            <w:tcW w:type="dxa" w:w="831"/>
            <w:vMerge/>
          </w:tcPr>
          <w:p/>
        </w:tc>
        <w:tc>
          <w:tcPr>
            <w:tcW w:type="dxa" w:w="1661"/>
          </w:tcPr>
          <w:p>
            <w:pPr>
              <w:pStyle w:val="null3"/>
            </w:pPr>
            <w:r>
              <w:rPr>
                <w:rFonts w:ascii="仿宋_GB2312" w:hAnsi="仿宋_GB2312" w:cs="仿宋_GB2312" w:eastAsia="仿宋_GB2312"/>
              </w:rPr>
              <w:t>拟投入项目人员配备方案-总监理工程师及项目团队人员</w:t>
            </w:r>
          </w:p>
        </w:tc>
        <w:tc>
          <w:tcPr>
            <w:tcW w:type="dxa" w:w="2492"/>
          </w:tcPr>
          <w:p>
            <w:pPr>
              <w:pStyle w:val="null3"/>
            </w:pPr>
            <w:r>
              <w:rPr>
                <w:rFonts w:ascii="仿宋_GB2312" w:hAnsi="仿宋_GB2312" w:cs="仿宋_GB2312" w:eastAsia="仿宋_GB2312"/>
              </w:rPr>
              <w:t>（1）总监理工程师（10分） ①具备市政或土建专业中级职称及以上得4分，否则本分项不得分； ②具备大学本科及以上学历得2分，大专学历得1分，否则本分项不得分； ③总监理工程师近三年（2023年05月01日至今）业绩：担任过类似施工项目总监理工程师，提供1个得4分，未提供业绩不得分。 注：提供职称证、毕业证书复印件（或扫描件）、中标通知书或合同复印件（或扫描件）加盖投标人公章，业绩评审时以中标通知书或合同中体现的总监理工程师名称为准。 （2）项目团队人员配备（不包含项目负责人）（10分） 项目团队人员配备（不包括总监理工程师）中包含市政或土建或水利工程专业监理工程师，每提供1人得2分，最高得10分。 注：以上项目配备人员需为本单位人员，项目负责人及项目团队人员需提供相关证书、开标前6个月任意时间段缴纳社保的证明材料或退休证明及返聘协议。</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服务方案响应说明.docx</w:t>
            </w:r>
          </w:p>
        </w:tc>
      </w:tr>
      <w:tr>
        <w:tc>
          <w:tcPr>
            <w:tcW w:type="dxa" w:w="831"/>
            <w:vMerge/>
          </w:tcPr>
          <w:p/>
        </w:tc>
        <w:tc>
          <w:tcPr>
            <w:tcW w:type="dxa" w:w="1661"/>
          </w:tcPr>
          <w:p>
            <w:pPr>
              <w:pStyle w:val="null3"/>
            </w:pPr>
            <w:r>
              <w:rPr>
                <w:rFonts w:ascii="仿宋_GB2312" w:hAnsi="仿宋_GB2312" w:cs="仿宋_GB2312" w:eastAsia="仿宋_GB2312"/>
              </w:rPr>
              <w:t>突发事件应急预案</w:t>
            </w:r>
          </w:p>
        </w:tc>
        <w:tc>
          <w:tcPr>
            <w:tcW w:type="dxa" w:w="2492"/>
          </w:tcPr>
          <w:p>
            <w:pPr>
              <w:pStyle w:val="null3"/>
            </w:pPr>
            <w:r>
              <w:rPr>
                <w:rFonts w:ascii="仿宋_GB2312" w:hAnsi="仿宋_GB2312" w:cs="仿宋_GB2312" w:eastAsia="仿宋_GB2312"/>
              </w:rPr>
              <w:t>内容至少包括①应急响应安排及措施；②应急常识宣传及演练方案等。 评审标准：突发事件应急预案各部分内容全面详细、阐述条理清晰详尽、符合本项目采购需求得4分，每缺一项内容扣2分，评审内容有瑕疵的根据情况扣分，扣完为止。 备注：评审内容“瑕疵”是指：内容粗略、逻辑混乱、描述过于简单、与项目特点不匹配、逻辑漏洞、出现常识性错误、存在不适用项目实际情况的情形或只有标题没有实质性内容等。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服务方案响应说明.docx</w:t>
            </w:r>
          </w:p>
        </w:tc>
      </w:tr>
      <w:tr>
        <w:tc>
          <w:tcPr>
            <w:tcW w:type="dxa" w:w="831"/>
            <w:vMerge/>
          </w:tcPr>
          <w:p/>
        </w:tc>
        <w:tc>
          <w:tcPr>
            <w:tcW w:type="dxa" w:w="1661"/>
          </w:tcPr>
          <w:p>
            <w:pPr>
              <w:pStyle w:val="null3"/>
            </w:pPr>
            <w:r>
              <w:rPr>
                <w:rFonts w:ascii="仿宋_GB2312" w:hAnsi="仿宋_GB2312" w:cs="仿宋_GB2312" w:eastAsia="仿宋_GB2312"/>
              </w:rPr>
              <w:t>服务承诺及合理化建议</w:t>
            </w:r>
          </w:p>
        </w:tc>
        <w:tc>
          <w:tcPr>
            <w:tcW w:type="dxa" w:w="2492"/>
          </w:tcPr>
          <w:p>
            <w:pPr>
              <w:pStyle w:val="null3"/>
            </w:pPr>
            <w:r>
              <w:rPr>
                <w:rFonts w:ascii="仿宋_GB2312" w:hAnsi="仿宋_GB2312" w:cs="仿宋_GB2312" w:eastAsia="仿宋_GB2312"/>
              </w:rPr>
              <w:t>（1）为更好的服务于本项目及采购人，投标人对项目提出相应的服务承诺（包含针对本包的各项服务质量目标、保障措施及服务人员入场计划），每提供一项得1分，最高得3分，未提供不得分。 （2）为更好的服务于本项目，投标人对项目提出合理化建议，每提供一条得1分，最高得2分，未提供不得分。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服务方案响应说明.docx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投标人具有2023年05月01日至今（以合同签订时间为准）的类似项目业绩，投标文件中提供合同复印件加盖公章，每提供一个计3分，满分15分。 注：投标文件中提供合同复印件加盖投标人公章。</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业绩的有关证明材料.docx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满足招标文件内容及技术要求且投标报价最低的投标价为评标基准价，其价格分为满分。 投标报价得分=（评标基准价／投标报价）×价格权值×100。</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投标报价表.docx</w:t>
            </w:r>
          </w:p>
          <w:p>
            <w:pPr>
              <w:pStyle w:val="null3"/>
            </w:pPr>
            <w:r>
              <w:rPr>
                <w:rFonts w:ascii="仿宋_GB2312" w:hAnsi="仿宋_GB2312" w:cs="仿宋_GB2312" w:eastAsia="仿宋_GB2312"/>
              </w:rPr>
              <w:t>费用组成明细表.docx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详见附件：投标文件封面.docx</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详见附件：投标报价表.docx</w:t>
      </w:r>
    </w:p>
    <w:p>
      <w:pPr>
        <w:pStyle w:val="null3"/>
        <w:ind w:firstLine="960"/>
      </w:pPr>
      <w:r>
        <w:rPr>
          <w:rFonts w:ascii="仿宋_GB2312" w:hAnsi="仿宋_GB2312" w:cs="仿宋_GB2312" w:eastAsia="仿宋_GB2312"/>
        </w:rPr>
        <w:t>详见附件：费用组成明细表.docx</w:t>
      </w:r>
    </w:p>
    <w:p>
      <w:pPr>
        <w:pStyle w:val="null3"/>
        <w:ind w:firstLine="960"/>
      </w:pPr>
      <w:r>
        <w:rPr>
          <w:rFonts w:ascii="仿宋_GB2312" w:hAnsi="仿宋_GB2312" w:cs="仿宋_GB2312" w:eastAsia="仿宋_GB2312"/>
        </w:rPr>
        <w:t>详见附件：基本资格条件承诺函.docx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详见附件：具有独立承担民事责任能力.docx</w:t>
      </w:r>
    </w:p>
    <w:p>
      <w:pPr>
        <w:pStyle w:val="null3"/>
        <w:ind w:firstLine="960"/>
      </w:pPr>
      <w:r>
        <w:rPr>
          <w:rFonts w:ascii="仿宋_GB2312" w:hAnsi="仿宋_GB2312" w:cs="仿宋_GB2312" w:eastAsia="仿宋_GB2312"/>
        </w:rPr>
        <w:t>详见附件：法定代表人身份证明或法定代表人授权委托书.docx</w:t>
      </w:r>
    </w:p>
    <w:p>
      <w:pPr>
        <w:pStyle w:val="null3"/>
        <w:ind w:firstLine="960"/>
      </w:pPr>
      <w:r>
        <w:rPr>
          <w:rFonts w:ascii="仿宋_GB2312" w:hAnsi="仿宋_GB2312" w:cs="仿宋_GB2312" w:eastAsia="仿宋_GB2312"/>
        </w:rPr>
        <w:t>详见附件：企业资质.docx</w:t>
      </w:r>
    </w:p>
    <w:p>
      <w:pPr>
        <w:pStyle w:val="null3"/>
        <w:ind w:firstLine="960"/>
      </w:pPr>
      <w:r>
        <w:rPr>
          <w:rFonts w:ascii="仿宋_GB2312" w:hAnsi="仿宋_GB2312" w:cs="仿宋_GB2312" w:eastAsia="仿宋_GB2312"/>
        </w:rPr>
        <w:t>详见附件：拟派总监理工程师资质及要求.docx</w:t>
      </w:r>
    </w:p>
    <w:p>
      <w:pPr>
        <w:pStyle w:val="null3"/>
        <w:ind w:firstLine="960"/>
      </w:pPr>
      <w:r>
        <w:rPr>
          <w:rFonts w:ascii="仿宋_GB2312" w:hAnsi="仿宋_GB2312" w:cs="仿宋_GB2312" w:eastAsia="仿宋_GB2312"/>
        </w:rPr>
        <w:t>详见附件：信誉要求.docx</w:t>
      </w:r>
    </w:p>
    <w:p>
      <w:pPr>
        <w:pStyle w:val="null3"/>
        <w:ind w:firstLine="960"/>
      </w:pPr>
      <w:r>
        <w:rPr>
          <w:rFonts w:ascii="仿宋_GB2312" w:hAnsi="仿宋_GB2312" w:cs="仿宋_GB2312" w:eastAsia="仿宋_GB2312"/>
        </w:rPr>
        <w:t>详见附件：合同条款响应偏离表.docx</w:t>
      </w:r>
    </w:p>
    <w:p>
      <w:pPr>
        <w:pStyle w:val="null3"/>
        <w:ind w:firstLine="960"/>
      </w:pPr>
      <w:r>
        <w:rPr>
          <w:rFonts w:ascii="仿宋_GB2312" w:hAnsi="仿宋_GB2312" w:cs="仿宋_GB2312" w:eastAsia="仿宋_GB2312"/>
        </w:rPr>
        <w:t>详见附件：服务方案响应说明.docx</w:t>
      </w:r>
    </w:p>
    <w:p>
      <w:pPr>
        <w:pStyle w:val="null3"/>
        <w:ind w:firstLine="960"/>
      </w:pPr>
      <w:r>
        <w:rPr>
          <w:rFonts w:ascii="仿宋_GB2312" w:hAnsi="仿宋_GB2312" w:cs="仿宋_GB2312" w:eastAsia="仿宋_GB2312"/>
        </w:rPr>
        <w:t>详见附件：业绩的有关证明材料.docx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