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color w:val="auto"/>
          <w:sz w:val="40"/>
          <w:szCs w:val="40"/>
          <w:highlight w:val="none"/>
          <w:lang w:val="en-US" w:eastAsia="zh-CN"/>
        </w:rPr>
        <w:t>投标报价</w:t>
      </w:r>
      <w:r>
        <w:rPr>
          <w:rFonts w:hint="eastAsia" w:ascii="仿宋_GB2312" w:hAnsi="仿宋_GB2312" w:eastAsia="仿宋_GB2312" w:cs="仿宋_GB2312"/>
          <w:b/>
          <w:bCs/>
          <w:sz w:val="40"/>
          <w:szCs w:val="40"/>
          <w:lang w:val="en-US" w:eastAsia="zh-CN"/>
        </w:rPr>
        <w:t>表</w:t>
      </w:r>
    </w:p>
    <w:p w14:paraId="2C8147F8">
      <w:pPr>
        <w:widowControl w:val="0"/>
        <w:snapToGrid w:val="0"/>
        <w:jc w:val="center"/>
        <w:rPr>
          <w:rFonts w:hint="eastAsia" w:ascii="仿宋_GB2312" w:hAnsi="宋体" w:eastAsia="仿宋_GB2312" w:cs="Times New Roman"/>
          <w:kern w:val="2"/>
          <w:sz w:val="28"/>
          <w:szCs w:val="28"/>
          <w:lang w:val="en-US" w:eastAsia="zh-CN" w:bidi="ar-SA"/>
        </w:rPr>
      </w:pPr>
    </w:p>
    <w:tbl>
      <w:tblPr>
        <w:tblStyle w:val="6"/>
        <w:tblW w:w="9339"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3"/>
        <w:gridCol w:w="7086"/>
      </w:tblGrid>
      <w:tr w14:paraId="59D5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253" w:type="dxa"/>
            <w:noWrap w:val="0"/>
            <w:vAlign w:val="center"/>
          </w:tcPr>
          <w:p w14:paraId="0419FDE2">
            <w:pPr>
              <w:widowControl w:val="0"/>
              <w:jc w:val="center"/>
              <w:rPr>
                <w:rFonts w:hint="default" w:ascii="仿宋_GB2312" w:hAnsi="仿宋" w:eastAsia="仿宋_GB2312"/>
                <w:b/>
                <w:bCs/>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项目名称</w:t>
            </w:r>
          </w:p>
        </w:tc>
        <w:tc>
          <w:tcPr>
            <w:tcW w:w="7086" w:type="dxa"/>
            <w:noWrap w:val="0"/>
            <w:vAlign w:val="center"/>
          </w:tcPr>
          <w:p w14:paraId="1D74B627">
            <w:pPr>
              <w:widowControl w:val="0"/>
              <w:jc w:val="center"/>
              <w:rPr>
                <w:rFonts w:hint="eastAsia"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西安高新区GX3-29-2号宗地土地整理项目监理服务</w:t>
            </w:r>
          </w:p>
        </w:tc>
      </w:tr>
      <w:tr w14:paraId="7832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253" w:type="dxa"/>
            <w:noWrap w:val="0"/>
            <w:vAlign w:val="center"/>
          </w:tcPr>
          <w:p w14:paraId="789AB5C2">
            <w:pPr>
              <w:widowControl w:val="0"/>
              <w:jc w:val="center"/>
              <w:rPr>
                <w:rFonts w:hint="eastAsia" w:ascii="仿宋_GB2312" w:hAnsi="仿宋" w:eastAsia="仿宋_GB2312"/>
                <w:b/>
                <w:bCs/>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项目编号</w:t>
            </w:r>
          </w:p>
        </w:tc>
        <w:tc>
          <w:tcPr>
            <w:tcW w:w="7086" w:type="dxa"/>
            <w:noWrap w:val="0"/>
            <w:vAlign w:val="center"/>
          </w:tcPr>
          <w:p w14:paraId="51921997">
            <w:pPr>
              <w:widowControl w:val="0"/>
              <w:jc w:val="center"/>
              <w:rPr>
                <w:rFonts w:hint="default"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SXHC2026-166</w:t>
            </w:r>
          </w:p>
        </w:tc>
      </w:tr>
      <w:tr w14:paraId="5BCC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253" w:type="dxa"/>
            <w:noWrap w:val="0"/>
            <w:vAlign w:val="center"/>
          </w:tcPr>
          <w:p w14:paraId="02C7300B">
            <w:pPr>
              <w:widowControl w:val="0"/>
              <w:jc w:val="center"/>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投标报价</w:t>
            </w:r>
          </w:p>
        </w:tc>
        <w:tc>
          <w:tcPr>
            <w:tcW w:w="7086" w:type="dxa"/>
            <w:noWrap w:val="0"/>
            <w:vAlign w:val="center"/>
          </w:tcPr>
          <w:p w14:paraId="03A8AB15">
            <w:pPr>
              <w:widowControl w:val="0"/>
              <w:ind w:firstLine="1960" w:firstLineChars="700"/>
              <w:jc w:val="left"/>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大写：</w:t>
            </w:r>
            <w:r>
              <w:rPr>
                <w:rFonts w:hint="eastAsia" w:ascii="仿宋_GB2312" w:hAnsi="仿宋_GB2312" w:eastAsia="仿宋_GB2312" w:cs="仿宋_GB2312"/>
                <w:color w:val="auto"/>
                <w:sz w:val="28"/>
                <w:szCs w:val="28"/>
                <w:highlight w:val="none"/>
                <w:u w:val="single"/>
                <w:lang w:val="en-US" w:eastAsia="zh-CN"/>
              </w:rPr>
              <w:t xml:space="preserve">              </w:t>
            </w:r>
          </w:p>
          <w:p w14:paraId="1103C8A1">
            <w:pPr>
              <w:widowControl w:val="0"/>
              <w:ind w:firstLine="1960" w:firstLineChars="700"/>
              <w:jc w:val="left"/>
              <w:rPr>
                <w:rFonts w:hint="default" w:ascii="仿宋_GB2312" w:hAnsi="仿宋" w:eastAsia="仿宋_GB2312"/>
                <w:b/>
                <w:bCs/>
                <w:color w:val="auto"/>
                <w:sz w:val="28"/>
                <w:szCs w:val="28"/>
                <w:vertAlign w:val="baseline"/>
                <w:lang w:val="en-US" w:eastAsia="zh-CN"/>
              </w:rPr>
            </w:pPr>
            <w:r>
              <w:rPr>
                <w:rFonts w:hint="eastAsia" w:ascii="仿宋_GB2312" w:hAnsi="仿宋_GB2312" w:eastAsia="仿宋_GB2312" w:cs="仿宋_GB2312"/>
                <w:color w:val="auto"/>
                <w:sz w:val="28"/>
                <w:szCs w:val="28"/>
                <w:highlight w:val="none"/>
                <w:lang w:val="en-US" w:eastAsia="zh-CN"/>
              </w:rPr>
              <w:t>小写：</w:t>
            </w:r>
            <w:r>
              <w:rPr>
                <w:rFonts w:hint="eastAsia" w:ascii="仿宋_GB2312" w:hAnsi="仿宋_GB2312" w:eastAsia="仿宋_GB2312" w:cs="仿宋_GB2312"/>
                <w:color w:val="auto"/>
                <w:sz w:val="28"/>
                <w:szCs w:val="28"/>
                <w:highlight w:val="none"/>
                <w:u w:val="single"/>
                <w:lang w:val="en-US" w:eastAsia="zh-CN"/>
              </w:rPr>
              <w:t xml:space="preserve">              </w:t>
            </w:r>
          </w:p>
        </w:tc>
      </w:tr>
      <w:tr w14:paraId="753C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253" w:type="dxa"/>
            <w:noWrap w:val="0"/>
            <w:vAlign w:val="center"/>
          </w:tcPr>
          <w:p w14:paraId="659F96F2">
            <w:pPr>
              <w:widowControl w:val="0"/>
              <w:jc w:val="center"/>
              <w:rPr>
                <w:rFonts w:hint="eastAsia" w:ascii="仿宋_GB2312" w:hAnsi="仿宋_GB2312" w:eastAsia="仿宋_GB2312" w:cs="仿宋_GB2312"/>
                <w:color w:val="auto"/>
                <w:sz w:val="28"/>
                <w:szCs w:val="28"/>
                <w:highlight w:val="none"/>
                <w:lang w:val="zh-CN" w:eastAsia="zh-CN"/>
              </w:rPr>
            </w:pPr>
            <w:r>
              <w:rPr>
                <w:rFonts w:hint="eastAsia" w:ascii="仿宋_GB2312" w:hAnsi="仿宋_GB2312" w:eastAsia="仿宋_GB2312" w:cs="仿宋_GB2312"/>
                <w:color w:val="auto"/>
                <w:sz w:val="28"/>
                <w:szCs w:val="28"/>
                <w:highlight w:val="none"/>
                <w:lang w:val="en-US" w:eastAsia="zh-CN"/>
              </w:rPr>
              <w:t>服务期</w:t>
            </w:r>
          </w:p>
        </w:tc>
        <w:tc>
          <w:tcPr>
            <w:tcW w:w="7086" w:type="dxa"/>
            <w:noWrap w:val="0"/>
            <w:vAlign w:val="center"/>
          </w:tcPr>
          <w:p w14:paraId="09DF18AF">
            <w:pPr>
              <w:widowControl w:val="0"/>
              <w:jc w:val="center"/>
              <w:rPr>
                <w:rFonts w:hint="eastAsia" w:ascii="仿宋_GB2312" w:hAnsi="仿宋" w:eastAsia="仿宋_GB2312"/>
                <w:b/>
                <w:bCs/>
                <w:color w:val="auto"/>
                <w:sz w:val="28"/>
                <w:szCs w:val="28"/>
                <w:vertAlign w:val="baseline"/>
              </w:rPr>
            </w:pPr>
          </w:p>
        </w:tc>
      </w:tr>
      <w:tr w14:paraId="53F7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9339" w:type="dxa"/>
            <w:gridSpan w:val="2"/>
            <w:noWrap w:val="0"/>
            <w:vAlign w:val="center"/>
          </w:tcPr>
          <w:p w14:paraId="1CB6167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注：</w:t>
            </w:r>
          </w:p>
          <w:p w14:paraId="2541CD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_GB2312" w:hAnsi="仿宋_GB2312" w:eastAsia="仿宋_GB2312" w:cs="仿宋_GB2312"/>
                <w:b w:val="0"/>
                <w:bCs w:val="0"/>
                <w:sz w:val="28"/>
                <w:szCs w:val="28"/>
                <w:lang w:val="en-US" w:eastAsia="zh-CN"/>
              </w:rPr>
            </w:pPr>
            <w:r>
              <w:rPr>
                <w:rFonts w:hint="eastAsia" w:ascii="仿宋_GB2312" w:hAnsi="仿宋" w:eastAsia="仿宋_GB2312" w:cs="Arial"/>
                <w:b w:val="0"/>
                <w:bCs w:val="0"/>
                <w:snapToGrid w:val="0"/>
                <w:color w:val="auto"/>
                <w:kern w:val="0"/>
                <w:sz w:val="28"/>
                <w:szCs w:val="28"/>
                <w:vertAlign w:val="baseline"/>
                <w:lang w:val="en-US" w:eastAsia="zh-CN" w:bidi="ar-SA"/>
              </w:rPr>
              <w:t>1、本表内投标报价以元为单位,投标报价大写与小写不一致时,以大写为准</w:t>
            </w:r>
            <w:r>
              <w:rPr>
                <w:rFonts w:hint="eastAsia" w:ascii="仿宋_GB2312" w:hAnsi="仿宋_GB2312" w:eastAsia="仿宋_GB2312" w:cs="仿宋_GB2312"/>
                <w:b w:val="0"/>
                <w:bCs w:val="0"/>
                <w:sz w:val="28"/>
                <w:szCs w:val="28"/>
                <w:lang w:val="en-US" w:eastAsia="zh-CN"/>
              </w:rPr>
              <w:t>。</w:t>
            </w:r>
          </w:p>
          <w:p w14:paraId="745551E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rPr>
                <w:rFonts w:hint="default"/>
                <w:lang w:val="en-US" w:eastAsia="zh-CN"/>
              </w:rPr>
            </w:pPr>
            <w:r>
              <w:rPr>
                <w:rFonts w:hint="eastAsia" w:ascii="仿宋_GB2312" w:hAnsi="仿宋_GB2312" w:eastAsia="仿宋_GB2312" w:cs="仿宋_GB2312"/>
                <w:b w:val="0"/>
                <w:bCs w:val="0"/>
                <w:sz w:val="28"/>
                <w:szCs w:val="28"/>
                <w:lang w:val="en-US" w:eastAsia="zh-CN"/>
              </w:rPr>
              <w:t>2、除可填报项目外对本投标报价表的任何修改将被视为非实质性响应从而导致该投标被拒绝</w:t>
            </w:r>
            <w:r>
              <w:rPr>
                <w:rFonts w:hint="eastAsia" w:ascii="仿宋_GB2312" w:hAnsi="仿宋_GB2312" w:eastAsia="仿宋_GB2312" w:cs="仿宋_GB2312"/>
                <w:b w:val="0"/>
                <w:bCs w:val="0"/>
                <w:sz w:val="28"/>
                <w:szCs w:val="28"/>
                <w:highlight w:val="none"/>
                <w:lang w:val="en-US" w:eastAsia="zh-CN"/>
              </w:rPr>
              <w:t>。</w:t>
            </w:r>
          </w:p>
        </w:tc>
      </w:tr>
    </w:tbl>
    <w:p w14:paraId="7644178B">
      <w:pPr>
        <w:spacing w:line="360" w:lineRule="auto"/>
        <w:rPr>
          <w:rFonts w:hint="eastAsia" w:eastAsia="仿宋_GB2312"/>
          <w:sz w:val="28"/>
          <w:szCs w:val="28"/>
        </w:rPr>
      </w:pPr>
    </w:p>
    <w:p w14:paraId="175BAEA2">
      <w:pPr>
        <w:pStyle w:val="3"/>
        <w:rPr>
          <w:rFonts w:hint="eastAsia" w:eastAsia="仿宋_GB2312"/>
          <w:sz w:val="28"/>
          <w:szCs w:val="28"/>
        </w:rPr>
      </w:pPr>
      <w:bookmarkStart w:id="0" w:name="_GoBack"/>
      <w:bookmarkEnd w:id="0"/>
    </w:p>
    <w:p w14:paraId="4648EDCD">
      <w:pPr>
        <w:rPr>
          <w:rFonts w:hint="eastAsia"/>
        </w:rPr>
      </w:pPr>
    </w:p>
    <w:p w14:paraId="078BA5CC">
      <w:pPr>
        <w:rPr>
          <w:rFonts w:hint="eastAsia"/>
        </w:rPr>
      </w:pPr>
    </w:p>
    <w:p w14:paraId="04BF7680">
      <w:pPr>
        <w:rPr>
          <w:rFonts w:hint="eastAsia"/>
        </w:rPr>
      </w:pPr>
    </w:p>
    <w:p w14:paraId="2AE6C708">
      <w:pPr>
        <w:spacing w:line="360" w:lineRule="auto"/>
        <w:ind w:firstLine="2800" w:firstLineChars="1000"/>
        <w:rPr>
          <w:rFonts w:ascii="仿宋_GB2312" w:hAnsi="宋体" w:eastAsia="仿宋_GB2312"/>
          <w:sz w:val="28"/>
          <w:szCs w:val="28"/>
        </w:rPr>
      </w:pPr>
      <w:r>
        <w:rPr>
          <w:rFonts w:hint="eastAsia" w:ascii="仿宋_GB2312" w:hAnsi="宋体" w:eastAsia="仿宋_GB2312"/>
          <w:sz w:val="28"/>
          <w:szCs w:val="28"/>
          <w:lang w:val="en-US" w:eastAsia="zh-CN"/>
        </w:rPr>
        <w:t>投标人</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91DECA0">
      <w:pPr>
        <w:spacing w:line="360" w:lineRule="auto"/>
        <w:ind w:firstLine="2800" w:firstLineChars="10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00BAEF82">
      <w:pPr>
        <w:spacing w:line="360" w:lineRule="auto"/>
        <w:ind w:firstLine="2800" w:firstLineChars="1000"/>
        <w:rPr>
          <w:rFonts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2E7124A8"/>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760EEC"/>
    <w:rsid w:val="0D176ADD"/>
    <w:rsid w:val="0DBC505E"/>
    <w:rsid w:val="108E315A"/>
    <w:rsid w:val="19186C21"/>
    <w:rsid w:val="2ACB46DB"/>
    <w:rsid w:val="2DDA16F2"/>
    <w:rsid w:val="2EDF1487"/>
    <w:rsid w:val="2FA83591"/>
    <w:rsid w:val="308B4B6C"/>
    <w:rsid w:val="320106B9"/>
    <w:rsid w:val="3DEE6265"/>
    <w:rsid w:val="3EF94F1B"/>
    <w:rsid w:val="3F3E3276"/>
    <w:rsid w:val="4B2E0642"/>
    <w:rsid w:val="4DF14CCF"/>
    <w:rsid w:val="4F5C10C7"/>
    <w:rsid w:val="52CD31A1"/>
    <w:rsid w:val="541328F6"/>
    <w:rsid w:val="59E95F33"/>
    <w:rsid w:val="5A1E32D2"/>
    <w:rsid w:val="5A414ADA"/>
    <w:rsid w:val="5C0E6052"/>
    <w:rsid w:val="5F657BB2"/>
    <w:rsid w:val="66056F5E"/>
    <w:rsid w:val="660A0F78"/>
    <w:rsid w:val="66147B98"/>
    <w:rsid w:val="6E1C5C80"/>
    <w:rsid w:val="6EA0656B"/>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60</Words>
  <Characters>60</Characters>
  <Lines>0</Lines>
  <Paragraphs>0</Paragraphs>
  <TotalTime>0</TotalTime>
  <ScaleCrop>false</ScaleCrop>
  <LinksUpToDate>false</LinksUpToDate>
  <CharactersWithSpaces>161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2026-07-16T08:50:38Z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