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7DC39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其他</w:t>
      </w:r>
    </w:p>
    <w:p w14:paraId="222EBBA0">
      <w:pPr>
        <w:jc w:val="center"/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</w:t>
      </w:r>
      <w:r>
        <w:rPr>
          <w:rFonts w:hint="eastAsia"/>
          <w:sz w:val="28"/>
          <w:szCs w:val="28"/>
          <w:lang w:val="en-US" w:eastAsia="zh-CN"/>
        </w:rPr>
        <w:t>招标文件要求内容认为需要提供的其他资料，</w:t>
      </w:r>
      <w:r>
        <w:rPr>
          <w:rFonts w:hint="eastAsia"/>
          <w:sz w:val="28"/>
          <w:szCs w:val="28"/>
        </w:rPr>
        <w:t>自行编写，格式内容不限。</w:t>
      </w:r>
    </w:p>
    <w:p w14:paraId="356F7F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C2A41"/>
    <w:rsid w:val="2F1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2026-06-02T09:47:00Z</dcterms:created>
  <dc:creator>Zhe</dc:creator>
  <cp:lastModifiedBy>Zhe</cp:lastModifiedBy>
  <dcterms:modified xsi:type="dcterms:W3CDTF">2026-06-02T09:55:35Z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932D58BCE4234A1B99FA210C11328B79_11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