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D7DAF6">
      <w:pPr>
        <w:pStyle w:val="3"/>
        <w:jc w:val="center"/>
        <w:rPr>
          <w:rFonts w:hint="eastAsia" w:ascii="仿宋" w:hAnsi="仿宋" w:eastAsia="仿宋" w:cs="仿宋"/>
          <w:b/>
          <w:bCs/>
          <w:color w:val="auto"/>
          <w:spacing w:val="-20"/>
          <w:kern w:val="44"/>
          <w:sz w:val="48"/>
          <w:szCs w:val="48"/>
          <w:highlight w:val="none"/>
        </w:rPr>
      </w:pPr>
      <w:bookmarkStart w:id="0" w:name="_Toc3995"/>
      <w:bookmarkStart w:id="5" w:name="_GoBack"/>
    </w:p>
    <w:p w14:paraId="253612A0">
      <w:pPr>
        <w:pStyle w:val="3"/>
        <w:jc w:val="center"/>
        <w:rPr>
          <w:rFonts w:hint="eastAsia" w:ascii="仿宋" w:hAnsi="仿宋" w:eastAsia="仿宋" w:cs="仿宋"/>
          <w:b/>
          <w:bCs/>
          <w:color w:val="auto"/>
          <w:spacing w:val="-20"/>
          <w:kern w:val="44"/>
          <w:sz w:val="48"/>
          <w:szCs w:val="48"/>
          <w:highlight w:val="none"/>
        </w:rPr>
      </w:pPr>
    </w:p>
    <w:p w14:paraId="01534980">
      <w:pPr>
        <w:pStyle w:val="3"/>
        <w:jc w:val="center"/>
        <w:rPr>
          <w:rFonts w:hint="eastAsia" w:ascii="仿宋" w:hAnsi="仿宋" w:eastAsia="仿宋" w:cs="仿宋"/>
          <w:b/>
          <w:bCs/>
          <w:color w:val="auto"/>
          <w:spacing w:val="-20"/>
          <w:kern w:val="44"/>
          <w:sz w:val="48"/>
          <w:szCs w:val="48"/>
          <w:highlight w:val="none"/>
          <w:lang w:val="en-US" w:eastAsia="zh-CN"/>
        </w:rPr>
      </w:pPr>
      <w:r>
        <w:rPr>
          <w:rFonts w:hint="eastAsia" w:ascii="仿宋" w:hAnsi="仿宋" w:eastAsia="仿宋" w:cs="仿宋"/>
          <w:b/>
          <w:bCs/>
          <w:color w:val="auto"/>
          <w:spacing w:val="-20"/>
          <w:kern w:val="44"/>
          <w:sz w:val="48"/>
          <w:szCs w:val="48"/>
          <w:highlight w:val="none"/>
          <w:lang w:val="en-US" w:eastAsia="zh-CN"/>
        </w:rPr>
        <w:t>西北妇女儿童医院</w:t>
      </w:r>
    </w:p>
    <w:p w14:paraId="3CE39784">
      <w:pPr>
        <w:pStyle w:val="3"/>
        <w:jc w:val="center"/>
        <w:rPr>
          <w:rFonts w:hint="eastAsia" w:ascii="仿宋" w:hAnsi="仿宋" w:eastAsia="仿宋" w:cs="仿宋"/>
          <w:b/>
          <w:bCs/>
          <w:color w:val="auto"/>
          <w:spacing w:val="-20"/>
          <w:kern w:val="44"/>
          <w:sz w:val="48"/>
          <w:szCs w:val="48"/>
          <w:highlight w:val="none"/>
        </w:rPr>
      </w:pPr>
      <w:r>
        <w:rPr>
          <w:rFonts w:hint="eastAsia" w:ascii="仿宋" w:hAnsi="仿宋" w:eastAsia="仿宋" w:cs="仿宋"/>
          <w:b/>
          <w:bCs/>
          <w:color w:val="auto"/>
          <w:spacing w:val="-20"/>
          <w:kern w:val="44"/>
          <w:sz w:val="48"/>
          <w:szCs w:val="48"/>
          <w:highlight w:val="none"/>
          <w:lang w:eastAsia="zh-CN"/>
        </w:rPr>
        <w:t>腹腔镜培训系统、智能真空采血管备管机等设备采购项目</w:t>
      </w:r>
      <w:r>
        <w:rPr>
          <w:rFonts w:hint="eastAsia" w:ascii="仿宋" w:hAnsi="仿宋" w:eastAsia="仿宋" w:cs="仿宋"/>
          <w:b/>
          <w:bCs/>
          <w:color w:val="auto"/>
          <w:spacing w:val="-20"/>
          <w:kern w:val="44"/>
          <w:sz w:val="48"/>
          <w:szCs w:val="48"/>
          <w:highlight w:val="none"/>
        </w:rPr>
        <w:t>合同</w:t>
      </w:r>
    </w:p>
    <w:p w14:paraId="0127A384">
      <w:pPr>
        <w:rPr>
          <w:rFonts w:hint="eastAsia" w:ascii="仿宋" w:hAnsi="仿宋" w:eastAsia="仿宋" w:cs="仿宋"/>
          <w:b/>
          <w:bCs/>
          <w:color w:val="auto"/>
          <w:spacing w:val="-20"/>
          <w:kern w:val="44"/>
          <w:sz w:val="40"/>
          <w:szCs w:val="40"/>
          <w:highlight w:val="none"/>
        </w:rPr>
      </w:pPr>
    </w:p>
    <w:p w14:paraId="5F8C8856">
      <w:pPr>
        <w:rPr>
          <w:rFonts w:hint="eastAsia" w:ascii="仿宋" w:hAnsi="仿宋" w:eastAsia="仿宋" w:cs="仿宋"/>
          <w:b/>
          <w:bCs/>
          <w:color w:val="auto"/>
          <w:spacing w:val="-20"/>
          <w:kern w:val="44"/>
          <w:sz w:val="40"/>
          <w:szCs w:val="40"/>
          <w:highlight w:val="none"/>
        </w:rPr>
      </w:pPr>
    </w:p>
    <w:p w14:paraId="3F123F50">
      <w:pPr>
        <w:rPr>
          <w:rFonts w:hint="eastAsia" w:ascii="仿宋" w:hAnsi="仿宋" w:eastAsia="仿宋" w:cs="仿宋"/>
          <w:b/>
          <w:bCs/>
          <w:color w:val="auto"/>
          <w:spacing w:val="-20"/>
          <w:kern w:val="44"/>
          <w:sz w:val="40"/>
          <w:szCs w:val="40"/>
          <w:highlight w:val="none"/>
        </w:rPr>
      </w:pPr>
    </w:p>
    <w:p w14:paraId="35994713">
      <w:pPr>
        <w:widowControl/>
        <w:ind w:firstLine="320" w:firstLineChars="100"/>
        <w:jc w:val="left"/>
        <w:rPr>
          <w:rFonts w:hint="eastAsia" w:ascii="仿宋" w:hAnsi="仿宋" w:eastAsia="仿宋" w:cs="仿宋"/>
          <w:color w:val="auto"/>
          <w:highlight w:val="none"/>
          <w:u w:val="single"/>
        </w:rPr>
      </w:pPr>
      <w:r>
        <w:rPr>
          <w:rFonts w:hint="eastAsia" w:ascii="仿宋" w:hAnsi="仿宋" w:eastAsia="仿宋" w:cs="仿宋"/>
          <w:color w:val="auto"/>
          <w:kern w:val="0"/>
          <w:sz w:val="32"/>
          <w:szCs w:val="32"/>
          <w:highlight w:val="none"/>
        </w:rPr>
        <w:t>项目名称：</w:t>
      </w:r>
      <w:r>
        <w:rPr>
          <w:rFonts w:hint="eastAsia" w:ascii="仿宋" w:hAnsi="仿宋" w:eastAsia="仿宋" w:cs="仿宋"/>
          <w:color w:val="auto"/>
          <w:sz w:val="32"/>
          <w:szCs w:val="32"/>
          <w:highlight w:val="none"/>
          <w:u w:val="single"/>
          <w:lang w:eastAsia="zh-CN"/>
        </w:rPr>
        <w:t>腹腔镜培训系统、智能真空采血管备管机等设备采购项目</w:t>
      </w:r>
      <w:r>
        <w:rPr>
          <w:rFonts w:hint="eastAsia" w:ascii="仿宋" w:hAnsi="仿宋" w:eastAsia="仿宋" w:cs="仿宋"/>
          <w:color w:val="auto"/>
          <w:sz w:val="32"/>
          <w:szCs w:val="32"/>
          <w:highlight w:val="none"/>
          <w:u w:val="single"/>
        </w:rPr>
        <w:t xml:space="preserve">   </w:t>
      </w:r>
    </w:p>
    <w:p w14:paraId="74C986D0">
      <w:pPr>
        <w:spacing w:line="360" w:lineRule="auto"/>
        <w:ind w:firstLine="320" w:firstLineChars="100"/>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甲    方：</w:t>
      </w:r>
      <w:r>
        <w:rPr>
          <w:rFonts w:hint="eastAsia" w:ascii="仿宋" w:hAnsi="仿宋" w:eastAsia="仿宋" w:cs="仿宋"/>
          <w:color w:val="auto"/>
          <w:sz w:val="32"/>
          <w:szCs w:val="32"/>
          <w:highlight w:val="none"/>
          <w:u w:val="single"/>
        </w:rPr>
        <w:t xml:space="preserve">西北妇女儿童医院                 </w:t>
      </w:r>
    </w:p>
    <w:p w14:paraId="031B3136">
      <w:pPr>
        <w:spacing w:line="360" w:lineRule="auto"/>
        <w:ind w:firstLine="320" w:firstLineChars="100"/>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乙    方：</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p>
    <w:p w14:paraId="6E6694FD">
      <w:pPr>
        <w:spacing w:line="360" w:lineRule="auto"/>
        <w:ind w:firstLine="320" w:firstLineChars="1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签订时间：</w:t>
      </w:r>
      <w:r>
        <w:rPr>
          <w:rFonts w:hint="eastAsia" w:ascii="仿宋" w:hAnsi="仿宋" w:eastAsia="仿宋" w:cs="仿宋"/>
          <w:color w:val="auto"/>
          <w:sz w:val="32"/>
          <w:szCs w:val="32"/>
          <w:highlight w:val="none"/>
          <w:u w:val="single"/>
        </w:rPr>
        <w:t xml:space="preserve">                                 </w:t>
      </w:r>
    </w:p>
    <w:p w14:paraId="3ADC24C8">
      <w:pPr>
        <w:rPr>
          <w:rFonts w:hint="eastAsia" w:ascii="仿宋" w:hAnsi="仿宋" w:eastAsia="仿宋" w:cs="仿宋"/>
          <w:color w:val="auto"/>
          <w:highlight w:val="none"/>
        </w:rPr>
      </w:pPr>
    </w:p>
    <w:p w14:paraId="4276152B">
      <w:pPr>
        <w:rPr>
          <w:rFonts w:hint="eastAsia" w:ascii="仿宋" w:hAnsi="仿宋" w:eastAsia="仿宋" w:cs="仿宋"/>
          <w:color w:val="auto"/>
          <w:sz w:val="44"/>
          <w:szCs w:val="44"/>
          <w:highlight w:val="none"/>
        </w:rPr>
      </w:pPr>
    </w:p>
    <w:p w14:paraId="6B3713ED">
      <w:pPr>
        <w:rPr>
          <w:rFonts w:hint="eastAsia" w:ascii="仿宋" w:hAnsi="仿宋" w:eastAsia="仿宋" w:cs="仿宋"/>
          <w:color w:val="auto"/>
          <w:sz w:val="44"/>
          <w:szCs w:val="44"/>
          <w:highlight w:val="none"/>
        </w:rPr>
      </w:pPr>
    </w:p>
    <w:p w14:paraId="5D3332C3">
      <w:pPr>
        <w:rPr>
          <w:rFonts w:hint="eastAsia" w:ascii="仿宋" w:hAnsi="仿宋" w:eastAsia="仿宋" w:cs="仿宋"/>
          <w:color w:val="auto"/>
          <w:sz w:val="44"/>
          <w:szCs w:val="44"/>
          <w:highlight w:val="none"/>
        </w:rPr>
      </w:pPr>
    </w:p>
    <w:p w14:paraId="5778C05B">
      <w:pPr>
        <w:ind w:firstLine="880" w:firstLineChars="200"/>
        <w:rPr>
          <w:rFonts w:hint="eastAsia" w:ascii="仿宋" w:hAnsi="仿宋" w:eastAsia="仿宋" w:cs="仿宋"/>
          <w:color w:val="auto"/>
          <w:sz w:val="44"/>
          <w:szCs w:val="44"/>
          <w:highlight w:val="none"/>
        </w:rPr>
        <w:sectPr>
          <w:pgSz w:w="11906" w:h="16838"/>
          <w:pgMar w:top="1440" w:right="1800" w:bottom="1440" w:left="1800" w:header="851" w:footer="992" w:gutter="0"/>
          <w:pgNumType w:fmt="decimal"/>
          <w:cols w:space="425" w:num="1"/>
          <w:docGrid w:type="lines" w:linePitch="312" w:charSpace="0"/>
        </w:sectPr>
      </w:pPr>
    </w:p>
    <w:bookmarkEnd w:id="0"/>
    <w:p w14:paraId="233B5764">
      <w:pPr>
        <w:pStyle w:val="2"/>
        <w:keepNext/>
        <w:keepLines/>
        <w:pageBreakBefore w:val="0"/>
        <w:widowControl w:val="0"/>
        <w:kinsoku/>
        <w:wordWrap/>
        <w:overflowPunct/>
        <w:topLinePunct w:val="0"/>
        <w:autoSpaceDE/>
        <w:autoSpaceDN/>
        <w:bidi w:val="0"/>
        <w:adjustRightInd w:val="0"/>
        <w:snapToGrid w:val="0"/>
        <w:spacing w:before="120" w:after="120" w:line="400" w:lineRule="exact"/>
        <w:ind w:firstLine="0" w:firstLineChars="0"/>
        <w:jc w:val="center"/>
        <w:textAlignment w:val="auto"/>
        <w:outlineLvl w:val="2"/>
        <w:rPr>
          <w:rFonts w:hint="eastAsia" w:ascii="仿宋" w:hAnsi="仿宋" w:eastAsia="仿宋" w:cs="仿宋"/>
          <w:b w:val="0"/>
          <w:bCs w:val="0"/>
          <w:color w:val="auto"/>
          <w:szCs w:val="28"/>
          <w:highlight w:val="none"/>
        </w:rPr>
      </w:pPr>
      <w:bookmarkStart w:id="1" w:name="_Toc22209"/>
      <w:r>
        <w:rPr>
          <w:rFonts w:hint="eastAsia" w:ascii="仿宋" w:hAnsi="仿宋" w:eastAsia="仿宋" w:cs="仿宋"/>
          <w:b/>
          <w:bCs/>
          <w:color w:val="auto"/>
          <w:szCs w:val="28"/>
          <w:highlight w:val="none"/>
        </w:rPr>
        <w:t>第一节 政府采购合同协议书</w:t>
      </w:r>
      <w:bookmarkEnd w:id="1"/>
    </w:p>
    <w:p w14:paraId="09C6F771">
      <w:pPr>
        <w:rPr>
          <w:rFonts w:hint="eastAsia" w:ascii="仿宋" w:hAnsi="仿宋" w:eastAsia="仿宋" w:cs="仿宋"/>
          <w:color w:val="auto"/>
          <w:highlight w:val="none"/>
        </w:rPr>
      </w:pPr>
    </w:p>
    <w:p w14:paraId="1128EE08">
      <w:pPr>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甲方（全称）：</w:t>
      </w:r>
      <w:r>
        <w:rPr>
          <w:rFonts w:hint="eastAsia" w:ascii="仿宋" w:hAnsi="仿宋" w:eastAsia="仿宋" w:cs="仿宋"/>
          <w:color w:val="auto"/>
          <w:szCs w:val="21"/>
          <w:highlight w:val="none"/>
          <w:u w:val="single"/>
        </w:rPr>
        <w:t xml:space="preserve"> 西北妇女儿童医院 </w:t>
      </w:r>
    </w:p>
    <w:p w14:paraId="56CC2E2A">
      <w:pPr>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乙方（全称）：</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p>
    <w:p w14:paraId="765BE2DD">
      <w:pPr>
        <w:pStyle w:val="4"/>
        <w:adjustRightInd w:val="0"/>
        <w:snapToGrid w:val="0"/>
        <w:spacing w:after="0" w:line="400" w:lineRule="exact"/>
        <w:ind w:left="0" w:leftChars="0"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依据《中华人民共和国民法典》、《中华人民共和国政府采购法》等有关的法律法规，以及本采购项目的招标文件等采购文件、乙方的《投标文件》及《中标通知书》，甲乙双方同意签订本合同。具体情况及要求如下：</w:t>
      </w:r>
    </w:p>
    <w:p w14:paraId="4CE7B23C">
      <w:pPr>
        <w:numPr>
          <w:ilvl w:val="0"/>
          <w:numId w:val="1"/>
        </w:numPr>
        <w:adjustRightInd w:val="0"/>
        <w:snapToGrid w:val="0"/>
        <w:spacing w:line="400" w:lineRule="exact"/>
        <w:ind w:firstLine="48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项目信息</w:t>
      </w:r>
    </w:p>
    <w:p w14:paraId="3B441CF4">
      <w:pPr>
        <w:pStyle w:val="4"/>
        <w:numPr>
          <w:ilvl w:val="0"/>
          <w:numId w:val="2"/>
        </w:numPr>
        <w:adjustRightInd w:val="0"/>
        <w:snapToGrid w:val="0"/>
        <w:spacing w:after="0" w:line="480" w:lineRule="exact"/>
        <w:ind w:left="0" w:leftChars="0" w:firstLine="48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采购项目名称：</w:t>
      </w:r>
      <w:r>
        <w:rPr>
          <w:rFonts w:hint="eastAsia" w:ascii="仿宋" w:hAnsi="仿宋" w:eastAsia="仿宋" w:cs="仿宋"/>
          <w:color w:val="auto"/>
          <w:szCs w:val="21"/>
          <w:highlight w:val="none"/>
          <w:u w:val="single"/>
          <w:lang w:eastAsia="zh-CN"/>
        </w:rPr>
        <w:t>腹腔镜培训系统、智能真空采血管备管机等设备采购项目</w:t>
      </w:r>
      <w:r>
        <w:rPr>
          <w:rFonts w:hint="eastAsia" w:ascii="仿宋" w:hAnsi="仿宋" w:eastAsia="仿宋" w:cs="仿宋"/>
          <w:color w:val="auto"/>
          <w:szCs w:val="21"/>
          <w:highlight w:val="none"/>
          <w:u w:val="single"/>
        </w:rPr>
        <w:t xml:space="preserve">            </w:t>
      </w:r>
    </w:p>
    <w:p w14:paraId="62CD90A7">
      <w:pPr>
        <w:widowControl/>
        <w:spacing w:line="480" w:lineRule="exact"/>
        <w:jc w:val="left"/>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采购项目编号：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p>
    <w:p w14:paraId="67FC8E96">
      <w:pPr>
        <w:pStyle w:val="4"/>
        <w:adjustRightInd w:val="0"/>
        <w:snapToGrid w:val="0"/>
        <w:spacing w:after="0" w:line="480" w:lineRule="exact"/>
        <w:ind w:left="0" w:leftChars="0"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（2）采购计划编号：</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14:paraId="2635ADC8">
      <w:pPr>
        <w:adjustRightInd w:val="0"/>
        <w:snapToGrid w:val="0"/>
        <w:spacing w:line="480" w:lineRule="exact"/>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（3）项目内容：  </w:t>
      </w:r>
    </w:p>
    <w:tbl>
      <w:tblPr>
        <w:tblStyle w:val="9"/>
        <w:tblW w:w="96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3"/>
        <w:gridCol w:w="1673"/>
        <w:gridCol w:w="990"/>
        <w:gridCol w:w="1485"/>
        <w:gridCol w:w="915"/>
        <w:gridCol w:w="1005"/>
        <w:gridCol w:w="1380"/>
        <w:gridCol w:w="1410"/>
      </w:tblGrid>
      <w:tr w14:paraId="078B0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93" w:type="dxa"/>
          </w:tcPr>
          <w:p w14:paraId="2DE09BAE">
            <w:pPr>
              <w:adjustRightInd w:val="0"/>
              <w:snapToGrid w:val="0"/>
              <w:spacing w:line="400" w:lineRule="exact"/>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1673" w:type="dxa"/>
          </w:tcPr>
          <w:p w14:paraId="2075607B">
            <w:pPr>
              <w:adjustRightInd w:val="0"/>
              <w:snapToGrid w:val="0"/>
              <w:spacing w:line="400" w:lineRule="exact"/>
              <w:ind w:firstLine="482"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名称</w:t>
            </w:r>
          </w:p>
        </w:tc>
        <w:tc>
          <w:tcPr>
            <w:tcW w:w="990" w:type="dxa"/>
          </w:tcPr>
          <w:p w14:paraId="096205BD">
            <w:pPr>
              <w:adjustRightInd w:val="0"/>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品牌</w:t>
            </w:r>
          </w:p>
        </w:tc>
        <w:tc>
          <w:tcPr>
            <w:tcW w:w="1485" w:type="dxa"/>
          </w:tcPr>
          <w:p w14:paraId="42AB45E1">
            <w:pPr>
              <w:adjustRightInd w:val="0"/>
              <w:snapToGrid w:val="0"/>
              <w:spacing w:line="400" w:lineRule="exact"/>
              <w:ind w:firstLine="241" w:firstLineChars="1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规格型号</w:t>
            </w:r>
          </w:p>
        </w:tc>
        <w:tc>
          <w:tcPr>
            <w:tcW w:w="915" w:type="dxa"/>
          </w:tcPr>
          <w:p w14:paraId="5C826FBF">
            <w:pPr>
              <w:adjustRightInd w:val="0"/>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单位</w:t>
            </w:r>
          </w:p>
        </w:tc>
        <w:tc>
          <w:tcPr>
            <w:tcW w:w="1005" w:type="dxa"/>
          </w:tcPr>
          <w:p w14:paraId="0F2DF54C">
            <w:pPr>
              <w:adjustRightInd w:val="0"/>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数量</w:t>
            </w:r>
          </w:p>
        </w:tc>
        <w:tc>
          <w:tcPr>
            <w:tcW w:w="1380" w:type="dxa"/>
          </w:tcPr>
          <w:p w14:paraId="3D0D01BA">
            <w:pPr>
              <w:adjustRightInd w:val="0"/>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单价（元）</w:t>
            </w:r>
          </w:p>
        </w:tc>
        <w:tc>
          <w:tcPr>
            <w:tcW w:w="1410" w:type="dxa"/>
          </w:tcPr>
          <w:p w14:paraId="7C745FFD">
            <w:pPr>
              <w:adjustRightInd w:val="0"/>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合计（元）</w:t>
            </w:r>
          </w:p>
        </w:tc>
      </w:tr>
      <w:tr w14:paraId="381E3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dxa"/>
          </w:tcPr>
          <w:p w14:paraId="2176B9C9">
            <w:pPr>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673" w:type="dxa"/>
          </w:tcPr>
          <w:p w14:paraId="63E4669A">
            <w:pPr>
              <w:adjustRightInd w:val="0"/>
              <w:snapToGrid w:val="0"/>
              <w:spacing w:line="400" w:lineRule="exact"/>
              <w:rPr>
                <w:rFonts w:hint="eastAsia" w:ascii="仿宋" w:hAnsi="仿宋" w:eastAsia="仿宋" w:cs="仿宋"/>
                <w:color w:val="auto"/>
                <w:szCs w:val="21"/>
                <w:highlight w:val="none"/>
              </w:rPr>
            </w:pPr>
          </w:p>
        </w:tc>
        <w:tc>
          <w:tcPr>
            <w:tcW w:w="990" w:type="dxa"/>
          </w:tcPr>
          <w:p w14:paraId="421475AE">
            <w:pPr>
              <w:adjustRightInd w:val="0"/>
              <w:snapToGrid w:val="0"/>
              <w:spacing w:line="400" w:lineRule="exact"/>
              <w:rPr>
                <w:rFonts w:hint="eastAsia" w:ascii="仿宋" w:hAnsi="仿宋" w:eastAsia="仿宋" w:cs="仿宋"/>
                <w:color w:val="auto"/>
                <w:szCs w:val="21"/>
                <w:highlight w:val="none"/>
              </w:rPr>
            </w:pPr>
          </w:p>
        </w:tc>
        <w:tc>
          <w:tcPr>
            <w:tcW w:w="1485" w:type="dxa"/>
          </w:tcPr>
          <w:p w14:paraId="10E38435">
            <w:pPr>
              <w:adjustRightInd w:val="0"/>
              <w:snapToGrid w:val="0"/>
              <w:spacing w:line="400" w:lineRule="exact"/>
              <w:ind w:firstLine="480" w:firstLineChars="200"/>
              <w:rPr>
                <w:rFonts w:hint="eastAsia" w:ascii="仿宋" w:hAnsi="仿宋" w:eastAsia="仿宋" w:cs="仿宋"/>
                <w:color w:val="auto"/>
                <w:szCs w:val="21"/>
                <w:highlight w:val="none"/>
              </w:rPr>
            </w:pPr>
          </w:p>
        </w:tc>
        <w:tc>
          <w:tcPr>
            <w:tcW w:w="915" w:type="dxa"/>
          </w:tcPr>
          <w:p w14:paraId="3A451E19">
            <w:pPr>
              <w:adjustRightInd w:val="0"/>
              <w:snapToGrid w:val="0"/>
              <w:spacing w:line="400" w:lineRule="exact"/>
              <w:ind w:firstLine="480" w:firstLineChars="200"/>
              <w:rPr>
                <w:rFonts w:hint="eastAsia" w:ascii="仿宋" w:hAnsi="仿宋" w:eastAsia="仿宋" w:cs="仿宋"/>
                <w:color w:val="auto"/>
                <w:szCs w:val="21"/>
                <w:highlight w:val="none"/>
              </w:rPr>
            </w:pPr>
          </w:p>
        </w:tc>
        <w:tc>
          <w:tcPr>
            <w:tcW w:w="1005" w:type="dxa"/>
          </w:tcPr>
          <w:p w14:paraId="393E6DD6">
            <w:pPr>
              <w:adjustRightInd w:val="0"/>
              <w:snapToGrid w:val="0"/>
              <w:spacing w:line="400" w:lineRule="exact"/>
              <w:ind w:firstLine="480" w:firstLineChars="200"/>
              <w:rPr>
                <w:rFonts w:hint="eastAsia" w:ascii="仿宋" w:hAnsi="仿宋" w:eastAsia="仿宋" w:cs="仿宋"/>
                <w:color w:val="auto"/>
                <w:szCs w:val="21"/>
                <w:highlight w:val="none"/>
              </w:rPr>
            </w:pPr>
          </w:p>
        </w:tc>
        <w:tc>
          <w:tcPr>
            <w:tcW w:w="1380" w:type="dxa"/>
          </w:tcPr>
          <w:p w14:paraId="36EB6556">
            <w:pPr>
              <w:adjustRightInd w:val="0"/>
              <w:snapToGrid w:val="0"/>
              <w:spacing w:line="400" w:lineRule="exact"/>
              <w:ind w:firstLine="480" w:firstLineChars="200"/>
              <w:rPr>
                <w:rFonts w:hint="eastAsia" w:ascii="仿宋" w:hAnsi="仿宋" w:eastAsia="仿宋" w:cs="仿宋"/>
                <w:color w:val="auto"/>
                <w:szCs w:val="21"/>
                <w:highlight w:val="none"/>
              </w:rPr>
            </w:pPr>
          </w:p>
        </w:tc>
        <w:tc>
          <w:tcPr>
            <w:tcW w:w="1410" w:type="dxa"/>
          </w:tcPr>
          <w:p w14:paraId="391511A1">
            <w:pPr>
              <w:adjustRightInd w:val="0"/>
              <w:snapToGrid w:val="0"/>
              <w:spacing w:line="400" w:lineRule="exact"/>
              <w:ind w:firstLine="480" w:firstLineChars="200"/>
              <w:rPr>
                <w:rFonts w:hint="eastAsia" w:ascii="仿宋" w:hAnsi="仿宋" w:eastAsia="仿宋" w:cs="仿宋"/>
                <w:color w:val="auto"/>
                <w:szCs w:val="21"/>
                <w:highlight w:val="none"/>
              </w:rPr>
            </w:pPr>
          </w:p>
        </w:tc>
      </w:tr>
      <w:tr w14:paraId="2A935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793" w:type="dxa"/>
          </w:tcPr>
          <w:p w14:paraId="290B1A37">
            <w:pPr>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673" w:type="dxa"/>
          </w:tcPr>
          <w:p w14:paraId="44F2861F">
            <w:pPr>
              <w:adjustRightInd w:val="0"/>
              <w:snapToGrid w:val="0"/>
              <w:spacing w:line="400" w:lineRule="exact"/>
              <w:rPr>
                <w:rFonts w:hint="eastAsia" w:ascii="仿宋" w:hAnsi="仿宋" w:eastAsia="仿宋" w:cs="仿宋"/>
                <w:color w:val="auto"/>
                <w:szCs w:val="21"/>
                <w:highlight w:val="none"/>
              </w:rPr>
            </w:pPr>
          </w:p>
        </w:tc>
        <w:tc>
          <w:tcPr>
            <w:tcW w:w="990" w:type="dxa"/>
          </w:tcPr>
          <w:p w14:paraId="6C306BBC">
            <w:pPr>
              <w:adjustRightInd w:val="0"/>
              <w:snapToGrid w:val="0"/>
              <w:spacing w:line="400" w:lineRule="exact"/>
              <w:rPr>
                <w:rFonts w:hint="eastAsia" w:ascii="仿宋" w:hAnsi="仿宋" w:eastAsia="仿宋" w:cs="仿宋"/>
                <w:color w:val="auto"/>
                <w:szCs w:val="21"/>
                <w:highlight w:val="none"/>
              </w:rPr>
            </w:pPr>
          </w:p>
        </w:tc>
        <w:tc>
          <w:tcPr>
            <w:tcW w:w="1485" w:type="dxa"/>
          </w:tcPr>
          <w:p w14:paraId="555D5071">
            <w:pPr>
              <w:adjustRightInd w:val="0"/>
              <w:snapToGrid w:val="0"/>
              <w:spacing w:line="400" w:lineRule="exact"/>
              <w:ind w:firstLine="480" w:firstLineChars="200"/>
              <w:rPr>
                <w:rFonts w:hint="eastAsia" w:ascii="仿宋" w:hAnsi="仿宋" w:eastAsia="仿宋" w:cs="仿宋"/>
                <w:color w:val="auto"/>
                <w:szCs w:val="21"/>
                <w:highlight w:val="none"/>
              </w:rPr>
            </w:pPr>
          </w:p>
        </w:tc>
        <w:tc>
          <w:tcPr>
            <w:tcW w:w="915" w:type="dxa"/>
          </w:tcPr>
          <w:p w14:paraId="0ACACC2B">
            <w:pPr>
              <w:adjustRightInd w:val="0"/>
              <w:snapToGrid w:val="0"/>
              <w:spacing w:line="400" w:lineRule="exact"/>
              <w:ind w:firstLine="480" w:firstLineChars="200"/>
              <w:rPr>
                <w:rFonts w:hint="eastAsia" w:ascii="仿宋" w:hAnsi="仿宋" w:eastAsia="仿宋" w:cs="仿宋"/>
                <w:color w:val="auto"/>
                <w:szCs w:val="21"/>
                <w:highlight w:val="none"/>
              </w:rPr>
            </w:pPr>
          </w:p>
        </w:tc>
        <w:tc>
          <w:tcPr>
            <w:tcW w:w="1005" w:type="dxa"/>
          </w:tcPr>
          <w:p w14:paraId="60E2DF23">
            <w:pPr>
              <w:adjustRightInd w:val="0"/>
              <w:snapToGrid w:val="0"/>
              <w:spacing w:line="400" w:lineRule="exact"/>
              <w:ind w:firstLine="480" w:firstLineChars="200"/>
              <w:rPr>
                <w:rFonts w:hint="eastAsia" w:ascii="仿宋" w:hAnsi="仿宋" w:eastAsia="仿宋" w:cs="仿宋"/>
                <w:color w:val="auto"/>
                <w:szCs w:val="21"/>
                <w:highlight w:val="none"/>
              </w:rPr>
            </w:pPr>
          </w:p>
        </w:tc>
        <w:tc>
          <w:tcPr>
            <w:tcW w:w="1380" w:type="dxa"/>
          </w:tcPr>
          <w:p w14:paraId="5A0DC346">
            <w:pPr>
              <w:adjustRightInd w:val="0"/>
              <w:snapToGrid w:val="0"/>
              <w:spacing w:line="400" w:lineRule="exact"/>
              <w:ind w:firstLine="480" w:firstLineChars="200"/>
              <w:rPr>
                <w:rFonts w:hint="eastAsia" w:ascii="仿宋" w:hAnsi="仿宋" w:eastAsia="仿宋" w:cs="仿宋"/>
                <w:color w:val="auto"/>
                <w:szCs w:val="21"/>
                <w:highlight w:val="none"/>
              </w:rPr>
            </w:pPr>
          </w:p>
        </w:tc>
        <w:tc>
          <w:tcPr>
            <w:tcW w:w="1410" w:type="dxa"/>
          </w:tcPr>
          <w:p w14:paraId="2D74A822">
            <w:pPr>
              <w:adjustRightInd w:val="0"/>
              <w:snapToGrid w:val="0"/>
              <w:spacing w:line="400" w:lineRule="exact"/>
              <w:ind w:firstLine="480" w:firstLineChars="200"/>
              <w:rPr>
                <w:rFonts w:hint="eastAsia" w:ascii="仿宋" w:hAnsi="仿宋" w:eastAsia="仿宋" w:cs="仿宋"/>
                <w:color w:val="auto"/>
                <w:szCs w:val="21"/>
                <w:highlight w:val="none"/>
              </w:rPr>
            </w:pPr>
          </w:p>
        </w:tc>
      </w:tr>
      <w:tr w14:paraId="42FF0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93" w:type="dxa"/>
          </w:tcPr>
          <w:p w14:paraId="50FECDC5">
            <w:pPr>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673" w:type="dxa"/>
          </w:tcPr>
          <w:p w14:paraId="3C97B09F">
            <w:pPr>
              <w:adjustRightInd w:val="0"/>
              <w:snapToGrid w:val="0"/>
              <w:spacing w:line="400" w:lineRule="exact"/>
              <w:rPr>
                <w:rFonts w:hint="eastAsia" w:ascii="仿宋" w:hAnsi="仿宋" w:eastAsia="仿宋" w:cs="仿宋"/>
                <w:color w:val="auto"/>
                <w:szCs w:val="21"/>
                <w:highlight w:val="none"/>
              </w:rPr>
            </w:pPr>
          </w:p>
        </w:tc>
        <w:tc>
          <w:tcPr>
            <w:tcW w:w="990" w:type="dxa"/>
          </w:tcPr>
          <w:p w14:paraId="5FE2F5B0">
            <w:pPr>
              <w:adjustRightInd w:val="0"/>
              <w:snapToGrid w:val="0"/>
              <w:spacing w:line="400" w:lineRule="exact"/>
              <w:rPr>
                <w:rFonts w:hint="eastAsia" w:ascii="仿宋" w:hAnsi="仿宋" w:eastAsia="仿宋" w:cs="仿宋"/>
                <w:color w:val="auto"/>
                <w:szCs w:val="21"/>
                <w:highlight w:val="none"/>
              </w:rPr>
            </w:pPr>
          </w:p>
        </w:tc>
        <w:tc>
          <w:tcPr>
            <w:tcW w:w="1485" w:type="dxa"/>
          </w:tcPr>
          <w:p w14:paraId="539D575B">
            <w:pPr>
              <w:adjustRightInd w:val="0"/>
              <w:snapToGrid w:val="0"/>
              <w:spacing w:line="400" w:lineRule="exact"/>
              <w:ind w:firstLine="480" w:firstLineChars="200"/>
              <w:rPr>
                <w:rFonts w:hint="eastAsia" w:ascii="仿宋" w:hAnsi="仿宋" w:eastAsia="仿宋" w:cs="仿宋"/>
                <w:color w:val="auto"/>
                <w:szCs w:val="21"/>
                <w:highlight w:val="none"/>
              </w:rPr>
            </w:pPr>
          </w:p>
        </w:tc>
        <w:tc>
          <w:tcPr>
            <w:tcW w:w="915" w:type="dxa"/>
          </w:tcPr>
          <w:p w14:paraId="707CF6D2">
            <w:pPr>
              <w:adjustRightInd w:val="0"/>
              <w:snapToGrid w:val="0"/>
              <w:spacing w:line="400" w:lineRule="exact"/>
              <w:ind w:firstLine="480" w:firstLineChars="200"/>
              <w:rPr>
                <w:rFonts w:hint="eastAsia" w:ascii="仿宋" w:hAnsi="仿宋" w:eastAsia="仿宋" w:cs="仿宋"/>
                <w:color w:val="auto"/>
                <w:szCs w:val="21"/>
                <w:highlight w:val="none"/>
              </w:rPr>
            </w:pPr>
          </w:p>
        </w:tc>
        <w:tc>
          <w:tcPr>
            <w:tcW w:w="1005" w:type="dxa"/>
          </w:tcPr>
          <w:p w14:paraId="16828FDC">
            <w:pPr>
              <w:adjustRightInd w:val="0"/>
              <w:snapToGrid w:val="0"/>
              <w:spacing w:line="400" w:lineRule="exact"/>
              <w:ind w:firstLine="480" w:firstLineChars="200"/>
              <w:rPr>
                <w:rFonts w:hint="eastAsia" w:ascii="仿宋" w:hAnsi="仿宋" w:eastAsia="仿宋" w:cs="仿宋"/>
                <w:color w:val="auto"/>
                <w:szCs w:val="21"/>
                <w:highlight w:val="none"/>
              </w:rPr>
            </w:pPr>
          </w:p>
        </w:tc>
        <w:tc>
          <w:tcPr>
            <w:tcW w:w="1380" w:type="dxa"/>
          </w:tcPr>
          <w:p w14:paraId="2265F7EC">
            <w:pPr>
              <w:adjustRightInd w:val="0"/>
              <w:snapToGrid w:val="0"/>
              <w:spacing w:line="400" w:lineRule="exact"/>
              <w:ind w:firstLine="480" w:firstLineChars="200"/>
              <w:rPr>
                <w:rFonts w:hint="eastAsia" w:ascii="仿宋" w:hAnsi="仿宋" w:eastAsia="仿宋" w:cs="仿宋"/>
                <w:color w:val="auto"/>
                <w:szCs w:val="21"/>
                <w:highlight w:val="none"/>
              </w:rPr>
            </w:pPr>
          </w:p>
        </w:tc>
        <w:tc>
          <w:tcPr>
            <w:tcW w:w="1410" w:type="dxa"/>
          </w:tcPr>
          <w:p w14:paraId="53D3C60E">
            <w:pPr>
              <w:adjustRightInd w:val="0"/>
              <w:snapToGrid w:val="0"/>
              <w:spacing w:line="400" w:lineRule="exact"/>
              <w:ind w:firstLine="480" w:firstLineChars="200"/>
              <w:rPr>
                <w:rFonts w:hint="eastAsia" w:ascii="仿宋" w:hAnsi="仿宋" w:eastAsia="仿宋" w:cs="仿宋"/>
                <w:color w:val="auto"/>
                <w:szCs w:val="21"/>
                <w:highlight w:val="none"/>
              </w:rPr>
            </w:pPr>
          </w:p>
        </w:tc>
      </w:tr>
      <w:tr w14:paraId="35282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466" w:type="dxa"/>
            <w:gridSpan w:val="2"/>
          </w:tcPr>
          <w:p w14:paraId="54E60473">
            <w:pPr>
              <w:adjustRightInd w:val="0"/>
              <w:snapToGrid w:val="0"/>
              <w:spacing w:line="400" w:lineRule="exact"/>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合计（元）</w:t>
            </w:r>
          </w:p>
        </w:tc>
        <w:tc>
          <w:tcPr>
            <w:tcW w:w="7185" w:type="dxa"/>
            <w:gridSpan w:val="6"/>
          </w:tcPr>
          <w:p w14:paraId="78A33683">
            <w:pPr>
              <w:adjustRightInd w:val="0"/>
              <w:snapToGrid w:val="0"/>
              <w:spacing w:line="400" w:lineRule="exact"/>
              <w:ind w:firstLine="480" w:firstLineChars="200"/>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小写：¥</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，大写：人民币</w:t>
            </w:r>
            <w:r>
              <w:rPr>
                <w:rFonts w:hint="eastAsia" w:ascii="仿宋" w:hAnsi="仿宋" w:eastAsia="仿宋" w:cs="仿宋"/>
                <w:color w:val="auto"/>
                <w:szCs w:val="21"/>
                <w:highlight w:val="none"/>
                <w:lang w:val="en-US" w:eastAsia="zh-CN"/>
              </w:rPr>
              <w:t xml:space="preserve">           </w:t>
            </w:r>
          </w:p>
        </w:tc>
      </w:tr>
    </w:tbl>
    <w:p w14:paraId="7E51EA4E">
      <w:pPr>
        <w:pStyle w:val="11"/>
        <w:numPr>
          <w:ilvl w:val="255"/>
          <w:numId w:val="0"/>
        </w:numPr>
        <w:snapToGrid w:val="0"/>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rPr>
        <w:t>（</w:t>
      </w:r>
      <w:r>
        <w:rPr>
          <w:rFonts w:hint="eastAsia" w:ascii="仿宋" w:hAnsi="仿宋" w:eastAsia="仿宋" w:cs="仿宋"/>
          <w:color w:val="auto"/>
          <w:sz w:val="21"/>
          <w:highlight w:val="none"/>
          <w:lang w:val="en"/>
        </w:rPr>
        <w:t>4</w:t>
      </w:r>
      <w:r>
        <w:rPr>
          <w:rFonts w:hint="eastAsia" w:ascii="仿宋" w:hAnsi="仿宋" w:eastAsia="仿宋" w:cs="仿宋"/>
          <w:color w:val="auto"/>
          <w:sz w:val="21"/>
          <w:highlight w:val="none"/>
        </w:rPr>
        <w:t>）政府采购组织形式：</w:t>
      </w:r>
      <w:r>
        <w:rPr>
          <w:rFonts w:hint="eastAsia" w:ascii="仿宋" w:hAnsi="仿宋" w:eastAsia="仿宋" w:cs="仿宋"/>
          <w:color w:val="auto"/>
          <w:sz w:val="21"/>
          <w:highlight w:val="none"/>
        </w:rPr>
        <w:sym w:font="Wingdings" w:char="00A8"/>
      </w:r>
      <w:r>
        <w:rPr>
          <w:rFonts w:hint="eastAsia" w:ascii="仿宋" w:hAnsi="仿宋" w:eastAsia="仿宋" w:cs="仿宋"/>
          <w:color w:val="auto"/>
          <w:sz w:val="21"/>
          <w:highlight w:val="none"/>
        </w:rPr>
        <w:t xml:space="preserve">政府集中采购  </w:t>
      </w:r>
      <w:r>
        <w:rPr>
          <w:rFonts w:hint="eastAsia" w:ascii="仿宋" w:hAnsi="仿宋" w:eastAsia="仿宋" w:cs="仿宋"/>
          <w:color w:val="auto"/>
          <w:sz w:val="21"/>
          <w:highlight w:val="none"/>
        </w:rPr>
        <w:sym w:font="Wingdings" w:char="00FE"/>
      </w:r>
      <w:r>
        <w:rPr>
          <w:rFonts w:hint="eastAsia" w:ascii="仿宋" w:hAnsi="仿宋" w:eastAsia="仿宋" w:cs="仿宋"/>
          <w:color w:val="auto"/>
          <w:sz w:val="21"/>
          <w:highlight w:val="none"/>
        </w:rPr>
        <w:t xml:space="preserve">部门集中采购  </w:t>
      </w:r>
      <w:r>
        <w:rPr>
          <w:rFonts w:hint="eastAsia" w:ascii="仿宋" w:hAnsi="仿宋" w:eastAsia="仿宋" w:cs="仿宋"/>
          <w:color w:val="auto"/>
          <w:sz w:val="21"/>
          <w:highlight w:val="none"/>
        </w:rPr>
        <w:sym w:font="Wingdings" w:char="00A8"/>
      </w:r>
      <w:r>
        <w:rPr>
          <w:rFonts w:hint="eastAsia" w:ascii="仿宋" w:hAnsi="仿宋" w:eastAsia="仿宋" w:cs="仿宋"/>
          <w:color w:val="auto"/>
          <w:sz w:val="21"/>
          <w:highlight w:val="none"/>
        </w:rPr>
        <w:t>分散采购</w:t>
      </w:r>
    </w:p>
    <w:p w14:paraId="53A0F5CF">
      <w:pPr>
        <w:pStyle w:val="11"/>
        <w:numPr>
          <w:ilvl w:val="255"/>
          <w:numId w:val="0"/>
        </w:numPr>
        <w:snapToGrid w:val="0"/>
        <w:ind w:firstLine="420"/>
        <w:rPr>
          <w:rFonts w:hint="eastAsia" w:ascii="仿宋" w:hAnsi="仿宋" w:eastAsia="仿宋" w:cs="仿宋"/>
          <w:color w:val="auto"/>
          <w:sz w:val="21"/>
          <w:highlight w:val="none"/>
        </w:rPr>
      </w:pPr>
      <w:r>
        <w:rPr>
          <w:rFonts w:hint="eastAsia" w:ascii="仿宋" w:hAnsi="仿宋" w:eastAsia="仿宋" w:cs="仿宋"/>
          <w:color w:val="auto"/>
          <w:sz w:val="21"/>
          <w:highlight w:val="none"/>
        </w:rPr>
        <w:t>（</w:t>
      </w:r>
      <w:r>
        <w:rPr>
          <w:rFonts w:hint="eastAsia" w:ascii="仿宋" w:hAnsi="仿宋" w:eastAsia="仿宋" w:cs="仿宋"/>
          <w:color w:val="auto"/>
          <w:sz w:val="21"/>
          <w:highlight w:val="none"/>
          <w:lang w:val="en"/>
        </w:rPr>
        <w:t>5</w:t>
      </w:r>
      <w:r>
        <w:rPr>
          <w:rFonts w:hint="eastAsia" w:ascii="仿宋" w:hAnsi="仿宋" w:eastAsia="仿宋" w:cs="仿宋"/>
          <w:color w:val="auto"/>
          <w:sz w:val="21"/>
          <w:highlight w:val="none"/>
        </w:rPr>
        <w:t>）政府采购方式：</w:t>
      </w:r>
      <w:r>
        <w:rPr>
          <w:rFonts w:hint="eastAsia" w:ascii="仿宋" w:hAnsi="仿宋" w:eastAsia="仿宋" w:cs="仿宋"/>
          <w:color w:val="auto"/>
          <w:sz w:val="21"/>
          <w:highlight w:val="none"/>
        </w:rPr>
        <w:sym w:font="Wingdings" w:char="00FE"/>
      </w:r>
      <w:r>
        <w:rPr>
          <w:rFonts w:hint="eastAsia" w:ascii="仿宋" w:hAnsi="仿宋" w:eastAsia="仿宋" w:cs="仿宋"/>
          <w:color w:val="auto"/>
          <w:sz w:val="21"/>
          <w:highlight w:val="none"/>
        </w:rPr>
        <w:t xml:space="preserve">公开招标 </w:t>
      </w:r>
      <w:r>
        <w:rPr>
          <w:rFonts w:hint="eastAsia" w:ascii="仿宋" w:hAnsi="仿宋" w:eastAsia="仿宋" w:cs="仿宋"/>
          <w:color w:val="auto"/>
          <w:sz w:val="21"/>
          <w:highlight w:val="none"/>
        </w:rPr>
        <w:sym w:font="Wingdings" w:char="00A8"/>
      </w:r>
      <w:r>
        <w:rPr>
          <w:rFonts w:hint="eastAsia" w:ascii="仿宋" w:hAnsi="仿宋" w:eastAsia="仿宋" w:cs="仿宋"/>
          <w:color w:val="auto"/>
          <w:sz w:val="21"/>
          <w:highlight w:val="none"/>
        </w:rPr>
        <w:t xml:space="preserve">邀请招标 </w:t>
      </w:r>
      <w:r>
        <w:rPr>
          <w:rFonts w:hint="eastAsia" w:ascii="仿宋" w:hAnsi="仿宋" w:eastAsia="仿宋" w:cs="仿宋"/>
          <w:color w:val="auto"/>
          <w:sz w:val="21"/>
          <w:highlight w:val="none"/>
        </w:rPr>
        <w:sym w:font="Wingdings" w:char="00A8"/>
      </w:r>
      <w:r>
        <w:rPr>
          <w:rFonts w:hint="eastAsia" w:ascii="仿宋" w:hAnsi="仿宋" w:eastAsia="仿宋" w:cs="仿宋"/>
          <w:color w:val="auto"/>
          <w:sz w:val="21"/>
          <w:highlight w:val="none"/>
        </w:rPr>
        <w:t xml:space="preserve">竞争性谈判 </w:t>
      </w:r>
      <w:r>
        <w:rPr>
          <w:rFonts w:hint="eastAsia" w:ascii="仿宋" w:hAnsi="仿宋" w:eastAsia="仿宋" w:cs="仿宋"/>
          <w:color w:val="auto"/>
          <w:sz w:val="21"/>
          <w:highlight w:val="none"/>
        </w:rPr>
        <w:sym w:font="Wingdings" w:char="00A8"/>
      </w:r>
      <w:r>
        <w:rPr>
          <w:rFonts w:hint="eastAsia" w:ascii="仿宋" w:hAnsi="仿宋" w:eastAsia="仿宋" w:cs="仿宋"/>
          <w:color w:val="auto"/>
          <w:sz w:val="21"/>
          <w:highlight w:val="none"/>
        </w:rPr>
        <w:t>竞争性磋商</w:t>
      </w:r>
    </w:p>
    <w:p w14:paraId="57167EE6">
      <w:pPr>
        <w:pStyle w:val="11"/>
        <w:numPr>
          <w:ilvl w:val="255"/>
          <w:numId w:val="0"/>
        </w:numPr>
        <w:snapToGrid w:val="0"/>
        <w:ind w:firstLine="420"/>
        <w:rPr>
          <w:rFonts w:hint="eastAsia" w:ascii="仿宋" w:hAnsi="仿宋" w:eastAsia="仿宋" w:cs="仿宋"/>
          <w:color w:val="auto"/>
          <w:sz w:val="21"/>
          <w:highlight w:val="none"/>
          <w:u w:val="single"/>
        </w:rPr>
      </w:pPr>
      <w:r>
        <w:rPr>
          <w:rFonts w:hint="eastAsia" w:ascii="仿宋" w:hAnsi="仿宋" w:eastAsia="仿宋" w:cs="仿宋"/>
          <w:color w:val="auto"/>
          <w:highlight w:val="none"/>
        </w:rPr>
        <w:t xml:space="preserve">                  </w:t>
      </w:r>
      <w:r>
        <w:rPr>
          <w:rFonts w:hint="eastAsia" w:ascii="仿宋" w:hAnsi="仿宋" w:eastAsia="仿宋" w:cs="仿宋"/>
          <w:color w:val="auto"/>
          <w:sz w:val="21"/>
          <w:highlight w:val="none"/>
        </w:rPr>
        <w:sym w:font="Wingdings" w:char="00A8"/>
      </w:r>
      <w:r>
        <w:rPr>
          <w:rFonts w:hint="eastAsia" w:ascii="仿宋" w:hAnsi="仿宋" w:eastAsia="仿宋" w:cs="仿宋"/>
          <w:color w:val="auto"/>
          <w:sz w:val="21"/>
          <w:highlight w:val="none"/>
        </w:rPr>
        <w:t xml:space="preserve">询价 </w:t>
      </w:r>
      <w:r>
        <w:rPr>
          <w:rFonts w:hint="eastAsia" w:ascii="仿宋" w:hAnsi="仿宋" w:eastAsia="仿宋" w:cs="仿宋"/>
          <w:color w:val="auto"/>
          <w:sz w:val="21"/>
          <w:highlight w:val="none"/>
        </w:rPr>
        <w:sym w:font="Wingdings" w:char="00A8"/>
      </w:r>
      <w:r>
        <w:rPr>
          <w:rFonts w:hint="eastAsia" w:ascii="仿宋" w:hAnsi="仿宋" w:eastAsia="仿宋" w:cs="仿宋"/>
          <w:color w:val="auto"/>
          <w:sz w:val="21"/>
          <w:highlight w:val="none"/>
        </w:rPr>
        <w:t xml:space="preserve">单一来源 </w:t>
      </w:r>
      <w:r>
        <w:rPr>
          <w:rFonts w:hint="eastAsia" w:ascii="仿宋" w:hAnsi="仿宋" w:eastAsia="仿宋" w:cs="仿宋"/>
          <w:color w:val="auto"/>
          <w:sz w:val="21"/>
          <w:highlight w:val="none"/>
        </w:rPr>
        <w:sym w:font="Wingdings" w:char="00A8"/>
      </w:r>
      <w:r>
        <w:rPr>
          <w:rFonts w:hint="eastAsia" w:ascii="仿宋" w:hAnsi="仿宋" w:eastAsia="仿宋" w:cs="仿宋"/>
          <w:color w:val="auto"/>
          <w:sz w:val="21"/>
          <w:highlight w:val="none"/>
        </w:rPr>
        <w:t xml:space="preserve">框架协议 </w:t>
      </w:r>
      <w:r>
        <w:rPr>
          <w:rFonts w:hint="eastAsia" w:ascii="仿宋" w:hAnsi="仿宋" w:eastAsia="仿宋" w:cs="仿宋"/>
          <w:color w:val="auto"/>
          <w:sz w:val="21"/>
          <w:highlight w:val="none"/>
        </w:rPr>
        <w:sym w:font="Wingdings" w:char="00A8"/>
      </w:r>
      <w:r>
        <w:rPr>
          <w:rFonts w:hint="eastAsia" w:ascii="仿宋" w:hAnsi="仿宋" w:eastAsia="仿宋" w:cs="仿宋"/>
          <w:color w:val="auto"/>
          <w:sz w:val="21"/>
          <w:highlight w:val="none"/>
        </w:rPr>
        <w:t>其他：</w:t>
      </w:r>
      <w:r>
        <w:rPr>
          <w:rFonts w:hint="eastAsia" w:ascii="仿宋" w:hAnsi="仿宋" w:eastAsia="仿宋" w:cs="仿宋"/>
          <w:color w:val="auto"/>
          <w:sz w:val="21"/>
          <w:highlight w:val="none"/>
          <w:u w:val="single"/>
        </w:rPr>
        <w:t xml:space="preserve">          </w:t>
      </w:r>
    </w:p>
    <w:p w14:paraId="49802B3D">
      <w:pPr>
        <w:pStyle w:val="11"/>
        <w:numPr>
          <w:ilvl w:val="255"/>
          <w:numId w:val="0"/>
        </w:numPr>
        <w:snapToGrid w:val="0"/>
        <w:ind w:firstLine="220" w:firstLineChars="100"/>
        <w:rPr>
          <w:rFonts w:hint="eastAsia" w:ascii="仿宋" w:hAnsi="仿宋" w:eastAsia="仿宋" w:cs="仿宋"/>
          <w:color w:val="auto"/>
          <w:kern w:val="2"/>
          <w:sz w:val="21"/>
          <w:highlight w:val="none"/>
        </w:rPr>
      </w:pP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
        </w:rPr>
        <w:t>6</w:t>
      </w:r>
      <w:r>
        <w:rPr>
          <w:rFonts w:hint="eastAsia" w:ascii="仿宋" w:hAnsi="仿宋" w:eastAsia="仿宋" w:cs="仿宋"/>
          <w:color w:val="auto"/>
          <w:highlight w:val="none"/>
        </w:rPr>
        <w:t>）</w:t>
      </w:r>
      <w:r>
        <w:rPr>
          <w:rFonts w:hint="eastAsia" w:ascii="仿宋" w:hAnsi="仿宋" w:eastAsia="仿宋" w:cs="仿宋"/>
          <w:color w:val="auto"/>
          <w:kern w:val="2"/>
          <w:sz w:val="21"/>
          <w:highlight w:val="none"/>
        </w:rPr>
        <w:t>中标（成交）采购标的制造商是否为中小企业：</w:t>
      </w:r>
      <w:r>
        <w:rPr>
          <w:rFonts w:hint="eastAsia" w:ascii="仿宋" w:hAnsi="仿宋" w:eastAsia="仿宋" w:cs="仿宋"/>
          <w:color w:val="auto"/>
          <w:kern w:val="2"/>
          <w:sz w:val="21"/>
          <w:highlight w:val="none"/>
        </w:rPr>
        <w:sym w:font="Wingdings" w:char="00A8"/>
      </w:r>
      <w:r>
        <w:rPr>
          <w:rFonts w:hint="eastAsia" w:ascii="仿宋" w:hAnsi="仿宋" w:eastAsia="仿宋" w:cs="仿宋"/>
          <w:color w:val="auto"/>
          <w:kern w:val="2"/>
          <w:sz w:val="21"/>
          <w:highlight w:val="none"/>
        </w:rPr>
        <w:t xml:space="preserve">是      </w:t>
      </w:r>
      <w:r>
        <w:rPr>
          <w:rFonts w:hint="eastAsia" w:ascii="仿宋" w:hAnsi="仿宋" w:eastAsia="仿宋" w:cs="仿宋"/>
          <w:color w:val="auto"/>
          <w:kern w:val="2"/>
          <w:sz w:val="21"/>
          <w:highlight w:val="none"/>
        </w:rPr>
        <w:sym w:font="Wingdings" w:char="00A8"/>
      </w:r>
      <w:r>
        <w:rPr>
          <w:rFonts w:hint="eastAsia" w:ascii="仿宋" w:hAnsi="仿宋" w:eastAsia="仿宋" w:cs="仿宋"/>
          <w:color w:val="auto"/>
          <w:kern w:val="2"/>
          <w:sz w:val="21"/>
          <w:highlight w:val="none"/>
        </w:rPr>
        <w:t>否</w:t>
      </w:r>
    </w:p>
    <w:p w14:paraId="689E8266">
      <w:pPr>
        <w:numPr>
          <w:ilvl w:val="255"/>
          <w:numId w:val="0"/>
        </w:numPr>
        <w:adjustRightInd w:val="0"/>
        <w:snapToGrid w:val="0"/>
        <w:spacing w:line="400" w:lineRule="exact"/>
        <w:rPr>
          <w:rFonts w:hint="eastAsia" w:ascii="仿宋" w:hAnsi="仿宋" w:eastAsia="仿宋" w:cs="仿宋"/>
          <w:iCs/>
          <w:color w:val="auto"/>
          <w:szCs w:val="21"/>
          <w:highlight w:val="none"/>
        </w:rPr>
      </w:pPr>
      <w:r>
        <w:rPr>
          <w:rFonts w:hint="eastAsia" w:ascii="仿宋" w:hAnsi="仿宋" w:eastAsia="仿宋" w:cs="仿宋"/>
          <w:color w:val="auto"/>
          <w:szCs w:val="21"/>
          <w:highlight w:val="none"/>
        </w:rPr>
        <w:t xml:space="preserve">         本合同是否为专门面向中小企业的采购合同（中小企业预留合同）：</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是    </w:t>
      </w:r>
      <w:r>
        <w:rPr>
          <w:rFonts w:hint="eastAsia" w:ascii="仿宋" w:hAnsi="仿宋" w:eastAsia="仿宋" w:cs="仿宋"/>
          <w:iCs/>
          <w:color w:val="auto"/>
          <w:szCs w:val="21"/>
          <w:highlight w:val="none"/>
        </w:rPr>
        <w:sym w:font="Wingdings" w:char="00FE"/>
      </w:r>
      <w:r>
        <w:rPr>
          <w:rFonts w:hint="eastAsia" w:ascii="仿宋" w:hAnsi="仿宋" w:eastAsia="仿宋" w:cs="仿宋"/>
          <w:iCs/>
          <w:color w:val="auto"/>
          <w:szCs w:val="21"/>
          <w:highlight w:val="none"/>
        </w:rPr>
        <w:t>否</w:t>
      </w:r>
    </w:p>
    <w:p w14:paraId="37B17679">
      <w:pPr>
        <w:numPr>
          <w:ilvl w:val="255"/>
          <w:numId w:val="0"/>
        </w:numPr>
        <w:adjustRightInd w:val="0"/>
        <w:snapToGrid w:val="0"/>
        <w:spacing w:line="400" w:lineRule="exact"/>
        <w:rPr>
          <w:rFonts w:hint="eastAsia" w:ascii="仿宋" w:hAnsi="仿宋" w:eastAsia="仿宋" w:cs="仿宋"/>
          <w:iCs/>
          <w:color w:val="auto"/>
          <w:szCs w:val="21"/>
          <w:highlight w:val="none"/>
        </w:rPr>
      </w:pPr>
      <w:r>
        <w:rPr>
          <w:rFonts w:hint="eastAsia" w:ascii="仿宋" w:hAnsi="仿宋" w:eastAsia="仿宋" w:cs="仿宋"/>
          <w:color w:val="auto"/>
          <w:highlight w:val="none"/>
        </w:rPr>
        <w:t xml:space="preserve">         若本项目不专门面向中小企业采购，是否给予小微企业评审优惠：</w:t>
      </w:r>
      <w:r>
        <w:rPr>
          <w:rFonts w:hint="eastAsia" w:ascii="仿宋" w:hAnsi="仿宋" w:eastAsia="仿宋" w:cs="仿宋"/>
          <w:iCs/>
          <w:color w:val="auto"/>
          <w:szCs w:val="21"/>
          <w:highlight w:val="none"/>
        </w:rPr>
        <w:sym w:font="Wingdings" w:char="00FE"/>
      </w:r>
      <w:r>
        <w:rPr>
          <w:rFonts w:hint="eastAsia" w:ascii="仿宋" w:hAnsi="仿宋" w:eastAsia="仿宋" w:cs="仿宋"/>
          <w:iCs/>
          <w:color w:val="auto"/>
          <w:szCs w:val="21"/>
          <w:highlight w:val="none"/>
        </w:rPr>
        <w:t xml:space="preserve">是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否</w:t>
      </w:r>
    </w:p>
    <w:p w14:paraId="17FE5D60">
      <w:pPr>
        <w:numPr>
          <w:ilvl w:val="255"/>
          <w:numId w:val="0"/>
        </w:numPr>
        <w:adjustRightInd w:val="0"/>
        <w:snapToGrid w:val="0"/>
        <w:spacing w:line="400" w:lineRule="exact"/>
        <w:rPr>
          <w:rFonts w:hint="eastAsia" w:ascii="仿宋" w:hAnsi="仿宋" w:eastAsia="仿宋" w:cs="仿宋"/>
          <w:iCs/>
          <w:color w:val="auto"/>
          <w:szCs w:val="21"/>
          <w:highlight w:val="none"/>
        </w:rPr>
      </w:pPr>
      <w:r>
        <w:rPr>
          <w:rFonts w:hint="eastAsia" w:ascii="仿宋" w:hAnsi="仿宋" w:eastAsia="仿宋" w:cs="仿宋"/>
          <w:color w:val="auto"/>
          <w:highlight w:val="none"/>
        </w:rPr>
        <w:t xml:space="preserve">         中标（成交）采购标的制造商是否为残疾人福利性单位：</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是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否</w:t>
      </w:r>
    </w:p>
    <w:p w14:paraId="3EA2DFBE">
      <w:pPr>
        <w:snapToGrid w:val="0"/>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         中标（成交）采购标的制造商是否为监狱企业：</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是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否</w:t>
      </w:r>
    </w:p>
    <w:p w14:paraId="2C3EBAA6">
      <w:pPr>
        <w:adjustRightInd w:val="0"/>
        <w:snapToGrid w:val="0"/>
        <w:spacing w:line="4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
        </w:rPr>
        <w:t>7</w:t>
      </w:r>
      <w:r>
        <w:rPr>
          <w:rFonts w:hint="eastAsia" w:ascii="仿宋" w:hAnsi="仿宋" w:eastAsia="仿宋" w:cs="仿宋"/>
          <w:color w:val="auto"/>
          <w:szCs w:val="21"/>
          <w:highlight w:val="none"/>
        </w:rPr>
        <w:t>）合同是否分包：</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是       </w:t>
      </w:r>
      <w:r>
        <w:rPr>
          <w:rFonts w:hint="eastAsia" w:ascii="仿宋" w:hAnsi="仿宋" w:eastAsia="仿宋" w:cs="仿宋"/>
          <w:iCs/>
          <w:color w:val="auto"/>
          <w:szCs w:val="21"/>
          <w:highlight w:val="none"/>
        </w:rPr>
        <w:sym w:font="Wingdings" w:char="00FE"/>
      </w:r>
      <w:r>
        <w:rPr>
          <w:rFonts w:hint="eastAsia" w:ascii="仿宋" w:hAnsi="仿宋" w:eastAsia="仿宋" w:cs="仿宋"/>
          <w:iCs/>
          <w:color w:val="auto"/>
          <w:szCs w:val="21"/>
          <w:highlight w:val="none"/>
        </w:rPr>
        <w:t>否</w:t>
      </w:r>
    </w:p>
    <w:p w14:paraId="31BAB575">
      <w:pPr>
        <w:numPr>
          <w:ilvl w:val="255"/>
          <w:numId w:val="0"/>
        </w:numPr>
        <w:adjustRightInd w:val="0"/>
        <w:snapToGrid w:val="0"/>
        <w:spacing w:line="400" w:lineRule="exact"/>
        <w:rPr>
          <w:rFonts w:hint="eastAsia" w:ascii="仿宋" w:hAnsi="仿宋" w:eastAsia="仿宋" w:cs="仿宋"/>
          <w:i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
        </w:rPr>
        <w:t>8</w:t>
      </w:r>
      <w:r>
        <w:rPr>
          <w:rFonts w:hint="eastAsia" w:ascii="仿宋" w:hAnsi="仿宋" w:eastAsia="仿宋" w:cs="仿宋"/>
          <w:color w:val="auto"/>
          <w:szCs w:val="21"/>
          <w:highlight w:val="none"/>
        </w:rPr>
        <w:t>）中标（成交）供应商是否为外商投资企业：</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是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否</w:t>
      </w:r>
    </w:p>
    <w:p w14:paraId="14F6B379">
      <w:pPr>
        <w:pStyle w:val="11"/>
        <w:tabs>
          <w:tab w:val="left" w:pos="1340"/>
        </w:tabs>
        <w:ind w:firstLine="42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rPr>
        <w:t xml:space="preserve">     外商投资企业类型：</w:t>
      </w:r>
      <w:r>
        <w:rPr>
          <w:rFonts w:hint="eastAsia" w:ascii="仿宋" w:hAnsi="仿宋" w:eastAsia="仿宋" w:cs="仿宋"/>
          <w:iCs/>
          <w:color w:val="auto"/>
          <w:sz w:val="21"/>
          <w:highlight w:val="none"/>
        </w:rPr>
        <w:sym w:font="Wingdings" w:char="00A8"/>
      </w:r>
      <w:r>
        <w:rPr>
          <w:rFonts w:hint="eastAsia" w:ascii="仿宋" w:hAnsi="仿宋" w:eastAsia="仿宋" w:cs="仿宋"/>
          <w:color w:val="auto"/>
          <w:sz w:val="21"/>
          <w:highlight w:val="none"/>
        </w:rPr>
        <w:t xml:space="preserve">全部由外国投资者投资  </w:t>
      </w:r>
      <w:r>
        <w:rPr>
          <w:rFonts w:hint="eastAsia" w:ascii="仿宋" w:hAnsi="仿宋" w:eastAsia="仿宋" w:cs="仿宋"/>
          <w:iCs/>
          <w:color w:val="auto"/>
          <w:sz w:val="21"/>
          <w:highlight w:val="none"/>
        </w:rPr>
        <w:sym w:font="Wingdings" w:char="00A8"/>
      </w:r>
      <w:r>
        <w:rPr>
          <w:rFonts w:hint="eastAsia" w:ascii="仿宋" w:hAnsi="仿宋" w:eastAsia="仿宋" w:cs="仿宋"/>
          <w:iCs/>
          <w:color w:val="auto"/>
          <w:sz w:val="21"/>
          <w:highlight w:val="none"/>
        </w:rPr>
        <w:t>部分由外国投资者投资</w:t>
      </w:r>
    </w:p>
    <w:p w14:paraId="70DA6BF0">
      <w:pPr>
        <w:numPr>
          <w:ilvl w:val="255"/>
          <w:numId w:val="0"/>
        </w:numPr>
        <w:adjustRightInd w:val="0"/>
        <w:snapToGrid w:val="0"/>
        <w:spacing w:line="400" w:lineRule="exact"/>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
        </w:rPr>
        <w:t>9</w:t>
      </w:r>
      <w:r>
        <w:rPr>
          <w:rFonts w:hint="eastAsia" w:ascii="仿宋" w:hAnsi="仿宋" w:eastAsia="仿宋" w:cs="仿宋"/>
          <w:color w:val="auto"/>
          <w:szCs w:val="21"/>
          <w:highlight w:val="none"/>
        </w:rPr>
        <w:t>）是否涉及进口产品：</w:t>
      </w:r>
    </w:p>
    <w:p w14:paraId="405C8208">
      <w:pPr>
        <w:numPr>
          <w:ilvl w:val="255"/>
          <w:numId w:val="0"/>
        </w:numPr>
        <w:adjustRightInd w:val="0"/>
        <w:snapToGrid w:val="0"/>
        <w:spacing w:line="400" w:lineRule="exact"/>
        <w:ind w:firstLine="960" w:firstLineChars="4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sym w:font="Wingdings" w:char="00A8"/>
      </w:r>
      <w:r>
        <w:rPr>
          <w:rFonts w:hint="eastAsia" w:ascii="仿宋" w:hAnsi="仿宋" w:eastAsia="仿宋" w:cs="仿宋"/>
          <w:color w:val="auto"/>
          <w:szCs w:val="21"/>
          <w:highlight w:val="none"/>
        </w:rPr>
        <w:t>是，《政府采购品目分类目录》底级品目名称：</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金额：</w:t>
      </w:r>
      <w:r>
        <w:rPr>
          <w:rFonts w:hint="eastAsia" w:ascii="仿宋" w:hAnsi="仿宋" w:eastAsia="仿宋" w:cs="仿宋"/>
          <w:color w:val="auto"/>
          <w:szCs w:val="21"/>
          <w:highlight w:val="none"/>
          <w:u w:val="single"/>
        </w:rPr>
        <w:t xml:space="preserve">        </w:t>
      </w:r>
    </w:p>
    <w:p w14:paraId="60CB9614">
      <w:pPr>
        <w:numPr>
          <w:ilvl w:val="255"/>
          <w:numId w:val="0"/>
        </w:numPr>
        <w:adjustRightInd w:val="0"/>
        <w:snapToGrid w:val="0"/>
        <w:spacing w:line="400" w:lineRule="exact"/>
        <w:ind w:firstLine="96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国别：</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品牌：</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规格型号：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14:paraId="5EA08A75">
      <w:pPr>
        <w:adjustRightInd w:val="0"/>
        <w:snapToGrid w:val="0"/>
        <w:spacing w:line="400" w:lineRule="exact"/>
        <w:ind w:firstLine="96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sym w:font="Wingdings" w:char="00FE"/>
      </w:r>
      <w:r>
        <w:rPr>
          <w:rFonts w:hint="eastAsia" w:ascii="仿宋" w:hAnsi="仿宋" w:eastAsia="仿宋" w:cs="仿宋"/>
          <w:color w:val="auto"/>
          <w:szCs w:val="21"/>
          <w:highlight w:val="none"/>
        </w:rPr>
        <w:t>否</w:t>
      </w:r>
    </w:p>
    <w:p w14:paraId="691C8167">
      <w:pPr>
        <w:numPr>
          <w:ilvl w:val="255"/>
          <w:numId w:val="0"/>
        </w:numPr>
        <w:tabs>
          <w:tab w:val="left" w:pos="740"/>
        </w:tabs>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w:t>
      </w:r>
      <w:r>
        <w:rPr>
          <w:rFonts w:hint="eastAsia" w:ascii="仿宋" w:hAnsi="仿宋" w:eastAsia="仿宋" w:cs="仿宋"/>
          <w:color w:val="auto"/>
          <w:szCs w:val="21"/>
          <w:highlight w:val="none"/>
          <w:lang w:val="en"/>
        </w:rPr>
        <w:t>0</w:t>
      </w:r>
      <w:r>
        <w:rPr>
          <w:rFonts w:hint="eastAsia" w:ascii="仿宋" w:hAnsi="仿宋" w:eastAsia="仿宋" w:cs="仿宋"/>
          <w:color w:val="auto"/>
          <w:szCs w:val="21"/>
          <w:highlight w:val="none"/>
        </w:rPr>
        <w:t>）是否涉及节能产品：</w:t>
      </w:r>
    </w:p>
    <w:p w14:paraId="3EEDF5C8">
      <w:pPr>
        <w:numPr>
          <w:ilvl w:val="255"/>
          <w:numId w:val="0"/>
        </w:numPr>
        <w:tabs>
          <w:tab w:val="left" w:pos="740"/>
        </w:tabs>
        <w:adjustRightInd w:val="0"/>
        <w:snapToGrid w:val="0"/>
        <w:spacing w:line="400" w:lineRule="exact"/>
        <w:rPr>
          <w:rFonts w:hint="eastAsia" w:ascii="仿宋" w:hAnsi="仿宋" w:eastAsia="仿宋" w:cs="仿宋"/>
          <w:i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sym w:font="Wingdings" w:char="00A8"/>
      </w:r>
      <w:r>
        <w:rPr>
          <w:rFonts w:hint="eastAsia" w:ascii="仿宋" w:hAnsi="仿宋" w:eastAsia="仿宋" w:cs="仿宋"/>
          <w:color w:val="auto"/>
          <w:szCs w:val="21"/>
          <w:highlight w:val="none"/>
        </w:rPr>
        <w:t>是，《节能产品政府采购品目清单》的底级品目名称：</w:t>
      </w:r>
      <w:r>
        <w:rPr>
          <w:rFonts w:hint="eastAsia" w:ascii="仿宋" w:hAnsi="仿宋" w:eastAsia="仿宋" w:cs="仿宋"/>
          <w:color w:val="auto"/>
          <w:szCs w:val="21"/>
          <w:highlight w:val="none"/>
          <w:u w:val="single"/>
        </w:rPr>
        <w:t xml:space="preserve">         </w:t>
      </w:r>
      <w:r>
        <w:rPr>
          <w:rFonts w:hint="eastAsia" w:ascii="仿宋" w:hAnsi="仿宋" w:eastAsia="仿宋" w:cs="仿宋"/>
          <w:iCs/>
          <w:color w:val="auto"/>
          <w:szCs w:val="21"/>
          <w:highlight w:val="none"/>
        </w:rPr>
        <w:t xml:space="preserve">     </w:t>
      </w:r>
    </w:p>
    <w:p w14:paraId="4179D8BE">
      <w:pPr>
        <w:numPr>
          <w:ilvl w:val="255"/>
          <w:numId w:val="0"/>
        </w:numPr>
        <w:tabs>
          <w:tab w:val="left" w:pos="740"/>
        </w:tabs>
        <w:adjustRightInd w:val="0"/>
        <w:snapToGrid w:val="0"/>
        <w:spacing w:line="400" w:lineRule="exact"/>
        <w:rPr>
          <w:rFonts w:hint="eastAsia" w:ascii="仿宋" w:hAnsi="仿宋" w:eastAsia="仿宋" w:cs="仿宋"/>
          <w:iCs/>
          <w:color w:val="auto"/>
          <w:szCs w:val="21"/>
          <w:highlight w:val="none"/>
        </w:rPr>
      </w:pPr>
      <w:r>
        <w:rPr>
          <w:rFonts w:hint="eastAsia" w:ascii="仿宋" w:hAnsi="仿宋" w:eastAsia="仿宋" w:cs="仿宋"/>
          <w:iCs/>
          <w:color w:val="auto"/>
          <w:szCs w:val="21"/>
          <w:highlight w:val="none"/>
        </w:rPr>
        <w:t xml:space="preserve">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强制采购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优先采购    </w:t>
      </w:r>
    </w:p>
    <w:p w14:paraId="198B7AC4">
      <w:pPr>
        <w:numPr>
          <w:ilvl w:val="255"/>
          <w:numId w:val="0"/>
        </w:numPr>
        <w:tabs>
          <w:tab w:val="left" w:pos="740"/>
        </w:tabs>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iCs/>
          <w:color w:val="auto"/>
          <w:szCs w:val="21"/>
          <w:highlight w:val="none"/>
        </w:rPr>
        <w:t xml:space="preserve">         </w:t>
      </w:r>
      <w:r>
        <w:rPr>
          <w:rFonts w:hint="eastAsia" w:ascii="仿宋" w:hAnsi="仿宋" w:eastAsia="仿宋" w:cs="仿宋"/>
          <w:color w:val="auto"/>
          <w:szCs w:val="21"/>
          <w:highlight w:val="none"/>
        </w:rPr>
        <w:sym w:font="Wingdings" w:char="00FE"/>
      </w:r>
      <w:r>
        <w:rPr>
          <w:rFonts w:hint="eastAsia" w:ascii="仿宋" w:hAnsi="仿宋" w:eastAsia="仿宋" w:cs="仿宋"/>
          <w:color w:val="auto"/>
          <w:szCs w:val="21"/>
          <w:highlight w:val="none"/>
        </w:rPr>
        <w:t>否</w:t>
      </w:r>
    </w:p>
    <w:p w14:paraId="20A87F86">
      <w:pPr>
        <w:numPr>
          <w:ilvl w:val="255"/>
          <w:numId w:val="0"/>
        </w:numPr>
        <w:tabs>
          <w:tab w:val="left" w:pos="740"/>
        </w:tabs>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是否涉及环境标志产品：</w:t>
      </w:r>
    </w:p>
    <w:p w14:paraId="136499DB">
      <w:pPr>
        <w:numPr>
          <w:ilvl w:val="255"/>
          <w:numId w:val="0"/>
        </w:numPr>
        <w:tabs>
          <w:tab w:val="left" w:pos="740"/>
        </w:tabs>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sym w:font="Wingdings" w:char="00A8"/>
      </w:r>
      <w:r>
        <w:rPr>
          <w:rFonts w:hint="eastAsia" w:ascii="仿宋" w:hAnsi="仿宋" w:eastAsia="仿宋" w:cs="仿宋"/>
          <w:color w:val="auto"/>
          <w:szCs w:val="21"/>
          <w:highlight w:val="none"/>
        </w:rPr>
        <w:t>是，《环境标志产品政府采购品目清单》的底级品目名称：</w:t>
      </w:r>
      <w:r>
        <w:rPr>
          <w:rFonts w:hint="eastAsia" w:ascii="仿宋" w:hAnsi="仿宋" w:eastAsia="仿宋" w:cs="仿宋"/>
          <w:color w:val="auto"/>
          <w:szCs w:val="21"/>
          <w:highlight w:val="none"/>
          <w:u w:val="single"/>
        </w:rPr>
        <w:t xml:space="preserve">         </w:t>
      </w:r>
      <w:r>
        <w:rPr>
          <w:rFonts w:hint="eastAsia" w:ascii="仿宋" w:hAnsi="仿宋" w:eastAsia="仿宋" w:cs="仿宋"/>
          <w:iCs/>
          <w:color w:val="auto"/>
          <w:szCs w:val="21"/>
          <w:highlight w:val="none"/>
        </w:rPr>
        <w:t xml:space="preserve"> </w:t>
      </w:r>
    </w:p>
    <w:p w14:paraId="5F77E976">
      <w:pPr>
        <w:numPr>
          <w:ilvl w:val="255"/>
          <w:numId w:val="0"/>
        </w:numPr>
        <w:tabs>
          <w:tab w:val="left" w:pos="740"/>
        </w:tabs>
        <w:adjustRightInd w:val="0"/>
        <w:snapToGrid w:val="0"/>
        <w:spacing w:line="400" w:lineRule="exact"/>
        <w:rPr>
          <w:rFonts w:hint="eastAsia" w:ascii="仿宋" w:hAnsi="仿宋" w:eastAsia="仿宋" w:cs="仿宋"/>
          <w:iCs/>
          <w:color w:val="auto"/>
          <w:szCs w:val="21"/>
          <w:highlight w:val="none"/>
        </w:rPr>
      </w:pPr>
      <w:r>
        <w:rPr>
          <w:rFonts w:hint="eastAsia" w:ascii="仿宋" w:hAnsi="仿宋" w:eastAsia="仿宋" w:cs="仿宋"/>
          <w:iCs/>
          <w:color w:val="auto"/>
          <w:szCs w:val="21"/>
          <w:highlight w:val="none"/>
        </w:rPr>
        <w:t xml:space="preserve">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强制采购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优先采购    </w:t>
      </w:r>
    </w:p>
    <w:p w14:paraId="7319C111">
      <w:pPr>
        <w:numPr>
          <w:ilvl w:val="255"/>
          <w:numId w:val="0"/>
        </w:numPr>
        <w:tabs>
          <w:tab w:val="left" w:pos="740"/>
        </w:tabs>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iCs/>
          <w:color w:val="auto"/>
          <w:szCs w:val="21"/>
          <w:highlight w:val="none"/>
        </w:rPr>
        <w:t xml:space="preserve">         </w:t>
      </w:r>
      <w:r>
        <w:rPr>
          <w:rFonts w:hint="eastAsia" w:ascii="仿宋" w:hAnsi="仿宋" w:eastAsia="仿宋" w:cs="仿宋"/>
          <w:color w:val="auto"/>
          <w:szCs w:val="21"/>
          <w:highlight w:val="none"/>
        </w:rPr>
        <w:sym w:font="Wingdings" w:char="00FE"/>
      </w:r>
      <w:r>
        <w:rPr>
          <w:rFonts w:hint="eastAsia" w:ascii="仿宋" w:hAnsi="仿宋" w:eastAsia="仿宋" w:cs="仿宋"/>
          <w:color w:val="auto"/>
          <w:szCs w:val="21"/>
          <w:highlight w:val="none"/>
        </w:rPr>
        <w:t>否</w:t>
      </w:r>
    </w:p>
    <w:p w14:paraId="045C7F92">
      <w:pPr>
        <w:pStyle w:val="11"/>
        <w:numPr>
          <w:ilvl w:val="255"/>
          <w:numId w:val="0"/>
        </w:numPr>
        <w:snapToGrid w:val="0"/>
        <w:rPr>
          <w:rFonts w:hint="eastAsia" w:ascii="仿宋" w:hAnsi="仿宋" w:eastAsia="仿宋" w:cs="仿宋"/>
          <w:color w:val="auto"/>
          <w:kern w:val="2"/>
          <w:sz w:val="21"/>
          <w:highlight w:val="none"/>
        </w:rPr>
      </w:pPr>
      <w:r>
        <w:rPr>
          <w:rFonts w:hint="eastAsia" w:ascii="仿宋" w:hAnsi="仿宋" w:eastAsia="仿宋" w:cs="仿宋"/>
          <w:color w:val="auto"/>
          <w:sz w:val="21"/>
          <w:highlight w:val="none"/>
        </w:rPr>
        <w:t xml:space="preserve">          </w:t>
      </w:r>
      <w:r>
        <w:rPr>
          <w:rFonts w:hint="eastAsia" w:ascii="仿宋" w:hAnsi="仿宋" w:eastAsia="仿宋" w:cs="仿宋"/>
          <w:color w:val="auto"/>
          <w:kern w:val="2"/>
          <w:sz w:val="21"/>
          <w:highlight w:val="none"/>
        </w:rPr>
        <w:t>是否涉及绿色产品：</w:t>
      </w:r>
    </w:p>
    <w:p w14:paraId="43BCAF1B">
      <w:pPr>
        <w:pStyle w:val="11"/>
        <w:ind w:firstLine="420" w:firstLineChars="0"/>
        <w:rPr>
          <w:rFonts w:hint="eastAsia" w:ascii="仿宋" w:hAnsi="仿宋" w:eastAsia="仿宋" w:cs="仿宋"/>
          <w:color w:val="auto"/>
          <w:highlight w:val="none"/>
          <w:u w:val="single"/>
        </w:rPr>
      </w:pPr>
      <w:r>
        <w:rPr>
          <w:rFonts w:hint="eastAsia" w:ascii="仿宋" w:hAnsi="仿宋" w:eastAsia="仿宋" w:cs="仿宋"/>
          <w:color w:val="auto"/>
          <w:kern w:val="2"/>
          <w:sz w:val="21"/>
          <w:highlight w:val="none"/>
        </w:rPr>
        <w:t xml:space="preserve">     </w:t>
      </w:r>
      <w:r>
        <w:rPr>
          <w:rFonts w:hint="eastAsia" w:ascii="仿宋" w:hAnsi="仿宋" w:eastAsia="仿宋" w:cs="仿宋"/>
          <w:color w:val="auto"/>
          <w:kern w:val="2"/>
          <w:sz w:val="21"/>
          <w:highlight w:val="none"/>
        </w:rPr>
        <w:sym w:font="Wingdings" w:char="00A8"/>
      </w:r>
      <w:r>
        <w:rPr>
          <w:rFonts w:hint="eastAsia" w:ascii="仿宋" w:hAnsi="仿宋" w:eastAsia="仿宋" w:cs="仿宋"/>
          <w:color w:val="auto"/>
          <w:kern w:val="2"/>
          <w:sz w:val="21"/>
          <w:highlight w:val="none"/>
        </w:rPr>
        <w:t>是，绿色产品政府采购相关政策确定的底级品目名称：</w:t>
      </w:r>
      <w:r>
        <w:rPr>
          <w:rFonts w:hint="eastAsia" w:ascii="仿宋" w:hAnsi="仿宋" w:eastAsia="仿宋" w:cs="仿宋"/>
          <w:color w:val="auto"/>
          <w:highlight w:val="none"/>
          <w:u w:val="single"/>
        </w:rPr>
        <w:t xml:space="preserve">         </w:t>
      </w:r>
    </w:p>
    <w:p w14:paraId="7187B0D8">
      <w:pPr>
        <w:numPr>
          <w:ilvl w:val="255"/>
          <w:numId w:val="0"/>
        </w:numPr>
        <w:tabs>
          <w:tab w:val="left" w:pos="740"/>
        </w:tabs>
        <w:adjustRightInd w:val="0"/>
        <w:snapToGrid w:val="0"/>
        <w:spacing w:line="400" w:lineRule="exact"/>
        <w:rPr>
          <w:rFonts w:hint="eastAsia" w:ascii="仿宋" w:hAnsi="仿宋" w:eastAsia="仿宋" w:cs="仿宋"/>
          <w:iCs/>
          <w:color w:val="auto"/>
          <w:szCs w:val="21"/>
          <w:highlight w:val="none"/>
        </w:rPr>
      </w:pPr>
      <w:r>
        <w:rPr>
          <w:rFonts w:hint="eastAsia" w:ascii="仿宋" w:hAnsi="仿宋" w:eastAsia="仿宋" w:cs="仿宋"/>
          <w:iCs/>
          <w:color w:val="auto"/>
          <w:szCs w:val="21"/>
          <w:highlight w:val="none"/>
        </w:rPr>
        <w:t xml:space="preserve">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强制采购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优先采购    </w:t>
      </w:r>
    </w:p>
    <w:p w14:paraId="26DF35B5">
      <w:pPr>
        <w:pStyle w:val="11"/>
        <w:ind w:firstLine="420" w:firstLineChars="0"/>
        <w:rPr>
          <w:rFonts w:hint="eastAsia" w:ascii="仿宋" w:hAnsi="仿宋" w:eastAsia="仿宋" w:cs="仿宋"/>
          <w:color w:val="auto"/>
          <w:sz w:val="21"/>
          <w:highlight w:val="none"/>
        </w:rPr>
      </w:pPr>
      <w:r>
        <w:rPr>
          <w:rFonts w:hint="eastAsia" w:ascii="仿宋" w:hAnsi="仿宋" w:eastAsia="仿宋" w:cs="仿宋"/>
          <w:color w:val="auto"/>
          <w:kern w:val="2"/>
          <w:sz w:val="21"/>
          <w:highlight w:val="none"/>
        </w:rPr>
        <w:t xml:space="preserve">     </w:t>
      </w:r>
      <w:r>
        <w:rPr>
          <w:rFonts w:hint="eastAsia" w:ascii="仿宋" w:hAnsi="仿宋" w:eastAsia="仿宋" w:cs="仿宋"/>
          <w:color w:val="auto"/>
          <w:kern w:val="2"/>
          <w:sz w:val="21"/>
          <w:highlight w:val="none"/>
        </w:rPr>
        <w:sym w:font="Wingdings" w:char="00FE"/>
      </w:r>
      <w:r>
        <w:rPr>
          <w:rFonts w:hint="eastAsia" w:ascii="仿宋" w:hAnsi="仿宋" w:eastAsia="仿宋" w:cs="仿宋"/>
          <w:color w:val="auto"/>
          <w:kern w:val="2"/>
          <w:sz w:val="21"/>
          <w:highlight w:val="none"/>
        </w:rPr>
        <w:t>否</w:t>
      </w:r>
    </w:p>
    <w:p w14:paraId="0BDF15CF">
      <w:pPr>
        <w:numPr>
          <w:ilvl w:val="255"/>
          <w:numId w:val="0"/>
        </w:numPr>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w:t>
      </w:r>
      <w:r>
        <w:rPr>
          <w:rFonts w:hint="eastAsia" w:ascii="仿宋" w:hAnsi="仿宋" w:eastAsia="仿宋" w:cs="仿宋"/>
          <w:color w:val="auto"/>
          <w:szCs w:val="21"/>
          <w:highlight w:val="none"/>
          <w:lang w:val="en"/>
        </w:rPr>
        <w:t>1</w:t>
      </w:r>
      <w:r>
        <w:rPr>
          <w:rFonts w:hint="eastAsia" w:ascii="仿宋" w:hAnsi="仿宋" w:eastAsia="仿宋" w:cs="仿宋"/>
          <w:color w:val="auto"/>
          <w:szCs w:val="21"/>
          <w:highlight w:val="none"/>
        </w:rPr>
        <w:t>）涉及商品包装和快递包装的，是否参考《商品包装政府采购需求标准（试行）》、《快递包装政府采购需求标准（试行）》明确产品及相关快递服务的具体包装要求：</w:t>
      </w:r>
    </w:p>
    <w:p w14:paraId="2C8962FD">
      <w:pPr>
        <w:numPr>
          <w:ilvl w:val="255"/>
          <w:numId w:val="0"/>
        </w:numPr>
        <w:adjustRightInd w:val="0"/>
        <w:snapToGrid w:val="0"/>
        <w:spacing w:line="400" w:lineRule="exact"/>
        <w:ind w:firstLine="96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sym w:font="Wingdings" w:char="00FE"/>
      </w:r>
      <w:r>
        <w:rPr>
          <w:rFonts w:hint="eastAsia" w:ascii="仿宋" w:hAnsi="仿宋" w:eastAsia="仿宋" w:cs="仿宋"/>
          <w:color w:val="auto"/>
          <w:szCs w:val="21"/>
          <w:highlight w:val="none"/>
        </w:rPr>
        <w:t xml:space="preserve">是       </w:t>
      </w:r>
      <w:r>
        <w:rPr>
          <w:rFonts w:hint="eastAsia" w:ascii="仿宋" w:hAnsi="仿宋" w:eastAsia="仿宋" w:cs="仿宋"/>
          <w:color w:val="auto"/>
          <w:szCs w:val="21"/>
          <w:highlight w:val="none"/>
        </w:rPr>
        <w:sym w:font="Wingdings" w:char="00A8"/>
      </w:r>
      <w:r>
        <w:rPr>
          <w:rFonts w:hint="eastAsia" w:ascii="仿宋" w:hAnsi="仿宋" w:eastAsia="仿宋" w:cs="仿宋"/>
          <w:color w:val="auto"/>
          <w:szCs w:val="21"/>
          <w:highlight w:val="none"/>
        </w:rPr>
        <w:t xml:space="preserve">否      </w:t>
      </w:r>
      <w:r>
        <w:rPr>
          <w:rFonts w:hint="eastAsia" w:ascii="仿宋" w:hAnsi="仿宋" w:eastAsia="仿宋" w:cs="仿宋"/>
          <w:color w:val="auto"/>
          <w:szCs w:val="21"/>
          <w:highlight w:val="none"/>
        </w:rPr>
        <w:sym w:font="Wingdings" w:char="00A8"/>
      </w:r>
      <w:r>
        <w:rPr>
          <w:rFonts w:hint="eastAsia" w:ascii="仿宋" w:hAnsi="仿宋" w:eastAsia="仿宋" w:cs="仿宋"/>
          <w:color w:val="auto"/>
          <w:szCs w:val="21"/>
          <w:highlight w:val="none"/>
        </w:rPr>
        <w:t>不涉及</w:t>
      </w:r>
    </w:p>
    <w:p w14:paraId="33195826">
      <w:pPr>
        <w:numPr>
          <w:ilvl w:val="0"/>
          <w:numId w:val="1"/>
        </w:numPr>
        <w:adjustRightInd w:val="0"/>
        <w:snapToGrid w:val="0"/>
        <w:spacing w:line="400" w:lineRule="exact"/>
        <w:ind w:firstLine="48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合同金额</w:t>
      </w:r>
    </w:p>
    <w:p w14:paraId="569389EF">
      <w:pPr>
        <w:adjustRightInd w:val="0"/>
        <w:snapToGrid w:val="0"/>
        <w:spacing w:line="400" w:lineRule="exact"/>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（1）合同金额小写：</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p>
    <w:p w14:paraId="48A461CD">
      <w:pPr>
        <w:widowControl/>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大写：</w:t>
      </w:r>
      <w:r>
        <w:rPr>
          <w:rFonts w:hint="eastAsia" w:ascii="仿宋" w:hAnsi="仿宋" w:eastAsia="仿宋" w:cs="仿宋"/>
          <w:color w:val="auto"/>
          <w:szCs w:val="21"/>
          <w:highlight w:val="none"/>
          <w:u w:val="single"/>
        </w:rPr>
        <w:t>人民币</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p>
    <w:p w14:paraId="0428252F">
      <w:pPr>
        <w:numPr>
          <w:ilvl w:val="255"/>
          <w:numId w:val="0"/>
        </w:numPr>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（2）合同定价方式（采用组合定价方式的，可以勾选多项）：</w:t>
      </w:r>
    </w:p>
    <w:p w14:paraId="5731C740">
      <w:pPr>
        <w:adjustRightInd w:val="0"/>
        <w:snapToGrid w:val="0"/>
        <w:spacing w:line="400" w:lineRule="exact"/>
        <w:ind w:firstLine="480" w:firstLineChars="200"/>
        <w:rPr>
          <w:rFonts w:hint="eastAsia" w:ascii="仿宋" w:hAnsi="仿宋" w:eastAsia="仿宋" w:cs="仿宋"/>
          <w:color w:val="auto"/>
          <w:szCs w:val="21"/>
          <w:highlight w:val="none"/>
        </w:rPr>
      </w:pPr>
      <w:r>
        <w:rPr>
          <w:rFonts w:hint="eastAsia" w:ascii="仿宋" w:hAnsi="仿宋" w:eastAsia="仿宋" w:cs="仿宋"/>
          <w:iCs/>
          <w:color w:val="auto"/>
          <w:szCs w:val="21"/>
          <w:highlight w:val="none"/>
        </w:rPr>
        <w:t xml:space="preserve">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固定总价 </w:t>
      </w:r>
      <w:r>
        <w:rPr>
          <w:rFonts w:hint="eastAsia" w:ascii="仿宋" w:hAnsi="仿宋" w:eastAsia="仿宋" w:cs="仿宋"/>
          <w:iCs/>
          <w:color w:val="auto"/>
          <w:szCs w:val="21"/>
          <w:highlight w:val="none"/>
        </w:rPr>
        <w:sym w:font="Wingdings" w:char="00FE"/>
      </w:r>
      <w:r>
        <w:rPr>
          <w:rFonts w:hint="eastAsia" w:ascii="仿宋" w:hAnsi="仿宋" w:eastAsia="仿宋" w:cs="仿宋"/>
          <w:iCs/>
          <w:color w:val="auto"/>
          <w:szCs w:val="21"/>
          <w:highlight w:val="none"/>
        </w:rPr>
        <w:t xml:space="preserve">固定单价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固定费率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成本补偿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绩效激励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其他</w:t>
      </w:r>
      <w:r>
        <w:rPr>
          <w:rFonts w:hint="eastAsia" w:ascii="仿宋" w:hAnsi="仿宋" w:eastAsia="仿宋" w:cs="仿宋"/>
          <w:color w:val="auto"/>
          <w:szCs w:val="21"/>
          <w:highlight w:val="none"/>
          <w:u w:val="single"/>
        </w:rPr>
        <w:t xml:space="preserve">       </w:t>
      </w:r>
    </w:p>
    <w:p w14:paraId="6C0BA0E1">
      <w:pPr>
        <w:pStyle w:val="12"/>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（3）付款方式（按项目实际勾选填写）：</w:t>
      </w:r>
    </w:p>
    <w:p w14:paraId="32D9E79B">
      <w:pPr>
        <w:adjustRightInd w:val="0"/>
        <w:snapToGrid w:val="0"/>
        <w:spacing w:line="400" w:lineRule="exact"/>
        <w:ind w:firstLine="720" w:firstLineChars="3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sym w:font="Wingdings" w:char="00FE"/>
      </w:r>
      <w:r>
        <w:rPr>
          <w:rFonts w:hint="eastAsia" w:ascii="仿宋" w:hAnsi="仿宋" w:eastAsia="仿宋" w:cs="仿宋"/>
          <w:color w:val="auto"/>
          <w:szCs w:val="21"/>
          <w:highlight w:val="none"/>
        </w:rPr>
        <w:t>全额付款：</w:t>
      </w:r>
      <w:r>
        <w:rPr>
          <w:rFonts w:hint="eastAsia" w:ascii="仿宋" w:hAnsi="仿宋" w:eastAsia="仿宋" w:cs="仿宋"/>
          <w:color w:val="auto"/>
          <w:szCs w:val="21"/>
          <w:highlight w:val="none"/>
          <w:u w:val="single"/>
        </w:rPr>
        <w:t>银行转账。设备完成安装调试后，经过采购人初步验收合格，成交供应商开具符合税法规定的全额增值税发票 ，达到付款条件起 30 日内，支付合同总金额的 95.00%。设备试运行1年无问题并经过采购人最终验收合格 ，达到付款条件起 30 日内，无息支付合同总金额的 5.00%。</w:t>
      </w:r>
    </w:p>
    <w:p w14:paraId="1B350B6F">
      <w:pPr>
        <w:snapToGrid w:val="0"/>
        <w:spacing w:line="400" w:lineRule="exact"/>
        <w:ind w:firstLine="720" w:firstLineChars="300"/>
        <w:rPr>
          <w:rFonts w:hint="eastAsia" w:ascii="仿宋" w:hAnsi="仿宋" w:eastAsia="仿宋" w:cs="仿宋"/>
          <w:color w:val="auto"/>
          <w:highlight w:val="none"/>
        </w:rPr>
      </w:pPr>
      <w:r>
        <w:rPr>
          <w:rFonts w:hint="eastAsia" w:ascii="仿宋" w:hAnsi="仿宋" w:eastAsia="仿宋" w:cs="仿宋"/>
          <w:color w:val="auto"/>
          <w:szCs w:val="21"/>
          <w:highlight w:val="none"/>
        </w:rPr>
        <w:sym w:font="Wingdings" w:char="00A8"/>
      </w:r>
      <w:r>
        <w:rPr>
          <w:rFonts w:hint="eastAsia" w:ascii="仿宋" w:hAnsi="仿宋" w:eastAsia="仿宋" w:cs="仿宋"/>
          <w:color w:val="auto"/>
          <w:szCs w:val="21"/>
          <w:highlight w:val="none"/>
        </w:rPr>
        <w:t>分期付款：</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，其中涉及预付款的：</w:t>
      </w:r>
      <w:r>
        <w:rPr>
          <w:rFonts w:hint="eastAsia" w:ascii="仿宋" w:hAnsi="仿宋" w:eastAsia="仿宋" w:cs="仿宋"/>
          <w:color w:val="auto"/>
          <w:szCs w:val="21"/>
          <w:highlight w:val="none"/>
          <w:u w:val="single"/>
        </w:rPr>
        <w:t xml:space="preserve">                           </w:t>
      </w:r>
    </w:p>
    <w:p w14:paraId="2DBE2D5A">
      <w:pPr>
        <w:adjustRightInd w:val="0"/>
        <w:snapToGrid w:val="0"/>
        <w:spacing w:line="400" w:lineRule="exact"/>
        <w:ind w:firstLine="720" w:firstLineChars="3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sym w:font="Wingdings" w:char="00A8"/>
      </w:r>
      <w:r>
        <w:rPr>
          <w:rFonts w:hint="eastAsia" w:ascii="仿宋" w:hAnsi="仿宋" w:eastAsia="仿宋" w:cs="仿宋"/>
          <w:color w:val="auto"/>
          <w:szCs w:val="21"/>
          <w:highlight w:val="none"/>
        </w:rPr>
        <w:t>成本补偿：</w:t>
      </w:r>
      <w:r>
        <w:rPr>
          <w:rFonts w:hint="eastAsia" w:ascii="仿宋" w:hAnsi="仿宋" w:eastAsia="仿宋" w:cs="仿宋"/>
          <w:color w:val="auto"/>
          <w:szCs w:val="21"/>
          <w:highlight w:val="none"/>
          <w:u w:val="single"/>
        </w:rPr>
        <w:t xml:space="preserve">                                                                     </w:t>
      </w:r>
    </w:p>
    <w:p w14:paraId="0BF232C2">
      <w:pPr>
        <w:adjustRightInd w:val="0"/>
        <w:snapToGrid w:val="0"/>
        <w:spacing w:line="400" w:lineRule="exact"/>
        <w:ind w:firstLine="720" w:firstLineChars="300"/>
        <w:rPr>
          <w:rFonts w:hint="eastAsia" w:ascii="仿宋" w:hAnsi="仿宋" w:eastAsia="仿宋" w:cs="仿宋"/>
          <w:color w:val="auto"/>
          <w:szCs w:val="21"/>
          <w:highlight w:val="none"/>
        </w:rPr>
      </w:pPr>
      <w:r>
        <w:rPr>
          <w:rFonts w:hint="eastAsia" w:ascii="仿宋" w:hAnsi="仿宋" w:eastAsia="仿宋" w:cs="仿宋"/>
          <w:color w:val="auto"/>
          <w:szCs w:val="21"/>
          <w:highlight w:val="none"/>
        </w:rPr>
        <w:sym w:font="Wingdings" w:char="00A8"/>
      </w:r>
      <w:r>
        <w:rPr>
          <w:rFonts w:hint="eastAsia" w:ascii="仿宋" w:hAnsi="仿宋" w:eastAsia="仿宋" w:cs="仿宋"/>
          <w:color w:val="auto"/>
          <w:szCs w:val="21"/>
          <w:highlight w:val="none"/>
        </w:rPr>
        <w:t>绩效激励：</w:t>
      </w:r>
      <w:r>
        <w:rPr>
          <w:rFonts w:hint="eastAsia" w:ascii="仿宋" w:hAnsi="仿宋" w:eastAsia="仿宋" w:cs="仿宋"/>
          <w:color w:val="auto"/>
          <w:szCs w:val="21"/>
          <w:highlight w:val="none"/>
          <w:u w:val="single"/>
        </w:rPr>
        <w:t xml:space="preserve">                                                                     </w:t>
      </w:r>
    </w:p>
    <w:p w14:paraId="3E38E416">
      <w:pPr>
        <w:numPr>
          <w:ilvl w:val="0"/>
          <w:numId w:val="1"/>
        </w:numPr>
        <w:adjustRightInd w:val="0"/>
        <w:snapToGrid w:val="0"/>
        <w:spacing w:line="400" w:lineRule="exact"/>
        <w:ind w:firstLine="482" w:firstLineChars="200"/>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rPr>
        <w:t>合同履行</w:t>
      </w:r>
    </w:p>
    <w:p w14:paraId="37DF255D">
      <w:pPr>
        <w:adjustRightInd w:val="0"/>
        <w:snapToGrid w:val="0"/>
        <w:spacing w:line="400" w:lineRule="exact"/>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（1）起始日期：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日，完成日期：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1AA41B65">
      <w:pPr>
        <w:adjustRightInd w:val="0"/>
        <w:snapToGrid w:val="0"/>
        <w:spacing w:line="400" w:lineRule="exact"/>
        <w:ind w:firstLine="48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（2）履约地点</w:t>
      </w:r>
      <w:r>
        <w:rPr>
          <w:rFonts w:hint="eastAsia" w:ascii="仿宋" w:hAnsi="仿宋" w:eastAsia="仿宋" w:cs="仿宋"/>
          <w:bCs/>
          <w:color w:val="auto"/>
          <w:szCs w:val="21"/>
          <w:highlight w:val="none"/>
        </w:rPr>
        <w:t>：</w:t>
      </w:r>
      <w:r>
        <w:rPr>
          <w:rFonts w:hint="eastAsia" w:ascii="仿宋" w:hAnsi="仿宋" w:eastAsia="仿宋" w:cs="仿宋"/>
          <w:color w:val="auto"/>
          <w:szCs w:val="21"/>
          <w:highlight w:val="none"/>
          <w:u w:val="single"/>
        </w:rPr>
        <w:t xml:space="preserve"> 西北妇女儿童医院                            </w:t>
      </w:r>
    </w:p>
    <w:p w14:paraId="4A1DD500">
      <w:pPr>
        <w:adjustRightInd w:val="0"/>
        <w:snapToGrid w:val="0"/>
        <w:spacing w:line="400" w:lineRule="exact"/>
        <w:ind w:firstLine="480" w:firstLineChars="20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（3）履约担保：</w:t>
      </w:r>
      <w:r>
        <w:rPr>
          <w:rFonts w:hint="eastAsia" w:ascii="仿宋" w:hAnsi="仿宋" w:eastAsia="仿宋" w:cs="仿宋"/>
          <w:color w:val="auto"/>
          <w:highlight w:val="none"/>
        </w:rPr>
        <w:t>是否收取履约保证金：</w:t>
      </w:r>
      <w:r>
        <w:rPr>
          <w:rFonts w:hint="eastAsia" w:ascii="仿宋" w:hAnsi="仿宋" w:eastAsia="仿宋" w:cs="仿宋"/>
          <w:color w:val="auto"/>
          <w:szCs w:val="21"/>
          <w:highlight w:val="none"/>
        </w:rPr>
        <w:sym w:font="Wingdings" w:char="00A8"/>
      </w:r>
      <w:r>
        <w:rPr>
          <w:rFonts w:hint="eastAsia" w:ascii="仿宋" w:hAnsi="仿宋" w:eastAsia="仿宋" w:cs="仿宋"/>
          <w:color w:val="auto"/>
          <w:szCs w:val="21"/>
          <w:highlight w:val="none"/>
        </w:rPr>
        <w:t xml:space="preserve">是    </w:t>
      </w:r>
      <w:r>
        <w:rPr>
          <w:rFonts w:hint="eastAsia" w:ascii="仿宋" w:hAnsi="仿宋" w:eastAsia="仿宋" w:cs="仿宋"/>
          <w:color w:val="auto"/>
          <w:szCs w:val="21"/>
          <w:highlight w:val="none"/>
        </w:rPr>
        <w:sym w:font="Wingdings" w:char="00FE"/>
      </w:r>
      <w:r>
        <w:rPr>
          <w:rFonts w:hint="eastAsia" w:ascii="仿宋" w:hAnsi="仿宋" w:eastAsia="仿宋" w:cs="仿宋"/>
          <w:color w:val="auto"/>
          <w:szCs w:val="21"/>
          <w:highlight w:val="none"/>
        </w:rPr>
        <w:t>否</w:t>
      </w:r>
    </w:p>
    <w:p w14:paraId="09FB209A">
      <w:pPr>
        <w:pStyle w:val="11"/>
        <w:rPr>
          <w:rFonts w:hint="eastAsia" w:ascii="仿宋" w:hAnsi="仿宋" w:eastAsia="仿宋" w:cs="仿宋"/>
          <w:color w:val="auto"/>
          <w:sz w:val="21"/>
          <w:highlight w:val="none"/>
        </w:rPr>
      </w:pPr>
      <w:r>
        <w:rPr>
          <w:rFonts w:hint="eastAsia" w:ascii="仿宋" w:hAnsi="仿宋" w:eastAsia="仿宋" w:cs="仿宋"/>
          <w:bCs/>
          <w:color w:val="auto"/>
          <w:highlight w:val="none"/>
        </w:rPr>
        <w:t xml:space="preserve">  </w:t>
      </w:r>
      <w:r>
        <w:rPr>
          <w:rFonts w:hint="eastAsia" w:ascii="仿宋" w:hAnsi="仿宋" w:eastAsia="仿宋" w:cs="仿宋"/>
          <w:color w:val="auto"/>
          <w:sz w:val="21"/>
          <w:highlight w:val="none"/>
        </w:rPr>
        <w:t xml:space="preserve">  收取履约保证金形式：</w:t>
      </w:r>
      <w:r>
        <w:rPr>
          <w:rFonts w:hint="eastAsia" w:ascii="仿宋" w:hAnsi="仿宋" w:eastAsia="仿宋" w:cs="仿宋"/>
          <w:bCs/>
          <w:color w:val="auto"/>
          <w:highlight w:val="none"/>
          <w:u w:val="single"/>
        </w:rPr>
        <w:t>/</w:t>
      </w:r>
      <w:r>
        <w:rPr>
          <w:rFonts w:hint="eastAsia" w:ascii="仿宋" w:hAnsi="仿宋" w:eastAsia="仿宋" w:cs="仿宋"/>
          <w:bCs/>
          <w:color w:val="auto"/>
          <w:sz w:val="21"/>
          <w:highlight w:val="none"/>
          <w:u w:val="single"/>
        </w:rPr>
        <w:t xml:space="preserve">                          </w:t>
      </w:r>
    </w:p>
    <w:p w14:paraId="4A0D08E7">
      <w:pPr>
        <w:pStyle w:val="11"/>
        <w:ind w:firstLine="420"/>
        <w:rPr>
          <w:rFonts w:hint="eastAsia" w:ascii="仿宋" w:hAnsi="仿宋" w:eastAsia="仿宋" w:cs="仿宋"/>
          <w:color w:val="auto"/>
          <w:sz w:val="21"/>
          <w:highlight w:val="none"/>
        </w:rPr>
      </w:pPr>
      <w:r>
        <w:rPr>
          <w:rFonts w:hint="eastAsia" w:ascii="仿宋" w:hAnsi="仿宋" w:eastAsia="仿宋" w:cs="仿宋"/>
          <w:color w:val="auto"/>
          <w:sz w:val="21"/>
          <w:highlight w:val="none"/>
        </w:rPr>
        <w:t xml:space="preserve">    收取履约保证金金额：</w:t>
      </w:r>
      <w:r>
        <w:rPr>
          <w:rFonts w:hint="eastAsia" w:ascii="仿宋" w:hAnsi="仿宋" w:eastAsia="仿宋" w:cs="仿宋"/>
          <w:bCs/>
          <w:color w:val="auto"/>
          <w:highlight w:val="none"/>
          <w:u w:val="single"/>
        </w:rPr>
        <w:t>/</w:t>
      </w:r>
      <w:r>
        <w:rPr>
          <w:rFonts w:hint="eastAsia" w:ascii="仿宋" w:hAnsi="仿宋" w:eastAsia="仿宋" w:cs="仿宋"/>
          <w:bCs/>
          <w:color w:val="auto"/>
          <w:sz w:val="21"/>
          <w:highlight w:val="none"/>
          <w:u w:val="single"/>
        </w:rPr>
        <w:t xml:space="preserve">                           </w:t>
      </w:r>
    </w:p>
    <w:p w14:paraId="0C049562">
      <w:pPr>
        <w:snapToGrid w:val="0"/>
        <w:spacing w:line="400" w:lineRule="exact"/>
        <w:ind w:firstLine="480" w:firstLineChars="200"/>
        <w:rPr>
          <w:rFonts w:hint="eastAsia" w:ascii="仿宋" w:hAnsi="仿宋" w:eastAsia="仿宋" w:cs="仿宋"/>
          <w:color w:val="auto"/>
          <w:highlight w:val="none"/>
        </w:rPr>
      </w:pPr>
      <w:r>
        <w:rPr>
          <w:rFonts w:hint="eastAsia" w:ascii="仿宋" w:hAnsi="仿宋" w:eastAsia="仿宋" w:cs="仿宋"/>
          <w:bCs/>
          <w:color w:val="auto"/>
          <w:szCs w:val="21"/>
          <w:highlight w:val="none"/>
        </w:rPr>
        <w:t xml:space="preserve">    履约担保期限：</w:t>
      </w:r>
      <w:r>
        <w:rPr>
          <w:rFonts w:hint="eastAsia" w:ascii="仿宋" w:hAnsi="仿宋" w:eastAsia="仿宋" w:cs="仿宋"/>
          <w:bCs/>
          <w:color w:val="auto"/>
          <w:szCs w:val="21"/>
          <w:highlight w:val="none"/>
          <w:u w:val="single"/>
        </w:rPr>
        <w:t xml:space="preserve">/                                </w:t>
      </w:r>
    </w:p>
    <w:p w14:paraId="216D25F3">
      <w:pPr>
        <w:adjustRightInd w:val="0"/>
        <w:snapToGrid w:val="0"/>
        <w:spacing w:line="400" w:lineRule="exact"/>
        <w:ind w:firstLine="48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（4）分期履行要求：</w:t>
      </w:r>
      <w:r>
        <w:rPr>
          <w:rFonts w:hint="eastAsia" w:ascii="仿宋" w:hAnsi="仿宋" w:eastAsia="仿宋" w:cs="仿宋"/>
          <w:bCs/>
          <w:color w:val="auto"/>
          <w:szCs w:val="21"/>
          <w:highlight w:val="none"/>
          <w:u w:val="single"/>
        </w:rPr>
        <w:t xml:space="preserve">/                                                   </w:t>
      </w:r>
    </w:p>
    <w:p w14:paraId="17FCD62E">
      <w:pPr>
        <w:adjustRightInd w:val="0"/>
        <w:snapToGrid w:val="0"/>
        <w:spacing w:line="400" w:lineRule="exact"/>
        <w:ind w:firstLine="480" w:firstLineChars="200"/>
        <w:rPr>
          <w:rFonts w:hint="eastAsia" w:ascii="仿宋" w:hAnsi="仿宋" w:eastAsia="仿宋" w:cs="仿宋"/>
          <w:color w:val="auto"/>
          <w:szCs w:val="21"/>
          <w:highlight w:val="none"/>
          <w:u w:val="single"/>
        </w:rPr>
      </w:pPr>
      <w:r>
        <w:rPr>
          <w:rFonts w:hint="eastAsia" w:ascii="仿宋" w:hAnsi="仿宋" w:eastAsia="仿宋" w:cs="仿宋"/>
          <w:bCs/>
          <w:color w:val="auto"/>
          <w:szCs w:val="21"/>
          <w:highlight w:val="none"/>
        </w:rPr>
        <w:t>（5）风险处置措施和替代方案：</w:t>
      </w:r>
      <w:r>
        <w:rPr>
          <w:rFonts w:hint="eastAsia" w:ascii="仿宋" w:hAnsi="仿宋" w:eastAsia="仿宋" w:cs="仿宋"/>
          <w:color w:val="auto"/>
          <w:szCs w:val="21"/>
          <w:highlight w:val="none"/>
          <w:u w:val="single"/>
        </w:rPr>
        <w:t xml:space="preserve">/                                                       </w:t>
      </w:r>
    </w:p>
    <w:p w14:paraId="6058D0E3">
      <w:pPr>
        <w:numPr>
          <w:ilvl w:val="0"/>
          <w:numId w:val="1"/>
        </w:numPr>
        <w:adjustRightInd w:val="0"/>
        <w:snapToGrid w:val="0"/>
        <w:spacing w:line="400" w:lineRule="exact"/>
        <w:ind w:firstLine="48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合同验收</w:t>
      </w:r>
    </w:p>
    <w:p w14:paraId="0957043C">
      <w:pPr>
        <w:numPr>
          <w:ilvl w:val="0"/>
          <w:numId w:val="3"/>
        </w:numPr>
        <w:adjustRightInd w:val="0"/>
        <w:snapToGrid w:val="0"/>
        <w:spacing w:line="400" w:lineRule="exact"/>
        <w:ind w:firstLine="48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验收组织方式：</w:t>
      </w:r>
      <w:r>
        <w:rPr>
          <w:rFonts w:hint="eastAsia" w:ascii="仿宋" w:hAnsi="仿宋" w:eastAsia="仿宋" w:cs="仿宋"/>
          <w:color w:val="auto"/>
          <w:szCs w:val="21"/>
          <w:highlight w:val="none"/>
        </w:rPr>
        <w:sym w:font="Wingdings" w:char="00FE"/>
      </w:r>
      <w:r>
        <w:rPr>
          <w:rFonts w:hint="eastAsia" w:ascii="仿宋" w:hAnsi="仿宋" w:eastAsia="仿宋" w:cs="仿宋"/>
          <w:bCs/>
          <w:color w:val="auto"/>
          <w:szCs w:val="21"/>
          <w:highlight w:val="none"/>
        </w:rPr>
        <w:t xml:space="preserve">自行组织 </w:t>
      </w:r>
      <w:r>
        <w:rPr>
          <w:rFonts w:hint="eastAsia" w:ascii="仿宋" w:hAnsi="仿宋" w:eastAsia="仿宋" w:cs="仿宋"/>
          <w:color w:val="auto"/>
          <w:szCs w:val="21"/>
          <w:highlight w:val="none"/>
        </w:rPr>
        <w:sym w:font="Wingdings" w:char="00A8"/>
      </w:r>
      <w:r>
        <w:rPr>
          <w:rFonts w:hint="eastAsia" w:ascii="仿宋" w:hAnsi="仿宋" w:eastAsia="仿宋" w:cs="仿宋"/>
          <w:bCs/>
          <w:color w:val="auto"/>
          <w:szCs w:val="21"/>
          <w:highlight w:val="none"/>
        </w:rPr>
        <w:t>委托第三方组织</w:t>
      </w:r>
    </w:p>
    <w:p w14:paraId="2F805D5B">
      <w:pPr>
        <w:adjustRightInd w:val="0"/>
        <w:snapToGrid w:val="0"/>
        <w:spacing w:line="400" w:lineRule="exac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 xml:space="preserve">         验收主体：</w:t>
      </w:r>
      <w:r>
        <w:rPr>
          <w:rFonts w:hint="eastAsia" w:ascii="仿宋" w:hAnsi="仿宋" w:eastAsia="仿宋" w:cs="仿宋"/>
          <w:bCs/>
          <w:color w:val="auto"/>
          <w:szCs w:val="21"/>
          <w:highlight w:val="none"/>
          <w:u w:val="single"/>
        </w:rPr>
        <w:t xml:space="preserve"> 西北妇女儿童医院                 </w:t>
      </w:r>
    </w:p>
    <w:p w14:paraId="56B8B1FC">
      <w:pPr>
        <w:adjustRightInd w:val="0"/>
        <w:snapToGrid w:val="0"/>
        <w:spacing w:line="400" w:lineRule="exac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 xml:space="preserve">        是否邀请本项目的其他供应商参加验收：</w:t>
      </w:r>
      <w:r>
        <w:rPr>
          <w:rFonts w:hint="eastAsia" w:ascii="仿宋" w:hAnsi="仿宋" w:eastAsia="仿宋" w:cs="仿宋"/>
          <w:color w:val="auto"/>
          <w:szCs w:val="21"/>
          <w:highlight w:val="none"/>
        </w:rPr>
        <w:sym w:font="Wingdings" w:char="00A8"/>
      </w:r>
      <w:r>
        <w:rPr>
          <w:rFonts w:hint="eastAsia" w:ascii="仿宋" w:hAnsi="仿宋" w:eastAsia="仿宋" w:cs="仿宋"/>
          <w:bCs/>
          <w:color w:val="auto"/>
          <w:szCs w:val="21"/>
          <w:highlight w:val="none"/>
        </w:rPr>
        <w:t xml:space="preserve">是  </w:t>
      </w:r>
      <w:r>
        <w:rPr>
          <w:rFonts w:hint="eastAsia" w:ascii="仿宋" w:hAnsi="仿宋" w:eastAsia="仿宋" w:cs="仿宋"/>
          <w:color w:val="auto"/>
          <w:szCs w:val="21"/>
          <w:highlight w:val="none"/>
        </w:rPr>
        <w:sym w:font="Wingdings" w:char="00FE"/>
      </w:r>
      <w:r>
        <w:rPr>
          <w:rFonts w:hint="eastAsia" w:ascii="仿宋" w:hAnsi="仿宋" w:eastAsia="仿宋" w:cs="仿宋"/>
          <w:bCs/>
          <w:color w:val="auto"/>
          <w:szCs w:val="21"/>
          <w:highlight w:val="none"/>
        </w:rPr>
        <w:t>否</w:t>
      </w:r>
    </w:p>
    <w:p w14:paraId="19CCDDD7">
      <w:pPr>
        <w:adjustRightInd w:val="0"/>
        <w:snapToGrid w:val="0"/>
        <w:spacing w:line="400" w:lineRule="exact"/>
        <w:ind w:firstLine="960" w:firstLineChars="4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是否邀请专家参加验收：</w:t>
      </w:r>
      <w:r>
        <w:rPr>
          <w:rFonts w:hint="eastAsia" w:ascii="仿宋" w:hAnsi="仿宋" w:eastAsia="仿宋" w:cs="仿宋"/>
          <w:color w:val="auto"/>
          <w:szCs w:val="21"/>
          <w:highlight w:val="none"/>
        </w:rPr>
        <w:sym w:font="Wingdings" w:char="00A8"/>
      </w:r>
      <w:r>
        <w:rPr>
          <w:rFonts w:hint="eastAsia" w:ascii="仿宋" w:hAnsi="仿宋" w:eastAsia="仿宋" w:cs="仿宋"/>
          <w:bCs/>
          <w:color w:val="auto"/>
          <w:szCs w:val="21"/>
          <w:highlight w:val="none"/>
        </w:rPr>
        <w:t xml:space="preserve">是  </w:t>
      </w:r>
      <w:r>
        <w:rPr>
          <w:rFonts w:hint="eastAsia" w:ascii="仿宋" w:hAnsi="仿宋" w:eastAsia="仿宋" w:cs="仿宋"/>
          <w:color w:val="auto"/>
          <w:szCs w:val="21"/>
          <w:highlight w:val="none"/>
        </w:rPr>
        <w:sym w:font="Wingdings" w:char="00FE"/>
      </w:r>
      <w:r>
        <w:rPr>
          <w:rFonts w:hint="eastAsia" w:ascii="仿宋" w:hAnsi="仿宋" w:eastAsia="仿宋" w:cs="仿宋"/>
          <w:bCs/>
          <w:color w:val="auto"/>
          <w:szCs w:val="21"/>
          <w:highlight w:val="none"/>
        </w:rPr>
        <w:t>否</w:t>
      </w:r>
    </w:p>
    <w:p w14:paraId="1C2B5E54">
      <w:pPr>
        <w:adjustRightInd w:val="0"/>
        <w:snapToGrid w:val="0"/>
        <w:spacing w:line="400" w:lineRule="exact"/>
        <w:ind w:firstLine="960" w:firstLineChars="4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是否邀请服务对象参加验收：</w:t>
      </w:r>
      <w:r>
        <w:rPr>
          <w:rFonts w:hint="eastAsia" w:ascii="仿宋" w:hAnsi="仿宋" w:eastAsia="仿宋" w:cs="仿宋"/>
          <w:color w:val="auto"/>
          <w:szCs w:val="21"/>
          <w:highlight w:val="none"/>
        </w:rPr>
        <w:sym w:font="Wingdings" w:char="00FE"/>
      </w:r>
      <w:r>
        <w:rPr>
          <w:rFonts w:hint="eastAsia" w:ascii="仿宋" w:hAnsi="仿宋" w:eastAsia="仿宋" w:cs="仿宋"/>
          <w:bCs/>
          <w:color w:val="auto"/>
          <w:szCs w:val="21"/>
          <w:highlight w:val="none"/>
        </w:rPr>
        <w:t xml:space="preserve">是  </w:t>
      </w:r>
      <w:r>
        <w:rPr>
          <w:rFonts w:hint="eastAsia" w:ascii="仿宋" w:hAnsi="仿宋" w:eastAsia="仿宋" w:cs="仿宋"/>
          <w:color w:val="auto"/>
          <w:szCs w:val="21"/>
          <w:highlight w:val="none"/>
        </w:rPr>
        <w:sym w:font="Wingdings" w:char="00A8"/>
      </w:r>
      <w:r>
        <w:rPr>
          <w:rFonts w:hint="eastAsia" w:ascii="仿宋" w:hAnsi="仿宋" w:eastAsia="仿宋" w:cs="仿宋"/>
          <w:bCs/>
          <w:color w:val="auto"/>
          <w:szCs w:val="21"/>
          <w:highlight w:val="none"/>
        </w:rPr>
        <w:t>否</w:t>
      </w:r>
    </w:p>
    <w:p w14:paraId="1AAF25BB">
      <w:pPr>
        <w:adjustRightInd w:val="0"/>
        <w:snapToGrid w:val="0"/>
        <w:spacing w:line="400" w:lineRule="exact"/>
        <w:ind w:firstLine="960" w:firstLineChars="4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是否邀请第三方检测机构参加验收：</w:t>
      </w:r>
      <w:r>
        <w:rPr>
          <w:rFonts w:hint="eastAsia" w:ascii="仿宋" w:hAnsi="仿宋" w:eastAsia="仿宋" w:cs="仿宋"/>
          <w:color w:val="auto"/>
          <w:szCs w:val="21"/>
          <w:highlight w:val="none"/>
        </w:rPr>
        <w:sym w:font="Wingdings" w:char="00A8"/>
      </w:r>
      <w:r>
        <w:rPr>
          <w:rFonts w:hint="eastAsia" w:ascii="仿宋" w:hAnsi="仿宋" w:eastAsia="仿宋" w:cs="仿宋"/>
          <w:bCs/>
          <w:color w:val="auto"/>
          <w:szCs w:val="21"/>
          <w:highlight w:val="none"/>
        </w:rPr>
        <w:t xml:space="preserve">是  </w:t>
      </w:r>
      <w:r>
        <w:rPr>
          <w:rFonts w:hint="eastAsia" w:ascii="仿宋" w:hAnsi="仿宋" w:eastAsia="仿宋" w:cs="仿宋"/>
          <w:color w:val="auto"/>
          <w:szCs w:val="21"/>
          <w:highlight w:val="none"/>
        </w:rPr>
        <w:sym w:font="Wingdings" w:char="00FE"/>
      </w:r>
      <w:r>
        <w:rPr>
          <w:rFonts w:hint="eastAsia" w:ascii="仿宋" w:hAnsi="仿宋" w:eastAsia="仿宋" w:cs="仿宋"/>
          <w:bCs/>
          <w:color w:val="auto"/>
          <w:szCs w:val="21"/>
          <w:highlight w:val="none"/>
        </w:rPr>
        <w:t>否</w:t>
      </w:r>
    </w:p>
    <w:p w14:paraId="7550F00F">
      <w:pPr>
        <w:adjustRightInd w:val="0"/>
        <w:snapToGrid w:val="0"/>
        <w:spacing w:line="400" w:lineRule="exact"/>
        <w:ind w:firstLine="960" w:firstLineChars="4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是否进行抽查检测：</w:t>
      </w:r>
      <w:r>
        <w:rPr>
          <w:rFonts w:hint="eastAsia" w:ascii="仿宋" w:hAnsi="仿宋" w:eastAsia="仿宋" w:cs="仿宋"/>
          <w:color w:val="auto"/>
          <w:szCs w:val="21"/>
          <w:highlight w:val="none"/>
        </w:rPr>
        <w:sym w:font="Wingdings" w:char="00A8"/>
      </w:r>
      <w:r>
        <w:rPr>
          <w:rFonts w:hint="eastAsia" w:ascii="仿宋" w:hAnsi="仿宋" w:eastAsia="仿宋" w:cs="仿宋"/>
          <w:bCs/>
          <w:color w:val="auto"/>
          <w:szCs w:val="21"/>
          <w:highlight w:val="none"/>
        </w:rPr>
        <w:t>是，抽查比例：</w:t>
      </w:r>
      <w:r>
        <w:rPr>
          <w:rFonts w:hint="eastAsia" w:ascii="仿宋" w:hAnsi="仿宋" w:eastAsia="仿宋" w:cs="仿宋"/>
          <w:bCs/>
          <w:color w:val="auto"/>
          <w:szCs w:val="21"/>
          <w:highlight w:val="none"/>
          <w:u w:val="single"/>
        </w:rPr>
        <w:t xml:space="preserve">        </w:t>
      </w: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sym w:font="Wingdings" w:char="00FE"/>
      </w:r>
      <w:r>
        <w:rPr>
          <w:rFonts w:hint="eastAsia" w:ascii="仿宋" w:hAnsi="仿宋" w:eastAsia="仿宋" w:cs="仿宋"/>
          <w:bCs/>
          <w:color w:val="auto"/>
          <w:szCs w:val="21"/>
          <w:highlight w:val="none"/>
        </w:rPr>
        <w:t>否</w:t>
      </w:r>
    </w:p>
    <w:p w14:paraId="51C330D0">
      <w:pPr>
        <w:adjustRightInd w:val="0"/>
        <w:snapToGrid w:val="0"/>
        <w:spacing w:line="400" w:lineRule="exact"/>
        <w:ind w:firstLine="960" w:firstLineChars="400"/>
        <w:rPr>
          <w:rFonts w:hint="eastAsia" w:ascii="仿宋" w:hAnsi="仿宋" w:eastAsia="仿宋" w:cs="仿宋"/>
          <w:bCs/>
          <w:color w:val="auto"/>
          <w:szCs w:val="21"/>
          <w:highlight w:val="none"/>
          <w:u w:val="single"/>
        </w:rPr>
      </w:pPr>
      <w:r>
        <w:rPr>
          <w:rFonts w:hint="eastAsia" w:ascii="仿宋" w:hAnsi="仿宋" w:eastAsia="仿宋" w:cs="仿宋"/>
          <w:bCs/>
          <w:color w:val="auto"/>
          <w:szCs w:val="21"/>
          <w:highlight w:val="none"/>
        </w:rPr>
        <w:t>是否存在破坏性检测：</w:t>
      </w:r>
      <w:r>
        <w:rPr>
          <w:rFonts w:hint="eastAsia" w:ascii="仿宋" w:hAnsi="仿宋" w:eastAsia="仿宋" w:cs="仿宋"/>
          <w:color w:val="auto"/>
          <w:szCs w:val="21"/>
          <w:highlight w:val="none"/>
        </w:rPr>
        <w:sym w:font="Wingdings" w:char="00A8"/>
      </w:r>
      <w:r>
        <w:rPr>
          <w:rFonts w:hint="eastAsia" w:ascii="仿宋" w:hAnsi="仿宋" w:eastAsia="仿宋" w:cs="仿宋"/>
          <w:bCs/>
          <w:color w:val="auto"/>
          <w:szCs w:val="21"/>
          <w:highlight w:val="none"/>
        </w:rPr>
        <w:t>是</w:t>
      </w:r>
    </w:p>
    <w:p w14:paraId="12303BC4">
      <w:pPr>
        <w:adjustRightInd w:val="0"/>
        <w:snapToGrid w:val="0"/>
        <w:spacing w:line="400" w:lineRule="exact"/>
        <w:ind w:firstLine="960" w:firstLineChars="4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sym w:font="Wingdings" w:char="00FE"/>
      </w:r>
      <w:r>
        <w:rPr>
          <w:rFonts w:hint="eastAsia" w:ascii="仿宋" w:hAnsi="仿宋" w:eastAsia="仿宋" w:cs="仿宋"/>
          <w:bCs/>
          <w:color w:val="auto"/>
          <w:szCs w:val="21"/>
          <w:highlight w:val="none"/>
        </w:rPr>
        <w:t>否</w:t>
      </w:r>
    </w:p>
    <w:p w14:paraId="3B352A04">
      <w:pPr>
        <w:adjustRightInd w:val="0"/>
        <w:snapToGrid w:val="0"/>
        <w:spacing w:line="400" w:lineRule="exact"/>
        <w:ind w:firstLine="960" w:firstLineChars="400"/>
        <w:rPr>
          <w:rFonts w:hint="eastAsia" w:ascii="仿宋" w:hAnsi="仿宋" w:eastAsia="仿宋" w:cs="仿宋"/>
          <w:bCs/>
          <w:color w:val="auto"/>
          <w:szCs w:val="21"/>
          <w:highlight w:val="none"/>
          <w:u w:val="single"/>
        </w:rPr>
      </w:pPr>
      <w:r>
        <w:rPr>
          <w:rFonts w:hint="eastAsia" w:ascii="仿宋" w:hAnsi="仿宋" w:eastAsia="仿宋" w:cs="仿宋"/>
          <w:bCs/>
          <w:color w:val="auto"/>
          <w:szCs w:val="21"/>
          <w:highlight w:val="none"/>
        </w:rPr>
        <w:t>验收组织的其他事项：</w:t>
      </w:r>
      <w:r>
        <w:rPr>
          <w:rFonts w:hint="eastAsia" w:ascii="仿宋" w:hAnsi="仿宋" w:eastAsia="仿宋" w:cs="仿宋"/>
          <w:bCs/>
          <w:color w:val="auto"/>
          <w:szCs w:val="21"/>
          <w:highlight w:val="none"/>
          <w:u w:val="single"/>
        </w:rPr>
        <w:t xml:space="preserve">/           </w:t>
      </w:r>
    </w:p>
    <w:p w14:paraId="59BB8A7F">
      <w:pPr>
        <w:adjustRightInd w:val="0"/>
        <w:snapToGrid w:val="0"/>
        <w:spacing w:line="400" w:lineRule="exact"/>
        <w:ind w:firstLine="480" w:firstLineChars="200"/>
        <w:rPr>
          <w:rFonts w:hint="eastAsia" w:ascii="仿宋" w:hAnsi="仿宋" w:eastAsia="仿宋" w:cs="仿宋"/>
          <w:bCs/>
          <w:color w:val="auto"/>
          <w:szCs w:val="21"/>
          <w:highlight w:val="none"/>
          <w:u w:val="single"/>
        </w:rPr>
      </w:pPr>
      <w:r>
        <w:rPr>
          <w:rFonts w:hint="eastAsia" w:ascii="仿宋" w:hAnsi="仿宋" w:eastAsia="仿宋" w:cs="仿宋"/>
          <w:bCs/>
          <w:color w:val="auto"/>
          <w:szCs w:val="21"/>
          <w:highlight w:val="none"/>
        </w:rPr>
        <w:t>（2）履约验收时间：</w:t>
      </w:r>
      <w:r>
        <w:rPr>
          <w:rFonts w:hint="eastAsia" w:ascii="仿宋" w:hAnsi="仿宋" w:eastAsia="仿宋" w:cs="仿宋"/>
          <w:bCs/>
          <w:color w:val="auto"/>
          <w:szCs w:val="21"/>
          <w:highlight w:val="none"/>
          <w:u w:val="single"/>
        </w:rPr>
        <w:t xml:space="preserve">供应商提出验收申请之日起30日内组织验收 </w:t>
      </w:r>
    </w:p>
    <w:p w14:paraId="4962CA81">
      <w:pPr>
        <w:adjustRightInd w:val="0"/>
        <w:snapToGrid w:val="0"/>
        <w:spacing w:line="400" w:lineRule="exact"/>
        <w:ind w:firstLine="48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（3）履约验收方式：</w:t>
      </w:r>
      <w:r>
        <w:rPr>
          <w:rFonts w:hint="eastAsia" w:ascii="仿宋" w:hAnsi="仿宋" w:eastAsia="仿宋" w:cs="仿宋"/>
          <w:color w:val="auto"/>
          <w:szCs w:val="21"/>
          <w:highlight w:val="none"/>
        </w:rPr>
        <w:sym w:font="Wingdings" w:char="00FE"/>
      </w:r>
      <w:r>
        <w:rPr>
          <w:rFonts w:hint="eastAsia" w:ascii="仿宋" w:hAnsi="仿宋" w:eastAsia="仿宋" w:cs="仿宋"/>
          <w:bCs/>
          <w:color w:val="auto"/>
          <w:szCs w:val="21"/>
          <w:highlight w:val="none"/>
        </w:rPr>
        <w:t>一次性验收</w:t>
      </w:r>
    </w:p>
    <w:p w14:paraId="77C26E16">
      <w:pPr>
        <w:adjustRightInd w:val="0"/>
        <w:snapToGrid w:val="0"/>
        <w:spacing w:line="400" w:lineRule="exac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sym w:font="Wingdings" w:char="00A8"/>
      </w:r>
      <w:r>
        <w:rPr>
          <w:rFonts w:hint="eastAsia" w:ascii="仿宋" w:hAnsi="仿宋" w:eastAsia="仿宋" w:cs="仿宋"/>
          <w:bCs/>
          <w:color w:val="auto"/>
          <w:szCs w:val="21"/>
          <w:highlight w:val="none"/>
        </w:rPr>
        <w:t>分期/分项验收：</w:t>
      </w:r>
      <w:r>
        <w:rPr>
          <w:rFonts w:hint="eastAsia" w:ascii="仿宋" w:hAnsi="仿宋" w:eastAsia="仿宋" w:cs="仿宋"/>
          <w:bCs/>
          <w:color w:val="auto"/>
          <w:szCs w:val="21"/>
          <w:highlight w:val="none"/>
          <w:u w:val="single"/>
        </w:rPr>
        <w:t xml:space="preserve">                           </w:t>
      </w:r>
    </w:p>
    <w:p w14:paraId="6EB43D6E">
      <w:pPr>
        <w:numPr>
          <w:ilvl w:val="0"/>
          <w:numId w:val="4"/>
        </w:numPr>
        <w:adjustRightInd w:val="0"/>
        <w:snapToGrid w:val="0"/>
        <w:spacing w:line="400" w:lineRule="exact"/>
        <w:ind w:firstLine="480" w:firstLineChars="200"/>
        <w:rPr>
          <w:rFonts w:hint="eastAsia" w:ascii="仿宋" w:hAnsi="仿宋" w:eastAsia="仿宋" w:cs="仿宋"/>
          <w:bCs/>
          <w:color w:val="auto"/>
          <w:szCs w:val="21"/>
          <w:highlight w:val="none"/>
          <w:u w:val="single"/>
        </w:rPr>
      </w:pPr>
      <w:r>
        <w:rPr>
          <w:rFonts w:hint="eastAsia" w:ascii="仿宋" w:hAnsi="仿宋" w:eastAsia="仿宋" w:cs="仿宋"/>
          <w:bCs/>
          <w:color w:val="auto"/>
          <w:szCs w:val="21"/>
          <w:highlight w:val="none"/>
        </w:rPr>
        <w:t>履约验收程序：</w:t>
      </w:r>
      <w:r>
        <w:rPr>
          <w:rFonts w:hint="eastAsia" w:ascii="仿宋" w:hAnsi="仿宋" w:eastAsia="仿宋" w:cs="仿宋"/>
          <w:bCs/>
          <w:color w:val="auto"/>
          <w:szCs w:val="21"/>
          <w:highlight w:val="none"/>
          <w:u w:val="single"/>
        </w:rPr>
        <w:t>乙方完成合同及招标文件规定的全部内容，并经甲方确认项目开发满足甲方需要，由乙方提出验收申请，甲方组织相关人员（必要时组成院外专家组）进行项目验收，出具验收报告。</w:t>
      </w:r>
    </w:p>
    <w:p w14:paraId="6657CE2A">
      <w:pPr>
        <w:numPr>
          <w:ilvl w:val="0"/>
          <w:numId w:val="4"/>
        </w:numPr>
        <w:adjustRightInd w:val="0"/>
        <w:snapToGrid w:val="0"/>
        <w:spacing w:line="400" w:lineRule="exact"/>
        <w:ind w:firstLine="480" w:firstLineChars="200"/>
        <w:rPr>
          <w:rFonts w:hint="eastAsia" w:ascii="仿宋" w:hAnsi="仿宋" w:eastAsia="仿宋" w:cs="仿宋"/>
          <w:bCs/>
          <w:color w:val="auto"/>
          <w:szCs w:val="21"/>
          <w:highlight w:val="none"/>
          <w:u w:val="single"/>
        </w:rPr>
      </w:pPr>
      <w:r>
        <w:rPr>
          <w:rFonts w:hint="eastAsia" w:ascii="仿宋" w:hAnsi="仿宋" w:eastAsia="仿宋" w:cs="仿宋"/>
          <w:bCs/>
          <w:color w:val="auto"/>
          <w:szCs w:val="21"/>
          <w:highlight w:val="none"/>
        </w:rPr>
        <w:t>履约验收的内容：</w:t>
      </w:r>
      <w:r>
        <w:rPr>
          <w:rFonts w:hint="eastAsia" w:ascii="仿宋" w:hAnsi="仿宋" w:eastAsia="仿宋" w:cs="仿宋"/>
          <w:bCs/>
          <w:color w:val="auto"/>
          <w:szCs w:val="21"/>
          <w:highlight w:val="none"/>
          <w:u w:val="single"/>
        </w:rPr>
        <w:t>（1）符合采购人与中标供应商签订的经济合同（2）符合招标文件的技术要求、商务要求（3）符合产品原样本技术数据（4）符合国家有关技术规范和标准。所有安装、验收的手续及费用由供应商自行办理和承担，采购人提供相关辅助。。</w:t>
      </w:r>
    </w:p>
    <w:p w14:paraId="1DB5A650">
      <w:pPr>
        <w:adjustRightInd w:val="0"/>
        <w:snapToGrid w:val="0"/>
        <w:spacing w:line="400" w:lineRule="exact"/>
        <w:ind w:firstLine="480" w:firstLineChars="200"/>
        <w:rPr>
          <w:rFonts w:hint="eastAsia" w:ascii="仿宋" w:hAnsi="仿宋" w:eastAsia="仿宋" w:cs="仿宋"/>
          <w:bCs/>
          <w:color w:val="auto"/>
          <w:szCs w:val="21"/>
          <w:highlight w:val="none"/>
          <w:u w:val="single"/>
        </w:rPr>
      </w:pPr>
      <w:r>
        <w:rPr>
          <w:rFonts w:hint="eastAsia" w:ascii="仿宋" w:hAnsi="仿宋" w:eastAsia="仿宋" w:cs="仿宋"/>
          <w:bCs/>
          <w:color w:val="auto"/>
          <w:szCs w:val="21"/>
          <w:highlight w:val="none"/>
        </w:rPr>
        <w:t>（6）履约验收标准：</w:t>
      </w:r>
      <w:r>
        <w:rPr>
          <w:rFonts w:hint="eastAsia" w:ascii="仿宋" w:hAnsi="仿宋" w:eastAsia="仿宋" w:cs="仿宋"/>
          <w:bCs/>
          <w:color w:val="auto"/>
          <w:szCs w:val="21"/>
          <w:highlight w:val="none"/>
          <w:u w:val="single"/>
        </w:rPr>
        <w:t>符合国家有关安全技术标准。</w:t>
      </w:r>
    </w:p>
    <w:p w14:paraId="2A8C9DD4">
      <w:pPr>
        <w:pStyle w:val="11"/>
        <w:ind w:firstLine="420"/>
        <w:rPr>
          <w:rFonts w:hint="eastAsia" w:ascii="仿宋" w:hAnsi="仿宋" w:eastAsia="仿宋" w:cs="仿宋"/>
          <w:color w:val="auto"/>
          <w:sz w:val="21"/>
          <w:highlight w:val="none"/>
        </w:rPr>
      </w:pPr>
      <w:r>
        <w:rPr>
          <w:rFonts w:hint="eastAsia" w:ascii="仿宋" w:hAnsi="仿宋" w:eastAsia="仿宋" w:cs="仿宋"/>
          <w:bCs/>
          <w:color w:val="auto"/>
          <w:sz w:val="21"/>
          <w:highlight w:val="none"/>
        </w:rPr>
        <w:t>（7）是否以采购活动中供应商提供的样品作为参考：</w:t>
      </w:r>
      <w:r>
        <w:rPr>
          <w:rFonts w:hint="eastAsia" w:ascii="仿宋" w:hAnsi="仿宋" w:eastAsia="仿宋" w:cs="仿宋"/>
          <w:color w:val="auto"/>
          <w:sz w:val="21"/>
          <w:highlight w:val="none"/>
        </w:rPr>
        <w:sym w:font="Wingdings" w:char="00A8"/>
      </w:r>
      <w:r>
        <w:rPr>
          <w:rFonts w:hint="eastAsia" w:ascii="仿宋" w:hAnsi="仿宋" w:eastAsia="仿宋" w:cs="仿宋"/>
          <w:bCs/>
          <w:color w:val="auto"/>
          <w:sz w:val="21"/>
          <w:highlight w:val="none"/>
        </w:rPr>
        <w:t xml:space="preserve">是  </w:t>
      </w:r>
      <w:r>
        <w:rPr>
          <w:rFonts w:hint="eastAsia" w:ascii="仿宋" w:hAnsi="仿宋" w:eastAsia="仿宋" w:cs="仿宋"/>
          <w:color w:val="auto"/>
          <w:sz w:val="21"/>
          <w:highlight w:val="none"/>
        </w:rPr>
        <w:sym w:font="Wingdings" w:char="00FE"/>
      </w:r>
      <w:r>
        <w:rPr>
          <w:rFonts w:hint="eastAsia" w:ascii="仿宋" w:hAnsi="仿宋" w:eastAsia="仿宋" w:cs="仿宋"/>
          <w:bCs/>
          <w:color w:val="auto"/>
          <w:sz w:val="21"/>
          <w:highlight w:val="none"/>
        </w:rPr>
        <w:t>否</w:t>
      </w:r>
    </w:p>
    <w:p w14:paraId="02149FC8">
      <w:pPr>
        <w:adjustRightInd w:val="0"/>
        <w:snapToGrid w:val="0"/>
        <w:spacing w:line="400" w:lineRule="exact"/>
        <w:ind w:firstLine="480" w:firstLineChars="200"/>
        <w:rPr>
          <w:rFonts w:hint="eastAsia" w:ascii="仿宋" w:hAnsi="仿宋" w:eastAsia="仿宋" w:cs="仿宋"/>
          <w:bCs/>
          <w:color w:val="auto"/>
          <w:szCs w:val="21"/>
          <w:highlight w:val="none"/>
          <w:u w:val="single"/>
        </w:rPr>
      </w:pPr>
      <w:r>
        <w:rPr>
          <w:rFonts w:hint="eastAsia" w:ascii="仿宋" w:hAnsi="仿宋" w:eastAsia="仿宋" w:cs="仿宋"/>
          <w:bCs/>
          <w:color w:val="auto"/>
          <w:szCs w:val="21"/>
          <w:highlight w:val="none"/>
        </w:rPr>
        <w:t>（8）履约验收其他事项：</w:t>
      </w:r>
      <w:r>
        <w:rPr>
          <w:rFonts w:hint="eastAsia" w:ascii="仿宋" w:hAnsi="仿宋" w:eastAsia="仿宋" w:cs="仿宋"/>
          <w:bCs/>
          <w:color w:val="auto"/>
          <w:szCs w:val="21"/>
          <w:highlight w:val="none"/>
          <w:u w:val="single"/>
        </w:rPr>
        <w:t xml:space="preserve">/          </w:t>
      </w:r>
    </w:p>
    <w:p w14:paraId="38956DD6">
      <w:pPr>
        <w:numPr>
          <w:ilvl w:val="0"/>
          <w:numId w:val="1"/>
        </w:numPr>
        <w:adjustRightInd w:val="0"/>
        <w:snapToGrid w:val="0"/>
        <w:spacing w:line="400" w:lineRule="exact"/>
        <w:ind w:firstLine="48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组成合同的文件</w:t>
      </w:r>
    </w:p>
    <w:p w14:paraId="1974C776">
      <w:pPr>
        <w:adjustRightInd w:val="0"/>
        <w:snapToGrid w:val="0"/>
        <w:spacing w:line="400" w:lineRule="exact"/>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本协议书与下列文件一起构成合同文件，如下述文件之间有任何抵触、矛盾或歧义，应按以下顺序解释：</w:t>
      </w:r>
    </w:p>
    <w:p w14:paraId="5FA15346">
      <w:pPr>
        <w:adjustRightInd w:val="0"/>
        <w:snapToGrid w:val="0"/>
        <w:spacing w:line="400" w:lineRule="exact"/>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（1）政府采购合同协议书及其变更、补充协议</w:t>
      </w:r>
    </w:p>
    <w:p w14:paraId="48F86242">
      <w:pPr>
        <w:adjustRightInd w:val="0"/>
        <w:snapToGrid w:val="0"/>
        <w:spacing w:line="400" w:lineRule="exact"/>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（2）政府采购合同专用条款</w:t>
      </w:r>
    </w:p>
    <w:p w14:paraId="34BD3C60">
      <w:pPr>
        <w:adjustRightInd w:val="0"/>
        <w:snapToGrid w:val="0"/>
        <w:spacing w:line="400" w:lineRule="exact"/>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（3）政府采购合同通用条款</w:t>
      </w:r>
    </w:p>
    <w:p w14:paraId="76CFA7EF">
      <w:pPr>
        <w:adjustRightInd w:val="0"/>
        <w:snapToGrid w:val="0"/>
        <w:spacing w:line="400" w:lineRule="exact"/>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（4）中标（成交）通知书</w:t>
      </w:r>
    </w:p>
    <w:p w14:paraId="14466713">
      <w:pPr>
        <w:adjustRightInd w:val="0"/>
        <w:snapToGrid w:val="0"/>
        <w:spacing w:line="400" w:lineRule="exact"/>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（5）投标（响应）文件</w:t>
      </w:r>
    </w:p>
    <w:p w14:paraId="57712996">
      <w:pPr>
        <w:adjustRightInd w:val="0"/>
        <w:snapToGrid w:val="0"/>
        <w:spacing w:line="400" w:lineRule="exact"/>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（6）采购文件</w:t>
      </w:r>
    </w:p>
    <w:p w14:paraId="4DB05238">
      <w:pPr>
        <w:adjustRightInd w:val="0"/>
        <w:snapToGrid w:val="0"/>
        <w:spacing w:line="400" w:lineRule="exact"/>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（7）有关技术文件，图纸</w:t>
      </w:r>
    </w:p>
    <w:p w14:paraId="33FBADCC">
      <w:pPr>
        <w:pStyle w:val="11"/>
        <w:ind w:firstLine="420"/>
        <w:rPr>
          <w:rFonts w:hint="eastAsia" w:ascii="仿宋" w:hAnsi="仿宋" w:eastAsia="仿宋" w:cs="仿宋"/>
          <w:color w:val="auto"/>
          <w:kern w:val="2"/>
          <w:sz w:val="21"/>
          <w:highlight w:val="none"/>
        </w:rPr>
      </w:pPr>
      <w:r>
        <w:rPr>
          <w:rFonts w:hint="eastAsia" w:ascii="仿宋" w:hAnsi="仿宋" w:eastAsia="仿宋" w:cs="仿宋"/>
          <w:color w:val="auto"/>
          <w:sz w:val="21"/>
          <w:highlight w:val="none"/>
        </w:rPr>
        <w:t>（8）</w:t>
      </w:r>
      <w:r>
        <w:rPr>
          <w:rFonts w:hint="eastAsia" w:ascii="仿宋" w:hAnsi="仿宋" w:eastAsia="仿宋" w:cs="仿宋"/>
          <w:color w:val="auto"/>
          <w:kern w:val="2"/>
          <w:sz w:val="21"/>
          <w:highlight w:val="none"/>
        </w:rPr>
        <w:t>国家法律、行政法规和规章制度规定或合同约定的作为合同组成部分的其他文件</w:t>
      </w:r>
    </w:p>
    <w:p w14:paraId="3A28EE1F">
      <w:pPr>
        <w:numPr>
          <w:ilvl w:val="0"/>
          <w:numId w:val="1"/>
        </w:numPr>
        <w:adjustRightInd w:val="0"/>
        <w:snapToGrid w:val="0"/>
        <w:spacing w:line="400" w:lineRule="exact"/>
        <w:ind w:firstLine="48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合同生效</w:t>
      </w:r>
    </w:p>
    <w:p w14:paraId="063D0658">
      <w:pPr>
        <w:adjustRightInd w:val="0"/>
        <w:snapToGrid w:val="0"/>
        <w:spacing w:line="400" w:lineRule="exact"/>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本合同自</w:t>
      </w:r>
      <w:r>
        <w:rPr>
          <w:rFonts w:hint="eastAsia" w:ascii="仿宋" w:hAnsi="仿宋" w:eastAsia="仿宋" w:cs="仿宋"/>
          <w:color w:val="auto"/>
          <w:szCs w:val="21"/>
          <w:highlight w:val="none"/>
          <w:u w:val="single"/>
          <w:lang w:val="en-US" w:eastAsia="zh-CN"/>
        </w:rPr>
        <w:t>甲乙双方代表人签字并加盖公章之日起</w:t>
      </w:r>
      <w:r>
        <w:rPr>
          <w:rFonts w:hint="eastAsia" w:ascii="仿宋" w:hAnsi="仿宋" w:eastAsia="仿宋" w:cs="仿宋"/>
          <w:color w:val="auto"/>
          <w:szCs w:val="21"/>
          <w:highlight w:val="none"/>
        </w:rPr>
        <w:t>生效。</w:t>
      </w:r>
    </w:p>
    <w:p w14:paraId="749E6ABE">
      <w:pPr>
        <w:numPr>
          <w:ilvl w:val="0"/>
          <w:numId w:val="1"/>
        </w:numPr>
        <w:adjustRightInd w:val="0"/>
        <w:snapToGrid w:val="0"/>
        <w:spacing w:line="400" w:lineRule="exact"/>
        <w:ind w:firstLine="48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合同份数</w:t>
      </w:r>
    </w:p>
    <w:p w14:paraId="3A0DFCE6">
      <w:pPr>
        <w:adjustRightInd w:val="0"/>
        <w:snapToGrid w:val="0"/>
        <w:spacing w:line="400" w:lineRule="exact"/>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本合同一式</w:t>
      </w:r>
      <w:r>
        <w:rPr>
          <w:rFonts w:hint="eastAsia" w:ascii="仿宋" w:hAnsi="仿宋" w:eastAsia="仿宋" w:cs="仿宋"/>
          <w:color w:val="auto"/>
          <w:szCs w:val="21"/>
          <w:highlight w:val="none"/>
          <w:u w:val="single"/>
        </w:rPr>
        <w:t>肆</w:t>
      </w:r>
      <w:r>
        <w:rPr>
          <w:rFonts w:hint="eastAsia" w:ascii="仿宋" w:hAnsi="仿宋" w:eastAsia="仿宋" w:cs="仿宋"/>
          <w:color w:val="auto"/>
          <w:szCs w:val="21"/>
          <w:highlight w:val="none"/>
        </w:rPr>
        <w:t>份，甲方执</w:t>
      </w:r>
      <w:r>
        <w:rPr>
          <w:rFonts w:hint="eastAsia" w:ascii="仿宋" w:hAnsi="仿宋" w:eastAsia="仿宋" w:cs="仿宋"/>
          <w:color w:val="auto"/>
          <w:szCs w:val="21"/>
          <w:highlight w:val="none"/>
          <w:u w:val="single"/>
        </w:rPr>
        <w:t>叁</w:t>
      </w:r>
      <w:r>
        <w:rPr>
          <w:rFonts w:hint="eastAsia" w:ascii="仿宋" w:hAnsi="仿宋" w:eastAsia="仿宋" w:cs="仿宋"/>
          <w:color w:val="auto"/>
          <w:szCs w:val="21"/>
          <w:highlight w:val="none"/>
        </w:rPr>
        <w:t>份，乙方执</w:t>
      </w:r>
      <w:r>
        <w:rPr>
          <w:rFonts w:hint="eastAsia" w:ascii="仿宋" w:hAnsi="仿宋" w:eastAsia="仿宋" w:cs="仿宋"/>
          <w:color w:val="auto"/>
          <w:szCs w:val="21"/>
          <w:highlight w:val="none"/>
          <w:u w:val="single"/>
        </w:rPr>
        <w:t xml:space="preserve"> 壹 </w:t>
      </w:r>
      <w:r>
        <w:rPr>
          <w:rFonts w:hint="eastAsia" w:ascii="仿宋" w:hAnsi="仿宋" w:eastAsia="仿宋" w:cs="仿宋"/>
          <w:color w:val="auto"/>
          <w:szCs w:val="21"/>
          <w:highlight w:val="none"/>
        </w:rPr>
        <w:t>份，均具有同等法律效力，经甲乙双方法定代表人签字或盖章，并加盖公章后生效。</w:t>
      </w:r>
    </w:p>
    <w:p w14:paraId="7A602438">
      <w:pPr>
        <w:adjustRightInd w:val="0"/>
        <w:snapToGrid w:val="0"/>
        <w:spacing w:line="400" w:lineRule="exact"/>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合同订立时间：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1E319D0F">
      <w:pPr>
        <w:adjustRightInd w:val="0"/>
        <w:snapToGrid w:val="0"/>
        <w:spacing w:line="400" w:lineRule="exact"/>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合同订立地点：</w:t>
      </w:r>
      <w:r>
        <w:rPr>
          <w:rFonts w:hint="eastAsia" w:ascii="仿宋" w:hAnsi="仿宋" w:eastAsia="仿宋" w:cs="仿宋"/>
          <w:color w:val="auto"/>
          <w:szCs w:val="21"/>
          <w:highlight w:val="none"/>
          <w:u w:val="single"/>
        </w:rPr>
        <w:t xml:space="preserve"> 西安市  </w:t>
      </w:r>
    </w:p>
    <w:p w14:paraId="0E9D30CD">
      <w:pPr>
        <w:pStyle w:val="12"/>
        <w:spacing w:line="400" w:lineRule="exact"/>
        <w:rPr>
          <w:rFonts w:hint="eastAsia" w:ascii="仿宋" w:hAnsi="仿宋" w:eastAsia="仿宋" w:cs="仿宋"/>
          <w:color w:val="auto"/>
          <w:highlight w:val="none"/>
        </w:rPr>
      </w:pPr>
    </w:p>
    <w:p w14:paraId="4A14A068">
      <w:pPr>
        <w:rPr>
          <w:rFonts w:hint="eastAsia" w:ascii="仿宋" w:hAnsi="仿宋" w:eastAsia="仿宋" w:cs="仿宋"/>
          <w:color w:val="auto"/>
          <w:highlight w:val="none"/>
        </w:rPr>
      </w:pPr>
      <w:r>
        <w:rPr>
          <w:rFonts w:hint="eastAsia" w:ascii="仿宋" w:hAnsi="仿宋" w:eastAsia="仿宋" w:cs="仿宋"/>
          <w:color w:val="auto"/>
          <w:highlight w:val="none"/>
          <w:lang w:val="en"/>
        </w:rPr>
        <w:t xml:space="preserve">   </w:t>
      </w:r>
    </w:p>
    <w:p w14:paraId="7C71F377">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E01072C">
      <w:pPr>
        <w:pStyle w:val="12"/>
        <w:rPr>
          <w:rFonts w:hint="eastAsia" w:ascii="仿宋" w:hAnsi="仿宋" w:eastAsia="仿宋" w:cs="仿宋"/>
          <w:color w:val="auto"/>
          <w:highlight w:val="none"/>
        </w:rPr>
      </w:pP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795"/>
        <w:gridCol w:w="2328"/>
        <w:gridCol w:w="1887"/>
        <w:gridCol w:w="2512"/>
      </w:tblGrid>
      <w:tr w14:paraId="4B05315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087" w:hRule="atLeast"/>
        </w:trPr>
        <w:tc>
          <w:tcPr>
            <w:tcW w:w="2419" w:type="pct"/>
            <w:gridSpan w:val="2"/>
            <w:tcBorders>
              <w:bottom w:val="single" w:color="auto" w:sz="2" w:space="0"/>
              <w:right w:val="single" w:color="auto" w:sz="2" w:space="0"/>
            </w:tcBorders>
            <w:vAlign w:val="center"/>
          </w:tcPr>
          <w:p w14:paraId="5F721F69">
            <w:pPr>
              <w:adjustRightInd w:val="0"/>
              <w:snapToGrid w:val="0"/>
              <w:spacing w:line="300" w:lineRule="exact"/>
              <w:jc w:val="center"/>
              <w:rPr>
                <w:rFonts w:hint="eastAsia" w:ascii="仿宋" w:hAnsi="仿宋" w:eastAsia="仿宋" w:cs="仿宋"/>
                <w:color w:val="auto"/>
                <w:highlight w:val="none"/>
              </w:rPr>
            </w:pPr>
            <w:r>
              <w:rPr>
                <w:rFonts w:hint="eastAsia" w:ascii="仿宋" w:hAnsi="仿宋" w:eastAsia="仿宋" w:cs="仿宋"/>
                <w:color w:val="auto"/>
                <w:szCs w:val="21"/>
                <w:highlight w:val="none"/>
              </w:rPr>
              <w:t>甲方</w:t>
            </w:r>
          </w:p>
        </w:tc>
        <w:tc>
          <w:tcPr>
            <w:tcW w:w="2581" w:type="pct"/>
            <w:gridSpan w:val="2"/>
            <w:tcBorders>
              <w:left w:val="single" w:color="auto" w:sz="2" w:space="0"/>
              <w:bottom w:val="single" w:color="auto" w:sz="2" w:space="0"/>
            </w:tcBorders>
            <w:vAlign w:val="center"/>
          </w:tcPr>
          <w:p w14:paraId="23ADFFB6">
            <w:pPr>
              <w:adjustRightInd w:val="0"/>
              <w:snapToGrid w:val="0"/>
              <w:spacing w:line="300" w:lineRule="exact"/>
              <w:jc w:val="center"/>
              <w:rPr>
                <w:rFonts w:hint="eastAsia" w:ascii="仿宋" w:hAnsi="仿宋" w:eastAsia="仿宋" w:cs="仿宋"/>
                <w:color w:val="auto"/>
                <w:highlight w:val="none"/>
              </w:rPr>
            </w:pPr>
            <w:r>
              <w:rPr>
                <w:rFonts w:hint="eastAsia" w:ascii="仿宋" w:hAnsi="仿宋" w:eastAsia="仿宋" w:cs="仿宋"/>
                <w:color w:val="auto"/>
                <w:szCs w:val="21"/>
                <w:highlight w:val="none"/>
              </w:rPr>
              <w:t>乙方</w:t>
            </w:r>
          </w:p>
        </w:tc>
      </w:tr>
      <w:tr w14:paraId="233C7C9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82" w:hRule="atLeast"/>
        </w:trPr>
        <w:tc>
          <w:tcPr>
            <w:tcW w:w="1053" w:type="pct"/>
            <w:tcBorders>
              <w:top w:val="single" w:color="auto" w:sz="2" w:space="0"/>
              <w:bottom w:val="single" w:color="auto" w:sz="2" w:space="0"/>
              <w:right w:val="single" w:color="auto" w:sz="2" w:space="0"/>
            </w:tcBorders>
            <w:vAlign w:val="center"/>
          </w:tcPr>
          <w:p w14:paraId="296312A8">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单位名称（公章或合同章）</w:t>
            </w:r>
          </w:p>
        </w:tc>
        <w:tc>
          <w:tcPr>
            <w:tcW w:w="1366" w:type="pct"/>
            <w:tcBorders>
              <w:top w:val="single" w:color="auto" w:sz="2" w:space="0"/>
              <w:left w:val="single" w:color="auto" w:sz="2" w:space="0"/>
              <w:bottom w:val="single" w:color="auto" w:sz="2" w:space="0"/>
              <w:right w:val="single" w:color="auto" w:sz="2" w:space="0"/>
            </w:tcBorders>
            <w:vAlign w:val="center"/>
          </w:tcPr>
          <w:p w14:paraId="66DD62E8">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西北妇女儿童医院</w:t>
            </w:r>
          </w:p>
        </w:tc>
        <w:tc>
          <w:tcPr>
            <w:tcW w:w="1107" w:type="pct"/>
            <w:tcBorders>
              <w:top w:val="single" w:color="auto" w:sz="2" w:space="0"/>
              <w:left w:val="single" w:color="auto" w:sz="2" w:space="0"/>
              <w:bottom w:val="single" w:color="auto" w:sz="2" w:space="0"/>
              <w:right w:val="single" w:color="auto" w:sz="2" w:space="0"/>
            </w:tcBorders>
            <w:vAlign w:val="center"/>
          </w:tcPr>
          <w:p w14:paraId="0B90D319">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单位名称（公章或合同章）</w:t>
            </w:r>
          </w:p>
        </w:tc>
        <w:tc>
          <w:tcPr>
            <w:tcW w:w="1474" w:type="pct"/>
            <w:tcBorders>
              <w:top w:val="single" w:color="auto" w:sz="2" w:space="0"/>
              <w:left w:val="single" w:color="auto" w:sz="2" w:space="0"/>
              <w:bottom w:val="single" w:color="auto" w:sz="2" w:space="0"/>
            </w:tcBorders>
            <w:vAlign w:val="center"/>
          </w:tcPr>
          <w:p w14:paraId="7601B5B4">
            <w:pPr>
              <w:adjustRightInd w:val="0"/>
              <w:snapToGrid w:val="0"/>
              <w:spacing w:line="300" w:lineRule="exact"/>
              <w:jc w:val="center"/>
              <w:rPr>
                <w:rFonts w:hint="eastAsia" w:ascii="仿宋" w:hAnsi="仿宋" w:eastAsia="仿宋" w:cs="仿宋"/>
                <w:color w:val="auto"/>
                <w:spacing w:val="20"/>
                <w:szCs w:val="21"/>
                <w:highlight w:val="none"/>
                <w:lang w:eastAsia="zh-CN"/>
              </w:rPr>
            </w:pPr>
          </w:p>
        </w:tc>
      </w:tr>
      <w:tr w14:paraId="78A39B4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509" w:hRule="atLeast"/>
        </w:trPr>
        <w:tc>
          <w:tcPr>
            <w:tcW w:w="1053" w:type="pct"/>
            <w:vMerge w:val="restart"/>
            <w:tcBorders>
              <w:top w:val="single" w:color="auto" w:sz="2" w:space="0"/>
              <w:right w:val="single" w:color="auto" w:sz="2" w:space="0"/>
            </w:tcBorders>
            <w:vAlign w:val="center"/>
          </w:tcPr>
          <w:p w14:paraId="6F9FADA9">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w:t>
            </w:r>
          </w:p>
        </w:tc>
        <w:tc>
          <w:tcPr>
            <w:tcW w:w="1366" w:type="pct"/>
            <w:vMerge w:val="restart"/>
            <w:tcBorders>
              <w:top w:val="single" w:color="auto" w:sz="2" w:space="0"/>
              <w:left w:val="single" w:color="auto" w:sz="2" w:space="0"/>
              <w:right w:val="single" w:color="auto" w:sz="2" w:space="0"/>
            </w:tcBorders>
            <w:vAlign w:val="center"/>
          </w:tcPr>
          <w:p w14:paraId="1E8B1BD9">
            <w:pPr>
              <w:adjustRightInd w:val="0"/>
              <w:snapToGrid w:val="0"/>
              <w:spacing w:line="300" w:lineRule="exact"/>
              <w:jc w:val="center"/>
              <w:rPr>
                <w:rFonts w:hint="eastAsia" w:ascii="仿宋" w:hAnsi="仿宋" w:eastAsia="仿宋" w:cs="仿宋"/>
                <w:color w:val="auto"/>
                <w:szCs w:val="21"/>
                <w:highlight w:val="none"/>
              </w:rPr>
            </w:pPr>
          </w:p>
        </w:tc>
        <w:tc>
          <w:tcPr>
            <w:tcW w:w="1107" w:type="pct"/>
            <w:tcBorders>
              <w:top w:val="single" w:color="auto" w:sz="2" w:space="0"/>
              <w:left w:val="single" w:color="auto" w:sz="2" w:space="0"/>
              <w:right w:val="single" w:color="auto" w:sz="2" w:space="0"/>
            </w:tcBorders>
            <w:vAlign w:val="center"/>
          </w:tcPr>
          <w:p w14:paraId="57696641">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w:t>
            </w:r>
          </w:p>
        </w:tc>
        <w:tc>
          <w:tcPr>
            <w:tcW w:w="1474" w:type="pct"/>
            <w:tcBorders>
              <w:top w:val="single" w:color="auto" w:sz="2" w:space="0"/>
              <w:left w:val="single" w:color="auto" w:sz="2" w:space="0"/>
              <w:bottom w:val="single" w:color="auto" w:sz="2" w:space="0"/>
            </w:tcBorders>
            <w:vAlign w:val="center"/>
          </w:tcPr>
          <w:p w14:paraId="7F324EEF">
            <w:pPr>
              <w:adjustRightInd w:val="0"/>
              <w:snapToGrid w:val="0"/>
              <w:spacing w:line="300" w:lineRule="exact"/>
              <w:jc w:val="center"/>
              <w:rPr>
                <w:rFonts w:hint="eastAsia" w:ascii="仿宋" w:hAnsi="仿宋" w:eastAsia="仿宋" w:cs="仿宋"/>
                <w:color w:val="auto"/>
                <w:szCs w:val="21"/>
                <w:highlight w:val="none"/>
              </w:rPr>
            </w:pPr>
          </w:p>
        </w:tc>
      </w:tr>
      <w:tr w14:paraId="0DD768D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22" w:hRule="atLeast"/>
        </w:trPr>
        <w:tc>
          <w:tcPr>
            <w:tcW w:w="1053" w:type="pct"/>
            <w:vMerge w:val="continue"/>
            <w:tcBorders>
              <w:bottom w:val="single" w:color="auto" w:sz="2" w:space="0"/>
              <w:right w:val="single" w:color="auto" w:sz="2" w:space="0"/>
            </w:tcBorders>
            <w:vAlign w:val="center"/>
          </w:tcPr>
          <w:p w14:paraId="1AB61D13">
            <w:pPr>
              <w:adjustRightInd w:val="0"/>
              <w:snapToGrid w:val="0"/>
              <w:spacing w:line="300" w:lineRule="exact"/>
              <w:jc w:val="center"/>
              <w:rPr>
                <w:rFonts w:hint="eastAsia" w:ascii="仿宋" w:hAnsi="仿宋" w:eastAsia="仿宋" w:cs="仿宋"/>
                <w:color w:val="auto"/>
                <w:szCs w:val="21"/>
                <w:highlight w:val="none"/>
              </w:rPr>
            </w:pPr>
          </w:p>
        </w:tc>
        <w:tc>
          <w:tcPr>
            <w:tcW w:w="1366" w:type="pct"/>
            <w:vMerge w:val="continue"/>
            <w:tcBorders>
              <w:left w:val="single" w:color="auto" w:sz="2" w:space="0"/>
              <w:bottom w:val="single" w:color="auto" w:sz="2" w:space="0"/>
              <w:right w:val="single" w:color="auto" w:sz="2" w:space="0"/>
            </w:tcBorders>
            <w:vAlign w:val="center"/>
          </w:tcPr>
          <w:p w14:paraId="376925B8">
            <w:pPr>
              <w:adjustRightInd w:val="0"/>
              <w:snapToGrid w:val="0"/>
              <w:spacing w:line="300" w:lineRule="exact"/>
              <w:jc w:val="center"/>
              <w:rPr>
                <w:rFonts w:hint="eastAsia" w:ascii="仿宋" w:hAnsi="仿宋" w:eastAsia="仿宋" w:cs="仿宋"/>
                <w:color w:val="auto"/>
                <w:szCs w:val="21"/>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595AA72A">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拥有者性别</w:t>
            </w:r>
          </w:p>
        </w:tc>
        <w:tc>
          <w:tcPr>
            <w:tcW w:w="1474" w:type="pct"/>
            <w:tcBorders>
              <w:top w:val="single" w:color="auto" w:sz="2" w:space="0"/>
              <w:left w:val="single" w:color="auto" w:sz="2" w:space="0"/>
              <w:bottom w:val="single" w:color="auto" w:sz="2" w:space="0"/>
            </w:tcBorders>
            <w:vAlign w:val="center"/>
          </w:tcPr>
          <w:p w14:paraId="0898F97D">
            <w:pPr>
              <w:adjustRightInd w:val="0"/>
              <w:snapToGrid w:val="0"/>
              <w:spacing w:line="300" w:lineRule="exact"/>
              <w:jc w:val="center"/>
              <w:rPr>
                <w:rFonts w:hint="eastAsia" w:ascii="仿宋" w:hAnsi="仿宋" w:eastAsia="仿宋" w:cs="仿宋"/>
                <w:color w:val="auto"/>
                <w:spacing w:val="20"/>
                <w:szCs w:val="21"/>
                <w:highlight w:val="none"/>
              </w:rPr>
            </w:pPr>
          </w:p>
        </w:tc>
      </w:tr>
      <w:tr w14:paraId="7A9D9E2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299" w:hRule="atLeast"/>
        </w:trPr>
        <w:tc>
          <w:tcPr>
            <w:tcW w:w="1053" w:type="pct"/>
            <w:tcBorders>
              <w:top w:val="single" w:color="auto" w:sz="2" w:space="0"/>
              <w:bottom w:val="single" w:color="auto" w:sz="2" w:space="0"/>
              <w:right w:val="single" w:color="auto" w:sz="2" w:space="0"/>
            </w:tcBorders>
            <w:vAlign w:val="center"/>
          </w:tcPr>
          <w:p w14:paraId="0F57CCBD">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地  址</w:t>
            </w:r>
          </w:p>
        </w:tc>
        <w:tc>
          <w:tcPr>
            <w:tcW w:w="1366" w:type="pct"/>
            <w:tcBorders>
              <w:top w:val="single" w:color="auto" w:sz="2" w:space="0"/>
              <w:left w:val="single" w:color="auto" w:sz="2" w:space="0"/>
              <w:bottom w:val="single" w:color="auto" w:sz="2" w:space="0"/>
              <w:right w:val="single" w:color="auto" w:sz="2" w:space="0"/>
            </w:tcBorders>
            <w:vAlign w:val="center"/>
          </w:tcPr>
          <w:p w14:paraId="7567C9F2">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西安市雁翔路1616号</w:t>
            </w:r>
          </w:p>
        </w:tc>
        <w:tc>
          <w:tcPr>
            <w:tcW w:w="1107" w:type="pct"/>
            <w:tcBorders>
              <w:top w:val="single" w:color="auto" w:sz="2" w:space="0"/>
              <w:left w:val="single" w:color="auto" w:sz="2" w:space="0"/>
              <w:bottom w:val="single" w:color="auto" w:sz="2" w:space="0"/>
              <w:right w:val="single" w:color="auto" w:sz="2" w:space="0"/>
            </w:tcBorders>
            <w:vAlign w:val="center"/>
          </w:tcPr>
          <w:p w14:paraId="7067B2F7">
            <w:pPr>
              <w:adjustRightInd w:val="0"/>
              <w:snapToGrid w:val="0"/>
              <w:spacing w:line="300" w:lineRule="exact"/>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地  址</w:t>
            </w:r>
          </w:p>
        </w:tc>
        <w:tc>
          <w:tcPr>
            <w:tcW w:w="1474" w:type="pct"/>
            <w:tcBorders>
              <w:top w:val="single" w:color="auto" w:sz="2" w:space="0"/>
              <w:left w:val="single" w:color="auto" w:sz="2" w:space="0"/>
              <w:bottom w:val="single" w:color="auto" w:sz="2" w:space="0"/>
            </w:tcBorders>
            <w:vAlign w:val="center"/>
          </w:tcPr>
          <w:p w14:paraId="4E8A8311">
            <w:pPr>
              <w:adjustRightInd w:val="0"/>
              <w:snapToGrid w:val="0"/>
              <w:spacing w:line="300" w:lineRule="exact"/>
              <w:jc w:val="center"/>
              <w:rPr>
                <w:rFonts w:hint="eastAsia" w:ascii="仿宋" w:hAnsi="仿宋" w:eastAsia="仿宋" w:cs="仿宋"/>
                <w:color w:val="auto"/>
                <w:spacing w:val="20"/>
                <w:szCs w:val="21"/>
                <w:highlight w:val="none"/>
              </w:rPr>
            </w:pPr>
          </w:p>
        </w:tc>
      </w:tr>
      <w:tr w14:paraId="71599F9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073" w:hRule="atLeast"/>
        </w:trPr>
        <w:tc>
          <w:tcPr>
            <w:tcW w:w="1053" w:type="pct"/>
            <w:tcBorders>
              <w:top w:val="single" w:color="auto" w:sz="2" w:space="0"/>
              <w:bottom w:val="single" w:color="auto" w:sz="2" w:space="0"/>
              <w:right w:val="single" w:color="auto" w:sz="2" w:space="0"/>
            </w:tcBorders>
            <w:vAlign w:val="center"/>
          </w:tcPr>
          <w:p w14:paraId="0D36410C">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 系 人</w:t>
            </w:r>
          </w:p>
        </w:tc>
        <w:tc>
          <w:tcPr>
            <w:tcW w:w="1366" w:type="pct"/>
            <w:tcBorders>
              <w:top w:val="single" w:color="auto" w:sz="2" w:space="0"/>
              <w:left w:val="single" w:color="auto" w:sz="2" w:space="0"/>
              <w:bottom w:val="single" w:color="auto" w:sz="2" w:space="0"/>
              <w:right w:val="single" w:color="auto" w:sz="2" w:space="0"/>
            </w:tcBorders>
            <w:vAlign w:val="center"/>
          </w:tcPr>
          <w:p w14:paraId="6133143F">
            <w:pPr>
              <w:adjustRightInd w:val="0"/>
              <w:snapToGrid w:val="0"/>
              <w:spacing w:line="300" w:lineRule="exact"/>
              <w:jc w:val="center"/>
              <w:rPr>
                <w:rFonts w:hint="eastAsia" w:ascii="仿宋" w:hAnsi="仿宋" w:eastAsia="仿宋" w:cs="仿宋"/>
                <w:color w:val="auto"/>
                <w:szCs w:val="21"/>
                <w:highlight w:val="none"/>
                <w:lang w:eastAsia="zh-CN"/>
              </w:rPr>
            </w:pPr>
          </w:p>
        </w:tc>
        <w:tc>
          <w:tcPr>
            <w:tcW w:w="1107" w:type="pct"/>
            <w:tcBorders>
              <w:top w:val="single" w:color="auto" w:sz="2" w:space="0"/>
              <w:left w:val="single" w:color="auto" w:sz="2" w:space="0"/>
              <w:bottom w:val="single" w:color="auto" w:sz="2" w:space="0"/>
              <w:right w:val="single" w:color="auto" w:sz="2" w:space="0"/>
            </w:tcBorders>
            <w:vAlign w:val="center"/>
          </w:tcPr>
          <w:p w14:paraId="3B2F110F">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 系 人</w:t>
            </w:r>
          </w:p>
        </w:tc>
        <w:tc>
          <w:tcPr>
            <w:tcW w:w="1474" w:type="pct"/>
            <w:tcBorders>
              <w:top w:val="single" w:color="auto" w:sz="2" w:space="0"/>
              <w:left w:val="single" w:color="auto" w:sz="2" w:space="0"/>
              <w:bottom w:val="single" w:color="auto" w:sz="2" w:space="0"/>
            </w:tcBorders>
            <w:vAlign w:val="center"/>
          </w:tcPr>
          <w:p w14:paraId="1C10BBD3">
            <w:pPr>
              <w:adjustRightInd w:val="0"/>
              <w:snapToGrid w:val="0"/>
              <w:spacing w:line="300" w:lineRule="exact"/>
              <w:jc w:val="center"/>
              <w:rPr>
                <w:rFonts w:hint="eastAsia" w:ascii="仿宋" w:hAnsi="仿宋" w:eastAsia="仿宋" w:cs="仿宋"/>
                <w:color w:val="auto"/>
                <w:spacing w:val="20"/>
                <w:szCs w:val="21"/>
                <w:highlight w:val="none"/>
              </w:rPr>
            </w:pPr>
          </w:p>
        </w:tc>
      </w:tr>
      <w:tr w14:paraId="631C93D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47" w:hRule="atLeast"/>
        </w:trPr>
        <w:tc>
          <w:tcPr>
            <w:tcW w:w="1053" w:type="pct"/>
            <w:tcBorders>
              <w:top w:val="single" w:color="auto" w:sz="2" w:space="0"/>
              <w:bottom w:val="single" w:color="auto" w:sz="2" w:space="0"/>
              <w:right w:val="single" w:color="auto" w:sz="2" w:space="0"/>
            </w:tcBorders>
            <w:vAlign w:val="center"/>
          </w:tcPr>
          <w:p w14:paraId="346D8907">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联系电话</w:t>
            </w:r>
          </w:p>
        </w:tc>
        <w:tc>
          <w:tcPr>
            <w:tcW w:w="1366" w:type="pct"/>
            <w:tcBorders>
              <w:top w:val="single" w:color="auto" w:sz="2" w:space="0"/>
              <w:left w:val="single" w:color="auto" w:sz="2" w:space="0"/>
              <w:bottom w:val="single" w:color="auto" w:sz="2" w:space="0"/>
              <w:right w:val="single" w:color="auto" w:sz="2" w:space="0"/>
            </w:tcBorders>
            <w:vAlign w:val="center"/>
          </w:tcPr>
          <w:p w14:paraId="5EF94240">
            <w:pPr>
              <w:adjustRightInd w:val="0"/>
              <w:snapToGrid w:val="0"/>
              <w:spacing w:line="300" w:lineRule="exact"/>
              <w:jc w:val="center"/>
              <w:rPr>
                <w:rFonts w:hint="eastAsia" w:ascii="仿宋" w:hAnsi="仿宋" w:eastAsia="仿宋" w:cs="仿宋"/>
                <w:color w:val="auto"/>
                <w:szCs w:val="21"/>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398C1D6A">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联系电话</w:t>
            </w:r>
          </w:p>
        </w:tc>
        <w:tc>
          <w:tcPr>
            <w:tcW w:w="1474" w:type="pct"/>
            <w:tcBorders>
              <w:top w:val="single" w:color="auto" w:sz="2" w:space="0"/>
              <w:left w:val="single" w:color="auto" w:sz="2" w:space="0"/>
              <w:bottom w:val="single" w:color="auto" w:sz="2" w:space="0"/>
            </w:tcBorders>
            <w:vAlign w:val="center"/>
          </w:tcPr>
          <w:p w14:paraId="1127E721">
            <w:pPr>
              <w:adjustRightInd w:val="0"/>
              <w:snapToGrid w:val="0"/>
              <w:spacing w:line="300" w:lineRule="exact"/>
              <w:jc w:val="center"/>
              <w:rPr>
                <w:rFonts w:hint="eastAsia" w:ascii="仿宋" w:hAnsi="仿宋" w:eastAsia="仿宋" w:cs="仿宋"/>
                <w:color w:val="auto"/>
                <w:spacing w:val="20"/>
                <w:szCs w:val="21"/>
                <w:highlight w:val="none"/>
              </w:rPr>
            </w:pPr>
          </w:p>
        </w:tc>
      </w:tr>
      <w:tr w14:paraId="41B404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847" w:hRule="atLeast"/>
        </w:trPr>
        <w:tc>
          <w:tcPr>
            <w:tcW w:w="1053" w:type="pct"/>
            <w:tcBorders>
              <w:top w:val="single" w:color="auto" w:sz="2" w:space="0"/>
              <w:bottom w:val="single" w:color="auto" w:sz="2" w:space="0"/>
              <w:right w:val="single" w:color="auto" w:sz="2" w:space="0"/>
            </w:tcBorders>
            <w:vAlign w:val="center"/>
          </w:tcPr>
          <w:p w14:paraId="5D870FAE">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统一社会信用代码</w:t>
            </w:r>
          </w:p>
        </w:tc>
        <w:tc>
          <w:tcPr>
            <w:tcW w:w="1366" w:type="pct"/>
            <w:tcBorders>
              <w:top w:val="single" w:color="auto" w:sz="2" w:space="0"/>
              <w:left w:val="single" w:color="auto" w:sz="2" w:space="0"/>
              <w:bottom w:val="single" w:color="auto" w:sz="2" w:space="0"/>
              <w:right w:val="single" w:color="auto" w:sz="2" w:space="0"/>
            </w:tcBorders>
            <w:vAlign w:val="center"/>
          </w:tcPr>
          <w:p w14:paraId="48CD14B3">
            <w:pPr>
              <w:adjustRightInd w:val="0"/>
              <w:snapToGrid w:val="0"/>
              <w:spacing w:line="300" w:lineRule="exact"/>
              <w:jc w:val="center"/>
              <w:rPr>
                <w:rFonts w:hint="eastAsia" w:ascii="仿宋" w:hAnsi="仿宋" w:eastAsia="仿宋" w:cs="仿宋"/>
                <w:color w:val="auto"/>
                <w:szCs w:val="21"/>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51C84C38">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统一社会信用代码</w:t>
            </w:r>
          </w:p>
        </w:tc>
        <w:tc>
          <w:tcPr>
            <w:tcW w:w="1474" w:type="pct"/>
            <w:tcBorders>
              <w:top w:val="single" w:color="auto" w:sz="2" w:space="0"/>
              <w:left w:val="single" w:color="auto" w:sz="2" w:space="0"/>
              <w:bottom w:val="single" w:color="auto" w:sz="2" w:space="0"/>
            </w:tcBorders>
            <w:vAlign w:val="center"/>
          </w:tcPr>
          <w:p w14:paraId="1419207B">
            <w:pPr>
              <w:adjustRightInd w:val="0"/>
              <w:snapToGrid w:val="0"/>
              <w:spacing w:line="300" w:lineRule="exact"/>
              <w:jc w:val="center"/>
              <w:rPr>
                <w:rFonts w:hint="eastAsia" w:ascii="仿宋" w:hAnsi="仿宋" w:eastAsia="仿宋" w:cs="仿宋"/>
                <w:color w:val="auto"/>
                <w:spacing w:val="20"/>
                <w:szCs w:val="21"/>
                <w:highlight w:val="none"/>
              </w:rPr>
            </w:pPr>
          </w:p>
        </w:tc>
      </w:tr>
      <w:tr w14:paraId="6896F47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87" w:hRule="atLeast"/>
        </w:trPr>
        <w:tc>
          <w:tcPr>
            <w:tcW w:w="1053" w:type="pct"/>
            <w:tcBorders>
              <w:top w:val="single" w:color="auto" w:sz="2" w:space="0"/>
              <w:bottom w:val="single" w:color="auto" w:sz="2" w:space="0"/>
              <w:right w:val="single" w:color="auto" w:sz="2" w:space="0"/>
            </w:tcBorders>
            <w:vAlign w:val="center"/>
          </w:tcPr>
          <w:p w14:paraId="2F94B9E2">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开户名称</w:t>
            </w:r>
          </w:p>
        </w:tc>
        <w:tc>
          <w:tcPr>
            <w:tcW w:w="1366" w:type="pct"/>
            <w:tcBorders>
              <w:top w:val="single" w:color="auto" w:sz="2" w:space="0"/>
              <w:left w:val="single" w:color="auto" w:sz="2" w:space="0"/>
              <w:bottom w:val="single" w:color="auto" w:sz="2" w:space="0"/>
              <w:right w:val="single" w:color="auto" w:sz="2" w:space="0"/>
            </w:tcBorders>
            <w:vAlign w:val="center"/>
          </w:tcPr>
          <w:p w14:paraId="4AEAE621">
            <w:pPr>
              <w:adjustRightInd w:val="0"/>
              <w:snapToGrid w:val="0"/>
              <w:spacing w:line="300" w:lineRule="exact"/>
              <w:jc w:val="center"/>
              <w:rPr>
                <w:rFonts w:hint="eastAsia" w:ascii="仿宋" w:hAnsi="仿宋" w:eastAsia="仿宋" w:cs="仿宋"/>
                <w:color w:val="auto"/>
                <w:szCs w:val="21"/>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1728F3B1">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开户名称</w:t>
            </w:r>
          </w:p>
        </w:tc>
        <w:tc>
          <w:tcPr>
            <w:tcW w:w="1474" w:type="pct"/>
            <w:tcBorders>
              <w:top w:val="single" w:color="auto" w:sz="2" w:space="0"/>
              <w:left w:val="single" w:color="auto" w:sz="2" w:space="0"/>
              <w:bottom w:val="single" w:color="auto" w:sz="2" w:space="0"/>
            </w:tcBorders>
            <w:vAlign w:val="center"/>
          </w:tcPr>
          <w:p w14:paraId="5C7ADF2B">
            <w:pPr>
              <w:adjustRightInd w:val="0"/>
              <w:snapToGrid w:val="0"/>
              <w:spacing w:line="300" w:lineRule="exact"/>
              <w:jc w:val="center"/>
              <w:rPr>
                <w:rFonts w:hint="eastAsia" w:ascii="仿宋" w:hAnsi="仿宋" w:eastAsia="仿宋" w:cs="仿宋"/>
                <w:color w:val="auto"/>
                <w:spacing w:val="20"/>
                <w:szCs w:val="21"/>
                <w:highlight w:val="none"/>
                <w:lang w:eastAsia="zh-CN"/>
              </w:rPr>
            </w:pPr>
          </w:p>
        </w:tc>
      </w:tr>
      <w:tr w14:paraId="647A353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86" w:hRule="atLeast"/>
        </w:trPr>
        <w:tc>
          <w:tcPr>
            <w:tcW w:w="1053" w:type="pct"/>
            <w:tcBorders>
              <w:top w:val="single" w:color="auto" w:sz="2" w:space="0"/>
              <w:bottom w:val="single" w:color="auto" w:sz="2" w:space="0"/>
              <w:right w:val="single" w:color="auto" w:sz="2" w:space="0"/>
            </w:tcBorders>
            <w:vAlign w:val="center"/>
          </w:tcPr>
          <w:p w14:paraId="6DAEEA1F">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开户银行</w:t>
            </w:r>
          </w:p>
        </w:tc>
        <w:tc>
          <w:tcPr>
            <w:tcW w:w="1366" w:type="pct"/>
            <w:tcBorders>
              <w:top w:val="single" w:color="auto" w:sz="2" w:space="0"/>
              <w:left w:val="single" w:color="auto" w:sz="2" w:space="0"/>
              <w:bottom w:val="single" w:color="auto" w:sz="2" w:space="0"/>
              <w:right w:val="single" w:color="auto" w:sz="2" w:space="0"/>
            </w:tcBorders>
            <w:vAlign w:val="center"/>
          </w:tcPr>
          <w:p w14:paraId="6B8517E3">
            <w:pPr>
              <w:adjustRightInd w:val="0"/>
              <w:snapToGrid w:val="0"/>
              <w:spacing w:line="300" w:lineRule="exact"/>
              <w:jc w:val="center"/>
              <w:rPr>
                <w:rFonts w:hint="eastAsia" w:ascii="仿宋" w:hAnsi="仿宋" w:eastAsia="仿宋" w:cs="仿宋"/>
                <w:color w:val="auto"/>
                <w:szCs w:val="21"/>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15B90319">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开户银行</w:t>
            </w:r>
          </w:p>
        </w:tc>
        <w:tc>
          <w:tcPr>
            <w:tcW w:w="1474" w:type="pct"/>
            <w:tcBorders>
              <w:top w:val="single" w:color="auto" w:sz="2" w:space="0"/>
              <w:left w:val="single" w:color="auto" w:sz="2" w:space="0"/>
              <w:bottom w:val="single" w:color="auto" w:sz="2" w:space="0"/>
            </w:tcBorders>
            <w:vAlign w:val="center"/>
          </w:tcPr>
          <w:p w14:paraId="0FA9F9D0">
            <w:pPr>
              <w:adjustRightInd w:val="0"/>
              <w:snapToGrid w:val="0"/>
              <w:spacing w:line="300" w:lineRule="exact"/>
              <w:jc w:val="center"/>
              <w:rPr>
                <w:rFonts w:hint="eastAsia" w:ascii="仿宋" w:hAnsi="仿宋" w:eastAsia="仿宋" w:cs="仿宋"/>
                <w:color w:val="auto"/>
                <w:spacing w:val="20"/>
                <w:szCs w:val="21"/>
                <w:highlight w:val="none"/>
              </w:rPr>
            </w:pPr>
          </w:p>
        </w:tc>
      </w:tr>
      <w:tr w14:paraId="4A42468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86" w:hRule="atLeast"/>
        </w:trPr>
        <w:tc>
          <w:tcPr>
            <w:tcW w:w="1053" w:type="pct"/>
            <w:tcBorders>
              <w:top w:val="single" w:color="auto" w:sz="2" w:space="0"/>
              <w:bottom w:val="single" w:color="auto" w:sz="2" w:space="0"/>
              <w:right w:val="single" w:color="auto" w:sz="2" w:space="0"/>
            </w:tcBorders>
            <w:vAlign w:val="center"/>
          </w:tcPr>
          <w:p w14:paraId="793705C4">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银行账号</w:t>
            </w:r>
          </w:p>
        </w:tc>
        <w:tc>
          <w:tcPr>
            <w:tcW w:w="1366" w:type="pct"/>
            <w:tcBorders>
              <w:top w:val="single" w:color="auto" w:sz="2" w:space="0"/>
              <w:left w:val="single" w:color="auto" w:sz="2" w:space="0"/>
              <w:bottom w:val="single" w:color="auto" w:sz="2" w:space="0"/>
              <w:right w:val="single" w:color="auto" w:sz="2" w:space="0"/>
            </w:tcBorders>
            <w:vAlign w:val="center"/>
          </w:tcPr>
          <w:p w14:paraId="3B3817D0">
            <w:pPr>
              <w:adjustRightInd w:val="0"/>
              <w:snapToGrid w:val="0"/>
              <w:spacing w:line="300" w:lineRule="exact"/>
              <w:jc w:val="center"/>
              <w:rPr>
                <w:rFonts w:hint="eastAsia" w:ascii="仿宋" w:hAnsi="仿宋" w:eastAsia="仿宋" w:cs="仿宋"/>
                <w:color w:val="auto"/>
                <w:szCs w:val="21"/>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088AC85F">
            <w:pPr>
              <w:adjustRightInd w:val="0"/>
              <w:snapToGrid w:val="0"/>
              <w:spacing w:line="30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银行账号</w:t>
            </w:r>
          </w:p>
        </w:tc>
        <w:tc>
          <w:tcPr>
            <w:tcW w:w="1474" w:type="pct"/>
            <w:tcBorders>
              <w:top w:val="single" w:color="auto" w:sz="2" w:space="0"/>
              <w:left w:val="single" w:color="auto" w:sz="2" w:space="0"/>
              <w:bottom w:val="single" w:color="auto" w:sz="2" w:space="0"/>
            </w:tcBorders>
            <w:vAlign w:val="center"/>
          </w:tcPr>
          <w:p w14:paraId="3BCC0E2D">
            <w:pPr>
              <w:adjustRightInd w:val="0"/>
              <w:snapToGrid w:val="0"/>
              <w:spacing w:line="300" w:lineRule="exact"/>
              <w:jc w:val="center"/>
              <w:rPr>
                <w:rFonts w:hint="eastAsia" w:ascii="仿宋" w:hAnsi="仿宋" w:eastAsia="仿宋" w:cs="仿宋"/>
                <w:color w:val="auto"/>
                <w:spacing w:val="20"/>
                <w:szCs w:val="21"/>
                <w:highlight w:val="none"/>
              </w:rPr>
            </w:pPr>
          </w:p>
        </w:tc>
      </w:tr>
    </w:tbl>
    <w:p w14:paraId="54717BD6">
      <w:pPr>
        <w:pStyle w:val="2"/>
        <w:keepNext/>
        <w:keepLines/>
        <w:pageBreakBefore w:val="0"/>
        <w:widowControl w:val="0"/>
        <w:kinsoku/>
        <w:wordWrap/>
        <w:overflowPunct/>
        <w:topLinePunct w:val="0"/>
        <w:autoSpaceDE/>
        <w:autoSpaceDN/>
        <w:bidi w:val="0"/>
        <w:adjustRightInd w:val="0"/>
        <w:snapToGrid w:val="0"/>
        <w:spacing w:before="120" w:beforeLines="0" w:after="120" w:line="360" w:lineRule="auto"/>
        <w:jc w:val="center"/>
        <w:textAlignment w:val="auto"/>
        <w:outlineLvl w:val="2"/>
        <w:rPr>
          <w:rFonts w:hint="eastAsia" w:ascii="仿宋" w:hAnsi="仿宋" w:eastAsia="仿宋" w:cs="仿宋"/>
          <w:color w:val="auto"/>
          <w:szCs w:val="28"/>
          <w:highlight w:val="none"/>
        </w:rPr>
      </w:pPr>
      <w:r>
        <w:rPr>
          <w:rFonts w:hint="eastAsia" w:ascii="仿宋" w:hAnsi="仿宋" w:eastAsia="仿宋" w:cs="仿宋"/>
          <w:color w:val="auto"/>
          <w:sz w:val="21"/>
          <w:szCs w:val="21"/>
          <w:highlight w:val="none"/>
          <w:u w:val="single"/>
        </w:rPr>
        <w:br w:type="page"/>
      </w:r>
      <w:bookmarkStart w:id="2" w:name="_Toc27624"/>
      <w:r>
        <w:rPr>
          <w:rFonts w:hint="eastAsia" w:ascii="仿宋" w:hAnsi="仿宋" w:eastAsia="仿宋" w:cs="仿宋"/>
          <w:b/>
          <w:bCs/>
          <w:color w:val="auto"/>
          <w:szCs w:val="28"/>
          <w:highlight w:val="none"/>
        </w:rPr>
        <w:t>第二节 政府采购合同通用条款</w:t>
      </w:r>
      <w:bookmarkEnd w:id="2"/>
    </w:p>
    <w:p w14:paraId="3533B57B">
      <w:pPr>
        <w:tabs>
          <w:tab w:val="left" w:pos="8820"/>
          <w:tab w:val="left" w:pos="9345"/>
          <w:tab w:val="left" w:pos="9765"/>
        </w:tabs>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color w:val="auto"/>
          <w:sz w:val="24"/>
          <w:highlight w:val="none"/>
        </w:rPr>
        <w:t xml:space="preserve">1. </w:t>
      </w:r>
      <w:r>
        <w:rPr>
          <w:rFonts w:hint="eastAsia" w:ascii="仿宋" w:hAnsi="仿宋" w:eastAsia="仿宋" w:cs="仿宋"/>
          <w:b/>
          <w:bCs/>
          <w:color w:val="auto"/>
          <w:sz w:val="24"/>
          <w:highlight w:val="none"/>
        </w:rPr>
        <w:t>定义</w:t>
      </w:r>
    </w:p>
    <w:p w14:paraId="095AB300">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1.1合同当事人</w:t>
      </w:r>
    </w:p>
    <w:p w14:paraId="3CA71F01">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（1）采购人（以下称甲方）是指使用财政性资金，通过政府采购方式向供应商购买货物及其相关服务的国家机关、事业单位、团体组织。</w:t>
      </w:r>
    </w:p>
    <w:p w14:paraId="3D3FA402">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（2）供应商（以下称乙方）是指参加政府采购活动并且中标（成交），向采购人提供合同约定的货物及其相关服务的法人、非法人组织或者自然人。</w:t>
      </w:r>
    </w:p>
    <w:p w14:paraId="6432953F">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（3）其他合同主体是指除采购人和供应商以外，</w:t>
      </w:r>
      <w:r>
        <w:rPr>
          <w:rFonts w:hint="eastAsia" w:ascii="仿宋" w:hAnsi="仿宋" w:eastAsia="仿宋" w:cs="仿宋"/>
          <w:bCs/>
          <w:color w:val="auto"/>
          <w:szCs w:val="21"/>
          <w:highlight w:val="none"/>
        </w:rPr>
        <w:t>依法参与合同缔结或履行，享有权利、承担义务的合同当事人</w:t>
      </w:r>
      <w:r>
        <w:rPr>
          <w:rFonts w:hint="eastAsia" w:ascii="仿宋" w:hAnsi="仿宋" w:eastAsia="仿宋" w:cs="仿宋"/>
          <w:color w:val="auto"/>
          <w:szCs w:val="21"/>
          <w:highlight w:val="none"/>
        </w:rPr>
        <w:t>。</w:t>
      </w:r>
    </w:p>
    <w:p w14:paraId="2B46300F">
      <w:pPr>
        <w:tabs>
          <w:tab w:val="left" w:pos="570"/>
          <w:tab w:val="left" w:pos="9240"/>
          <w:tab w:val="left" w:pos="9555"/>
        </w:tabs>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1.2本合同下列术语应解释为：</w:t>
      </w:r>
    </w:p>
    <w:p w14:paraId="2CEFA63A">
      <w:pPr>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（1）“合同”系指</w:t>
      </w:r>
      <w:r>
        <w:rPr>
          <w:rFonts w:hint="eastAsia" w:ascii="仿宋" w:hAnsi="仿宋" w:eastAsia="仿宋" w:cs="仿宋"/>
          <w:bCs/>
          <w:color w:val="auto"/>
          <w:szCs w:val="21"/>
          <w:highlight w:val="none"/>
        </w:rPr>
        <w:t>合同当事人意思表示达成一致的任何协议，包括签署的</w:t>
      </w:r>
      <w:r>
        <w:rPr>
          <w:rFonts w:hint="eastAsia" w:ascii="仿宋" w:hAnsi="仿宋" w:eastAsia="仿宋" w:cs="仿宋"/>
          <w:color w:val="auto"/>
          <w:szCs w:val="21"/>
          <w:highlight w:val="none"/>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55CCFB66">
      <w:pPr>
        <w:tabs>
          <w:tab w:val="left" w:pos="570"/>
          <w:tab w:val="left" w:pos="9240"/>
          <w:tab w:val="left" w:pos="9555"/>
        </w:tabs>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（2）“合同价款”系指根据本合同规定乙方在全面履行合同义务后甲方应支付给乙方的价款。</w:t>
      </w:r>
    </w:p>
    <w:p w14:paraId="6CB45D31">
      <w:pPr>
        <w:tabs>
          <w:tab w:val="left" w:pos="570"/>
          <w:tab w:val="left" w:pos="9240"/>
          <w:tab w:val="left" w:pos="9555"/>
        </w:tabs>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（3）“货物”系指乙方根据本合同规定须向甲方提供的各种形态和种类的物品，包括原材料、设备、产品（包括软件）及相关的其备品备件、工具、手册及</w:t>
      </w:r>
      <w:r>
        <w:rPr>
          <w:rFonts w:hint="eastAsia" w:ascii="仿宋" w:hAnsi="仿宋" w:eastAsia="仿宋" w:cs="仿宋"/>
          <w:color w:val="auto"/>
          <w:szCs w:val="21"/>
          <w:highlight w:val="none"/>
          <w:lang w:val="en"/>
        </w:rPr>
        <w:t>其他</w:t>
      </w:r>
      <w:r>
        <w:rPr>
          <w:rFonts w:hint="eastAsia" w:ascii="仿宋" w:hAnsi="仿宋" w:eastAsia="仿宋" w:cs="仿宋"/>
          <w:color w:val="auto"/>
          <w:szCs w:val="21"/>
          <w:highlight w:val="none"/>
        </w:rPr>
        <w:t>技术资料和材料等。</w:t>
      </w:r>
    </w:p>
    <w:p w14:paraId="1394A1AB">
      <w:pPr>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（4）“相关服务”系指根据合同规定，乙方应提供的与货物有关的技术、管理和</w:t>
      </w:r>
      <w:r>
        <w:rPr>
          <w:rFonts w:hint="eastAsia" w:ascii="仿宋" w:hAnsi="仿宋" w:eastAsia="仿宋" w:cs="仿宋"/>
          <w:color w:val="auto"/>
          <w:szCs w:val="21"/>
          <w:highlight w:val="none"/>
          <w:lang w:val="en"/>
        </w:rPr>
        <w:t>其他</w:t>
      </w:r>
      <w:r>
        <w:rPr>
          <w:rFonts w:hint="eastAsia" w:ascii="仿宋" w:hAnsi="仿宋" w:eastAsia="仿宋" w:cs="仿宋"/>
          <w:color w:val="auto"/>
          <w:szCs w:val="21"/>
          <w:highlight w:val="none"/>
        </w:rPr>
        <w:t>服务，包括但不限于：管理和质量保证、运输、保险、检验、现场准备、安装、集成、调试、培训、维修、废弃处置、技术支持等以及合同中规定乙方应承担的</w:t>
      </w:r>
      <w:r>
        <w:rPr>
          <w:rFonts w:hint="eastAsia" w:ascii="仿宋" w:hAnsi="仿宋" w:eastAsia="仿宋" w:cs="仿宋"/>
          <w:color w:val="auto"/>
          <w:szCs w:val="21"/>
          <w:highlight w:val="none"/>
          <w:lang w:val="en"/>
        </w:rPr>
        <w:t>其他</w:t>
      </w:r>
      <w:r>
        <w:rPr>
          <w:rFonts w:hint="eastAsia" w:ascii="仿宋" w:hAnsi="仿宋" w:eastAsia="仿宋" w:cs="仿宋"/>
          <w:color w:val="auto"/>
          <w:szCs w:val="21"/>
          <w:highlight w:val="none"/>
        </w:rPr>
        <w:t>义务。</w:t>
      </w:r>
    </w:p>
    <w:p w14:paraId="1D57DDAF">
      <w:pPr>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（5）“分包”系指中标（成交）供应商按采购文件、投标（响应）文件的规定，根据分包意向协议，将中标（成交）项目中的部分履约内容，分给具有相应资质条件的供应商履行合同的行为。</w:t>
      </w:r>
    </w:p>
    <w:p w14:paraId="5B855087">
      <w:pPr>
        <w:tabs>
          <w:tab w:val="left" w:pos="570"/>
          <w:tab w:val="left" w:pos="9240"/>
          <w:tab w:val="left" w:pos="9555"/>
        </w:tabs>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w:t>
      </w:r>
    </w:p>
    <w:p w14:paraId="2F72B5EC">
      <w:pPr>
        <w:tabs>
          <w:tab w:val="left" w:pos="570"/>
          <w:tab w:val="left" w:pos="9240"/>
          <w:tab w:val="left" w:pos="9555"/>
        </w:tabs>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（7）其他术语解释，见【</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w:t>
      </w:r>
    </w:p>
    <w:p w14:paraId="5549E699">
      <w:pPr>
        <w:numPr>
          <w:ilvl w:val="0"/>
          <w:numId w:val="5"/>
        </w:num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color w:val="auto"/>
          <w:sz w:val="24"/>
          <w:highlight w:val="none"/>
        </w:rPr>
        <w:t>合同标的及金额</w:t>
      </w:r>
    </w:p>
    <w:p w14:paraId="59BDB199">
      <w:pPr>
        <w:autoSpaceDE w:val="0"/>
        <w:autoSpaceDN w:val="0"/>
        <w:adjustRightInd w:val="0"/>
        <w:snapToGrid w:val="0"/>
        <w:spacing w:line="380" w:lineRule="exact"/>
        <w:ind w:firstLine="480" w:firstLineChars="200"/>
        <w:jc w:val="left"/>
        <w:rPr>
          <w:rFonts w:hint="eastAsia" w:ascii="仿宋" w:hAnsi="仿宋" w:eastAsia="仿宋" w:cs="仿宋"/>
          <w:b/>
          <w:bCs/>
          <w:i/>
          <w:iCs/>
          <w:color w:val="auto"/>
          <w:szCs w:val="21"/>
          <w:highlight w:val="none"/>
        </w:rPr>
      </w:pPr>
      <w:r>
        <w:rPr>
          <w:rFonts w:hint="eastAsia" w:ascii="仿宋" w:hAnsi="仿宋" w:eastAsia="仿宋" w:cs="仿宋"/>
          <w:color w:val="auto"/>
          <w:szCs w:val="21"/>
          <w:highlight w:val="none"/>
        </w:rPr>
        <w:t>2.1 合同标的及金额应与中标（成交）结果一致。乙方为履行本合同而发生的所有费用均应包含在合同价款中，甲方不再另行支付</w:t>
      </w:r>
      <w:r>
        <w:rPr>
          <w:rFonts w:hint="eastAsia" w:ascii="仿宋" w:hAnsi="仿宋" w:eastAsia="仿宋" w:cs="仿宋"/>
          <w:color w:val="auto"/>
          <w:szCs w:val="21"/>
          <w:highlight w:val="none"/>
          <w:lang w:val="en"/>
        </w:rPr>
        <w:t>其他</w:t>
      </w:r>
      <w:r>
        <w:rPr>
          <w:rFonts w:hint="eastAsia" w:ascii="仿宋" w:hAnsi="仿宋" w:eastAsia="仿宋" w:cs="仿宋"/>
          <w:color w:val="auto"/>
          <w:szCs w:val="21"/>
          <w:highlight w:val="none"/>
        </w:rPr>
        <w:t>任何费用。</w:t>
      </w:r>
    </w:p>
    <w:p w14:paraId="2624A047">
      <w:pPr>
        <w:adjustRightInd w:val="0"/>
        <w:snapToGrid w:val="0"/>
        <w:spacing w:line="38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 履行合同的时间、地点和方式</w:t>
      </w:r>
    </w:p>
    <w:p w14:paraId="18F43B4E">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3.1 乙方应当在约定的时间、地点，按照约定方式履行合同。</w:t>
      </w:r>
    </w:p>
    <w:p w14:paraId="26987E49">
      <w:p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4. 甲方的权利和义务</w:t>
      </w:r>
    </w:p>
    <w:p w14:paraId="05F451D0">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4.1 签署合同后，甲方应确定项目负责人（或项目联系人），负责与本合同有关的事务。甲方有权对乙方的履约行为进行检查，并及时确认乙方提交的事项。甲方应当配合乙方完成相关项目实施工作。</w:t>
      </w:r>
    </w:p>
    <w:p w14:paraId="157DDC4D">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4.2 甲方有权要求乙方按时提交各阶段有关安排计划，并有权定期核对乙方提供货物数量、规格、质量等内容。甲方有权督促乙方工作并要求乙方更换不符合要求的货物。</w:t>
      </w:r>
    </w:p>
    <w:p w14:paraId="7B629FCE">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4.3 甲方有权要求乙方对缺陷部分予以修复，并按合同约定享有货物保修及其他合同约定的权利。</w:t>
      </w:r>
    </w:p>
    <w:p w14:paraId="2C4AB8E2">
      <w:pPr>
        <w:snapToGrid w:val="0"/>
        <w:spacing w:line="3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4.4 甲方应当按照合同约定及时对交付的货物进行验收，未在</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约定的期限内对乙方履约提出任何异议或者向乙方作出任何说明的，视为验收通过。</w:t>
      </w:r>
    </w:p>
    <w:p w14:paraId="6CB983E5">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4.5 甲方应当根据合同约定及时向乙方支付合同价款，不得以内部人员变更、履行内部付款流程等为由，拒绝或迟延支付。</w:t>
      </w:r>
    </w:p>
    <w:p w14:paraId="3B959B0F">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4.6 国家法律法规规定及</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约定应由甲方承担的其他义务和责任。</w:t>
      </w:r>
    </w:p>
    <w:p w14:paraId="3CE15611">
      <w:p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5. 乙方的权利和义务</w:t>
      </w:r>
    </w:p>
    <w:p w14:paraId="1EAD352E">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5.1 签署合同后，乙方应确定项目负责人（或项目联系人），负责与本合同有关的事务。</w:t>
      </w:r>
    </w:p>
    <w:p w14:paraId="655EBB8A">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687A694A">
      <w:pPr>
        <w:pStyle w:val="3"/>
        <w:spacing w:line="380" w:lineRule="exact"/>
        <w:ind w:firstLine="422" w:firstLineChars="176"/>
        <w:rPr>
          <w:rFonts w:hint="eastAsia" w:ascii="仿宋" w:hAnsi="仿宋" w:eastAsia="仿宋" w:cs="仿宋"/>
          <w:color w:val="auto"/>
          <w:szCs w:val="21"/>
          <w:highlight w:val="none"/>
        </w:rPr>
      </w:pPr>
      <w:r>
        <w:rPr>
          <w:rFonts w:hint="eastAsia" w:ascii="仿宋" w:hAnsi="仿宋" w:eastAsia="仿宋" w:cs="仿宋"/>
          <w:color w:val="auto"/>
          <w:szCs w:val="21"/>
          <w:highlight w:val="none"/>
        </w:rPr>
        <w:t>5.3乙方有权根据合同约定向甲方收取合同价款。</w:t>
      </w:r>
    </w:p>
    <w:p w14:paraId="1F499ADF">
      <w:pPr>
        <w:pStyle w:val="3"/>
        <w:spacing w:line="380" w:lineRule="exact"/>
        <w:ind w:firstLine="422" w:firstLineChars="176"/>
        <w:rPr>
          <w:rFonts w:hint="eastAsia" w:ascii="仿宋" w:hAnsi="仿宋" w:eastAsia="仿宋" w:cs="仿宋"/>
          <w:color w:val="auto"/>
          <w:szCs w:val="21"/>
          <w:highlight w:val="none"/>
        </w:rPr>
      </w:pPr>
      <w:r>
        <w:rPr>
          <w:rFonts w:hint="eastAsia" w:ascii="仿宋" w:hAnsi="仿宋" w:eastAsia="仿宋" w:cs="仿宋"/>
          <w:color w:val="auto"/>
          <w:szCs w:val="21"/>
          <w:highlight w:val="none"/>
        </w:rPr>
        <w:t>5.4国家法律法规规定及</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约定应由乙方承担的其他义务和责任。</w:t>
      </w:r>
    </w:p>
    <w:p w14:paraId="669AA290">
      <w:pPr>
        <w:numPr>
          <w:ilvl w:val="0"/>
          <w:numId w:val="6"/>
        </w:num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合同履行</w:t>
      </w:r>
    </w:p>
    <w:p w14:paraId="0EA28858">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6.1 甲乙双方应当按照</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约定顺序履行合同义务；如果没有先后顺序的，应当同时履行。</w:t>
      </w:r>
    </w:p>
    <w:p w14:paraId="03E9E8B2">
      <w:pPr>
        <w:autoSpaceDE w:val="0"/>
        <w:autoSpaceDN w:val="0"/>
        <w:adjustRightInd w:val="0"/>
        <w:snapToGrid w:val="0"/>
        <w:spacing w:line="380" w:lineRule="exact"/>
        <w:ind w:firstLine="480" w:firstLineChars="200"/>
        <w:jc w:val="left"/>
        <w:rPr>
          <w:rFonts w:hint="eastAsia" w:ascii="仿宋" w:hAnsi="仿宋" w:eastAsia="仿宋" w:cs="仿宋"/>
          <w:color w:val="auto"/>
          <w:highlight w:val="none"/>
        </w:rPr>
      </w:pPr>
      <w:r>
        <w:rPr>
          <w:rFonts w:hint="eastAsia" w:ascii="仿宋" w:hAnsi="仿宋" w:eastAsia="仿宋" w:cs="仿宋"/>
          <w:color w:val="auto"/>
          <w:szCs w:val="21"/>
          <w:highlight w:val="none"/>
        </w:rPr>
        <w:t>6.2 甲乙双方按照合同约定顺序履行合同义务时，应当先履行一方未履行的，后履行一方有权拒绝其履行请求。先履行一方履行不符合约定的，后履行一方有权拒绝其相应的履行请求。</w:t>
      </w:r>
    </w:p>
    <w:p w14:paraId="7E01A0DD">
      <w:pPr>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7. 货物包装、运输、保险和交付要求</w:t>
      </w:r>
    </w:p>
    <w:p w14:paraId="16909CC5">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7.1 本合同</w:t>
      </w:r>
      <w:r>
        <w:rPr>
          <w:rFonts w:hint="eastAsia" w:ascii="仿宋" w:hAnsi="仿宋" w:eastAsia="仿宋" w:cs="仿宋"/>
          <w:bCs/>
          <w:color w:val="auto"/>
          <w:szCs w:val="21"/>
          <w:highlight w:val="none"/>
        </w:rPr>
        <w:t>涉及商品包装、快递包装的，</w:t>
      </w:r>
      <w:r>
        <w:rPr>
          <w:rFonts w:hint="eastAsia" w:ascii="仿宋" w:hAnsi="仿宋" w:eastAsia="仿宋" w:cs="仿宋"/>
          <w:color w:val="auto"/>
          <w:szCs w:val="21"/>
          <w:highlight w:val="none"/>
        </w:rPr>
        <w:t>除</w:t>
      </w:r>
      <w:r>
        <w:rPr>
          <w:rFonts w:hint="eastAsia" w:ascii="仿宋" w:hAnsi="仿宋" w:eastAsia="仿宋" w:cs="仿宋"/>
          <w:b/>
          <w:color w:val="auto"/>
          <w:szCs w:val="21"/>
          <w:highlight w:val="none"/>
        </w:rPr>
        <w:t>【政府采购合同专用条款】</w:t>
      </w:r>
      <w:r>
        <w:rPr>
          <w:rFonts w:hint="eastAsia" w:ascii="仿宋" w:hAnsi="仿宋" w:eastAsia="仿宋" w:cs="仿宋"/>
          <w:bCs/>
          <w:color w:val="auto"/>
          <w:szCs w:val="21"/>
          <w:highlight w:val="none"/>
        </w:rPr>
        <w:t>另有约定外，</w:t>
      </w:r>
      <w:r>
        <w:rPr>
          <w:rFonts w:hint="eastAsia" w:ascii="仿宋" w:hAnsi="仿宋" w:eastAsia="仿宋" w:cs="仿宋"/>
          <w:color w:val="auto"/>
          <w:szCs w:val="21"/>
          <w:highlight w:val="none"/>
        </w:rPr>
        <w:t>包装应适应远距离运输、防潮、防震、防锈和防野蛮装卸等要求，确保货物安全无损地运抵</w:t>
      </w:r>
      <w:r>
        <w:rPr>
          <w:rFonts w:hint="eastAsia" w:ascii="仿宋" w:hAnsi="仿宋" w:eastAsia="仿宋" w:cs="仿宋"/>
          <w:b/>
          <w:color w:val="auto"/>
          <w:szCs w:val="21"/>
          <w:highlight w:val="none"/>
        </w:rPr>
        <w:t>【政府采购合同专用条款】</w:t>
      </w:r>
      <w:r>
        <w:rPr>
          <w:rFonts w:hint="eastAsia" w:ascii="仿宋" w:hAnsi="仿宋" w:eastAsia="仿宋" w:cs="仿宋"/>
          <w:bCs/>
          <w:color w:val="auto"/>
          <w:szCs w:val="21"/>
          <w:highlight w:val="none"/>
        </w:rPr>
        <w:t>约定的</w:t>
      </w:r>
      <w:r>
        <w:rPr>
          <w:rFonts w:hint="eastAsia" w:ascii="仿宋" w:hAnsi="仿宋" w:eastAsia="仿宋" w:cs="仿宋"/>
          <w:color w:val="auto"/>
          <w:szCs w:val="21"/>
          <w:highlight w:val="none"/>
        </w:rPr>
        <w:t>指定现场。</w:t>
      </w:r>
    </w:p>
    <w:p w14:paraId="12E0B797">
      <w:pPr>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7.2 除</w:t>
      </w:r>
      <w:r>
        <w:rPr>
          <w:rFonts w:hint="eastAsia" w:ascii="仿宋" w:hAnsi="仿宋" w:eastAsia="仿宋" w:cs="仿宋"/>
          <w:b/>
          <w:color w:val="auto"/>
          <w:szCs w:val="21"/>
          <w:highlight w:val="none"/>
        </w:rPr>
        <w:t>【政府采购合同专用条款】</w:t>
      </w:r>
      <w:r>
        <w:rPr>
          <w:rFonts w:hint="eastAsia" w:ascii="仿宋" w:hAnsi="仿宋" w:eastAsia="仿宋" w:cs="仿宋"/>
          <w:bCs/>
          <w:color w:val="auto"/>
          <w:szCs w:val="21"/>
          <w:highlight w:val="none"/>
        </w:rPr>
        <w:t>另有约定外，</w:t>
      </w:r>
      <w:r>
        <w:rPr>
          <w:rFonts w:hint="eastAsia" w:ascii="仿宋" w:hAnsi="仿宋" w:eastAsia="仿宋" w:cs="仿宋"/>
          <w:color w:val="auto"/>
          <w:szCs w:val="21"/>
          <w:highlight w:val="none"/>
        </w:rPr>
        <w:t>乙方负责办理将货物运抵本合同规定的交货地点，并装卸、交付至甲方的一切运输事项，相关费用应包含在合同价款中。</w:t>
      </w:r>
    </w:p>
    <w:p w14:paraId="5597A834">
      <w:pPr>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7.3 货物保险要求按</w:t>
      </w:r>
      <w:r>
        <w:rPr>
          <w:rFonts w:hint="eastAsia" w:ascii="仿宋" w:hAnsi="仿宋" w:eastAsia="仿宋" w:cs="仿宋"/>
          <w:b/>
          <w:color w:val="auto"/>
          <w:szCs w:val="21"/>
          <w:highlight w:val="none"/>
        </w:rPr>
        <w:t>【政府采购合同专用条款】</w:t>
      </w:r>
      <w:r>
        <w:rPr>
          <w:rFonts w:hint="eastAsia" w:ascii="仿宋" w:hAnsi="仿宋" w:eastAsia="仿宋" w:cs="仿宋"/>
          <w:bCs/>
          <w:color w:val="auto"/>
          <w:szCs w:val="21"/>
          <w:highlight w:val="none"/>
        </w:rPr>
        <w:t>规定执行</w:t>
      </w:r>
      <w:r>
        <w:rPr>
          <w:rFonts w:hint="eastAsia" w:ascii="仿宋" w:hAnsi="仿宋" w:eastAsia="仿宋" w:cs="仿宋"/>
          <w:color w:val="auto"/>
          <w:szCs w:val="21"/>
          <w:highlight w:val="none"/>
        </w:rPr>
        <w:t>。</w:t>
      </w:r>
    </w:p>
    <w:p w14:paraId="46045785">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0A292EE7">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7.5 乙方在运输到达之前应提前通知甲方，并提示货物运输装卸的注意事项，甲方配合乙方做好货物的接收工作。</w:t>
      </w:r>
    </w:p>
    <w:p w14:paraId="61AF072C">
      <w:pPr>
        <w:pStyle w:val="11"/>
        <w:spacing w:line="380" w:lineRule="exact"/>
        <w:ind w:firstLine="420"/>
        <w:rPr>
          <w:rFonts w:hint="eastAsia" w:ascii="仿宋" w:hAnsi="仿宋" w:eastAsia="仿宋" w:cs="仿宋"/>
          <w:color w:val="auto"/>
          <w:sz w:val="21"/>
          <w:highlight w:val="none"/>
        </w:rPr>
      </w:pPr>
      <w:r>
        <w:rPr>
          <w:rFonts w:hint="eastAsia" w:ascii="仿宋" w:hAnsi="仿宋" w:eastAsia="仿宋" w:cs="仿宋"/>
          <w:color w:val="auto"/>
          <w:kern w:val="2"/>
          <w:sz w:val="21"/>
          <w:highlight w:val="none"/>
        </w:rPr>
        <w:t>7.6 如因包装、运输问题导致货物损毁、丢失或者品质下降，甲方有权要求降价、换货、拒收部分或整批货物，由此产生的费用和损失，均由乙方承担。</w:t>
      </w:r>
    </w:p>
    <w:p w14:paraId="3266C7E4">
      <w:pPr>
        <w:adjustRightInd w:val="0"/>
        <w:snapToGrid w:val="0"/>
        <w:spacing w:line="38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8. 质量标准和保证</w:t>
      </w:r>
    </w:p>
    <w:p w14:paraId="6AD4A881">
      <w:pPr>
        <w:pStyle w:val="6"/>
        <w:adjustRightInd w:val="0"/>
        <w:snapToGrid w:val="0"/>
        <w:spacing w:line="380" w:lineRule="exact"/>
        <w:ind w:firstLine="480" w:firstLineChars="200"/>
        <w:jc w:val="left"/>
        <w:rPr>
          <w:rFonts w:hint="eastAsia" w:ascii="仿宋" w:hAnsi="仿宋" w:eastAsia="仿宋" w:cs="仿宋"/>
          <w:b/>
          <w:color w:val="auto"/>
          <w:highlight w:val="none"/>
        </w:rPr>
      </w:pPr>
      <w:r>
        <w:rPr>
          <w:rFonts w:hint="eastAsia" w:ascii="仿宋" w:hAnsi="仿宋" w:eastAsia="仿宋" w:cs="仿宋"/>
          <w:color w:val="auto"/>
          <w:highlight w:val="none"/>
        </w:rPr>
        <w:t>8.1 质量标准</w:t>
      </w:r>
    </w:p>
    <w:p w14:paraId="26648B7D">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4306B15">
      <w:pPr>
        <w:pStyle w:val="6"/>
        <w:adjustRightInd w:val="0"/>
        <w:snapToGrid w:val="0"/>
        <w:spacing w:line="380" w:lineRule="exact"/>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（2）采用中华人民共和国法定计量单位。</w:t>
      </w:r>
    </w:p>
    <w:p w14:paraId="10B6CECF">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（3）乙方所提供的货物应符合国家有关安全、环保、卫生的规定。</w:t>
      </w:r>
    </w:p>
    <w:p w14:paraId="3CEB510B">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（4）乙方应向甲方提交所提供货物的技术文件，包括相应的中文技术文件，如：产品目录、图纸、操作手册、使用说明、维护手册或服务指南等。上述文件应包装好随货物一同发运。</w:t>
      </w:r>
    </w:p>
    <w:p w14:paraId="60719D94">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8.2 保证</w:t>
      </w:r>
    </w:p>
    <w:p w14:paraId="31889CC2">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规定或乙方书面承诺（两者以较长的为准）的质量保证期内，本保证保持有效。</w:t>
      </w:r>
    </w:p>
    <w:p w14:paraId="22DB6C8E">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（2）在质量保证期内所发现的缺陷，甲方应尽快以书面形式通知乙方。</w:t>
      </w:r>
    </w:p>
    <w:p w14:paraId="22C2661B">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（3）乙方收到通知后，应在</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规定的响应时间内以合理的速度免费维修或更换有缺陷的货物或部件。</w:t>
      </w:r>
    </w:p>
    <w:p w14:paraId="575B7EFB">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（4）在质量保证期内，如果货物的质量或规格与合同不符，或证实货物是有缺陷的，包括潜在的缺陷或使用不符合要求的材料等，甲方可以根据本合同第15.1条规定以书面形式追究乙方的违约责任。</w:t>
      </w:r>
    </w:p>
    <w:p w14:paraId="62ED7CE7">
      <w:pPr>
        <w:adjustRightInd w:val="0"/>
        <w:snapToGrid w:val="0"/>
        <w:spacing w:line="380" w:lineRule="exact"/>
        <w:ind w:firstLine="480" w:firstLineChars="200"/>
        <w:jc w:val="left"/>
        <w:rPr>
          <w:rFonts w:hint="eastAsia" w:ascii="仿宋" w:hAnsi="仿宋" w:eastAsia="仿宋" w:cs="仿宋"/>
          <w:color w:val="auto"/>
          <w:highlight w:val="none"/>
        </w:rPr>
      </w:pPr>
      <w:r>
        <w:rPr>
          <w:rFonts w:hint="eastAsia" w:ascii="仿宋" w:hAnsi="仿宋" w:eastAsia="仿宋" w:cs="仿宋"/>
          <w:color w:val="auto"/>
          <w:szCs w:val="21"/>
          <w:highlight w:val="none"/>
        </w:rPr>
        <w:t>（5）乙方在约定的时间内未能弥补缺陷，甲方可采取必要的补救措施，但其风险和费用将由乙方承担，甲方根据合同约定对乙方行使的其他权利不受影响。</w:t>
      </w:r>
    </w:p>
    <w:p w14:paraId="77A43F4C">
      <w:pPr>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9. 权利瑕疵担保</w:t>
      </w:r>
    </w:p>
    <w:p w14:paraId="7514B072">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9.1 乙方保证对其出售的货物享有合法的权利。</w:t>
      </w:r>
    </w:p>
    <w:p w14:paraId="294880C2">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9.2 </w:t>
      </w:r>
      <w:r>
        <w:rPr>
          <w:rFonts w:hint="eastAsia" w:ascii="仿宋" w:hAnsi="仿宋" w:eastAsia="仿宋" w:cs="仿宋"/>
          <w:color w:val="auto"/>
          <w:szCs w:val="15"/>
          <w:highlight w:val="none"/>
        </w:rPr>
        <w:t>乙方保证在交付的货物上不存在抵押权等担保物权。</w:t>
      </w:r>
    </w:p>
    <w:p w14:paraId="71906A12">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9.3 如甲方使用上述货物构成对第三人侵权的，则由乙方承担全部责任。</w:t>
      </w:r>
    </w:p>
    <w:p w14:paraId="662E0FB6">
      <w:p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10. 知识产权保护</w:t>
      </w:r>
    </w:p>
    <w:p w14:paraId="436090DA">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 乙方对其所销售的货物应当享有知识产权或经权利人合法授权，保证没有侵犯任何第三人的知识产权等权利。</w:t>
      </w:r>
      <w:bookmarkStart w:id="3" w:name="_Hlk163047038"/>
      <w:r>
        <w:rPr>
          <w:rFonts w:hint="eastAsia" w:ascii="仿宋" w:hAnsi="仿宋" w:eastAsia="仿宋" w:cs="仿宋"/>
          <w:color w:val="auto"/>
          <w:szCs w:val="15"/>
          <w:highlight w:val="none"/>
        </w:rPr>
        <w:t>因违反前述约定对第三人构成侵权的，应当由乙方向第三人承担法律责任；甲方依法向第三人赔偿后，有权向乙方追偿。甲方有其他损失的，乙方应当赔偿</w:t>
      </w:r>
      <w:bookmarkEnd w:id="3"/>
      <w:r>
        <w:rPr>
          <w:rFonts w:hint="eastAsia" w:ascii="仿宋" w:hAnsi="仿宋" w:eastAsia="仿宋" w:cs="仿宋"/>
          <w:color w:val="auto"/>
          <w:szCs w:val="21"/>
          <w:highlight w:val="none"/>
        </w:rPr>
        <w:t>。</w:t>
      </w:r>
    </w:p>
    <w:p w14:paraId="46D78668">
      <w:p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11. 保密义务</w:t>
      </w:r>
    </w:p>
    <w:p w14:paraId="2BDD36B9">
      <w:pPr>
        <w:autoSpaceDE w:val="0"/>
        <w:autoSpaceDN w:val="0"/>
        <w:adjustRightInd w:val="0"/>
        <w:snapToGrid w:val="0"/>
        <w:spacing w:line="380" w:lineRule="exact"/>
        <w:ind w:firstLine="480" w:firstLineChars="200"/>
        <w:jc w:val="left"/>
        <w:rPr>
          <w:rFonts w:hint="eastAsia" w:ascii="仿宋" w:hAnsi="仿宋" w:eastAsia="仿宋" w:cs="仿宋"/>
          <w:color w:val="auto"/>
          <w:szCs w:val="15"/>
          <w:highlight w:val="none"/>
        </w:rPr>
      </w:pPr>
      <w:r>
        <w:rPr>
          <w:rFonts w:hint="eastAsia" w:ascii="仿宋" w:hAnsi="仿宋" w:eastAsia="仿宋" w:cs="仿宋"/>
          <w:color w:val="auto"/>
          <w:szCs w:val="15"/>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仿宋" w:hAnsi="仿宋" w:eastAsia="仿宋" w:cs="仿宋"/>
          <w:b/>
          <w:bCs/>
          <w:color w:val="auto"/>
          <w:szCs w:val="15"/>
          <w:highlight w:val="none"/>
        </w:rPr>
        <w:t>【政府采购合同专用条款】</w:t>
      </w:r>
      <w:r>
        <w:rPr>
          <w:rFonts w:hint="eastAsia" w:ascii="仿宋" w:hAnsi="仿宋" w:eastAsia="仿宋" w:cs="仿宋"/>
          <w:color w:val="auto"/>
          <w:szCs w:val="15"/>
          <w:highlight w:val="none"/>
        </w:rPr>
        <w:t>中约定。</w:t>
      </w:r>
    </w:p>
    <w:p w14:paraId="78E7AD5D">
      <w:p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12. 合同价款支付</w:t>
      </w:r>
    </w:p>
    <w:p w14:paraId="30AE6675">
      <w:pPr>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12.1 合同价款支付按照财政管理相关规定执行。</w:t>
      </w:r>
    </w:p>
    <w:p w14:paraId="1B428220">
      <w:pPr>
        <w:spacing w:line="380" w:lineRule="exact"/>
        <w:ind w:firstLine="420" w:firstLineChars="200"/>
        <w:outlineLvl w:val="9"/>
        <w:rPr>
          <w:rFonts w:hint="eastAsia" w:ascii="仿宋" w:hAnsi="仿宋" w:eastAsia="仿宋" w:cs="仿宋"/>
          <w:color w:val="auto"/>
          <w:highlight w:val="none"/>
        </w:rPr>
      </w:pPr>
      <w:r>
        <w:rPr>
          <w:rFonts w:hint="eastAsia" w:ascii="仿宋" w:hAnsi="仿宋" w:eastAsia="仿宋" w:cs="仿宋"/>
          <w:b w:val="0"/>
          <w:bCs w:val="0"/>
          <w:color w:val="auto"/>
          <w:sz w:val="21"/>
          <w:szCs w:val="21"/>
          <w:highlight w:val="none"/>
        </w:rPr>
        <w:t>12.2 对于满足合同约定支付条件的，甲方原则上应当自收到发票后</w:t>
      </w:r>
      <w:r>
        <w:rPr>
          <w:rFonts w:hint="eastAsia" w:ascii="仿宋" w:hAnsi="仿宋" w:eastAsia="仿宋" w:cs="仿宋"/>
          <w:b w:val="0"/>
          <w:bCs w:val="0"/>
          <w:color w:val="auto"/>
          <w:sz w:val="21"/>
          <w:szCs w:val="21"/>
          <w:highlight w:val="none"/>
          <w:lang w:val="en-US" w:eastAsia="zh-CN"/>
        </w:rPr>
        <w:t>30</w:t>
      </w:r>
      <w:r>
        <w:rPr>
          <w:rFonts w:hint="eastAsia" w:ascii="仿宋" w:hAnsi="仿宋" w:eastAsia="仿宋" w:cs="仿宋"/>
          <w:b w:val="0"/>
          <w:bCs w:val="0"/>
          <w:color w:val="auto"/>
          <w:sz w:val="21"/>
          <w:szCs w:val="21"/>
          <w:highlight w:val="none"/>
        </w:rPr>
        <w:t>个</w:t>
      </w:r>
      <w:r>
        <w:rPr>
          <w:rFonts w:hint="eastAsia" w:ascii="仿宋" w:hAnsi="仿宋" w:eastAsia="仿宋" w:cs="仿宋"/>
          <w:b w:val="0"/>
          <w:bCs w:val="0"/>
          <w:color w:val="auto"/>
          <w:sz w:val="21"/>
          <w:szCs w:val="21"/>
          <w:highlight w:val="none"/>
          <w:lang w:val="en-US" w:eastAsia="zh-CN"/>
        </w:rPr>
        <w:t>日历</w:t>
      </w:r>
      <w:r>
        <w:rPr>
          <w:rFonts w:hint="eastAsia" w:ascii="仿宋" w:hAnsi="仿宋" w:eastAsia="仿宋" w:cs="仿宋"/>
          <w:b w:val="0"/>
          <w:bCs w:val="0"/>
          <w:color w:val="auto"/>
          <w:sz w:val="21"/>
          <w:szCs w:val="21"/>
          <w:highlight w:val="none"/>
        </w:rPr>
        <w:t>日内将资金支付到合同约定的乙方账户，不得以机构变动、人员更替、政策调整等为由迟延付款，不得将采购文件和合同中未规定的义务作为向乙方付款的条件。具体合同价款支付时间在【</w:t>
      </w:r>
      <w:r>
        <w:rPr>
          <w:rFonts w:hint="eastAsia" w:ascii="仿宋" w:hAnsi="仿宋" w:eastAsia="仿宋" w:cs="仿宋"/>
          <w:color w:val="auto"/>
          <w:sz w:val="21"/>
          <w:szCs w:val="21"/>
          <w:highlight w:val="none"/>
        </w:rPr>
        <w:t>政府采购合同专用条款</w:t>
      </w:r>
      <w:r>
        <w:rPr>
          <w:rFonts w:hint="eastAsia" w:ascii="仿宋" w:hAnsi="仿宋" w:eastAsia="仿宋" w:cs="仿宋"/>
          <w:b w:val="0"/>
          <w:bCs w:val="0"/>
          <w:color w:val="auto"/>
          <w:sz w:val="21"/>
          <w:szCs w:val="21"/>
          <w:highlight w:val="none"/>
        </w:rPr>
        <w:t>】中约定。</w:t>
      </w:r>
    </w:p>
    <w:p w14:paraId="4CF60629">
      <w:pPr>
        <w:pStyle w:val="3"/>
        <w:spacing w:line="380" w:lineRule="exact"/>
        <w:rPr>
          <w:rFonts w:hint="eastAsia" w:ascii="仿宋" w:hAnsi="仿宋" w:eastAsia="仿宋" w:cs="仿宋"/>
          <w:b/>
          <w:bCs/>
          <w:color w:val="auto"/>
          <w:highlight w:val="none"/>
        </w:rPr>
      </w:pPr>
      <w:r>
        <w:rPr>
          <w:rFonts w:hint="eastAsia" w:ascii="仿宋" w:hAnsi="仿宋" w:eastAsia="仿宋" w:cs="仿宋"/>
          <w:b/>
          <w:bCs/>
          <w:color w:val="auto"/>
          <w:highlight w:val="none"/>
        </w:rPr>
        <w:t>13. 履约保证金</w:t>
      </w:r>
    </w:p>
    <w:p w14:paraId="1FFA2D74">
      <w:pPr>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13.1 </w:t>
      </w:r>
      <w:r>
        <w:rPr>
          <w:rFonts w:hint="eastAsia" w:ascii="仿宋" w:hAnsi="仿宋" w:eastAsia="仿宋" w:cs="仿宋"/>
          <w:color w:val="auto"/>
          <w:szCs w:val="15"/>
          <w:highlight w:val="none"/>
        </w:rPr>
        <w:t>乙方应当以支票、汇票、本票或者金融机构、担保机构出具的保函等非现金形式提交。</w:t>
      </w:r>
    </w:p>
    <w:p w14:paraId="4DA61825">
      <w:pPr>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13.2 如果乙方出现</w:t>
      </w:r>
      <w:r>
        <w:rPr>
          <w:rFonts w:hint="eastAsia" w:ascii="仿宋" w:hAnsi="仿宋" w:eastAsia="仿宋" w:cs="仿宋"/>
          <w:b/>
          <w:bCs/>
          <w:color w:val="auto"/>
          <w:szCs w:val="15"/>
          <w:highlight w:val="none"/>
        </w:rPr>
        <w:t>【政府采购合同专用条款】</w:t>
      </w:r>
      <w:r>
        <w:rPr>
          <w:rFonts w:hint="eastAsia" w:ascii="仿宋" w:hAnsi="仿宋" w:eastAsia="仿宋" w:cs="仿宋"/>
          <w:color w:val="auto"/>
          <w:szCs w:val="15"/>
          <w:highlight w:val="none"/>
        </w:rPr>
        <w:t>约定情形的</w:t>
      </w:r>
      <w:r>
        <w:rPr>
          <w:rFonts w:hint="eastAsia" w:ascii="仿宋" w:hAnsi="仿宋" w:eastAsia="仿宋" w:cs="仿宋"/>
          <w:color w:val="auto"/>
          <w:szCs w:val="21"/>
          <w:highlight w:val="none"/>
        </w:rPr>
        <w:t>，履约保证金不予退还；如果乙方未能按合同约定全面履行义务，甲方有权从履约保证金中取得补偿或赔偿，且不影响甲方要求乙方承担合同约定的超过履约保证金的违约责任的权利。</w:t>
      </w:r>
    </w:p>
    <w:p w14:paraId="7229BAC9">
      <w:pPr>
        <w:spacing w:line="380" w:lineRule="exact"/>
        <w:ind w:firstLine="420"/>
        <w:rPr>
          <w:rFonts w:hint="eastAsia" w:ascii="仿宋" w:hAnsi="仿宋" w:eastAsia="仿宋" w:cs="仿宋"/>
          <w:color w:val="auto"/>
          <w:highlight w:val="none"/>
        </w:rPr>
      </w:pPr>
      <w:r>
        <w:rPr>
          <w:rFonts w:hint="eastAsia" w:ascii="仿宋" w:hAnsi="仿宋" w:eastAsia="仿宋" w:cs="仿宋"/>
          <w:color w:val="auto"/>
          <w:szCs w:val="21"/>
          <w:highlight w:val="none"/>
        </w:rPr>
        <w:t>13.3 甲方在项目通过验收后按照</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规定的时间内将履约保证金退还乙方；逾期退还的，乙方可要求甲方支付违约金，违约金按照</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规定支付。</w:t>
      </w:r>
    </w:p>
    <w:p w14:paraId="7A53A1DF">
      <w:pPr>
        <w:autoSpaceDE w:val="0"/>
        <w:autoSpaceDN w:val="0"/>
        <w:adjustRightInd w:val="0"/>
        <w:snapToGrid w:val="0"/>
        <w:spacing w:line="380" w:lineRule="exact"/>
        <w:jc w:val="left"/>
        <w:rPr>
          <w:rFonts w:hint="eastAsia" w:ascii="仿宋" w:hAnsi="仿宋" w:eastAsia="仿宋" w:cs="仿宋"/>
          <w:b/>
          <w:color w:val="auto"/>
          <w:sz w:val="24"/>
          <w:highlight w:val="none"/>
        </w:rPr>
      </w:pPr>
      <w:r>
        <w:rPr>
          <w:rFonts w:hint="eastAsia" w:ascii="仿宋" w:hAnsi="仿宋" w:eastAsia="仿宋" w:cs="仿宋"/>
          <w:b/>
          <w:bCs/>
          <w:color w:val="auto"/>
          <w:sz w:val="24"/>
          <w:highlight w:val="none"/>
        </w:rPr>
        <w:t xml:space="preserve">14. </w:t>
      </w:r>
      <w:r>
        <w:rPr>
          <w:rFonts w:hint="eastAsia" w:ascii="仿宋" w:hAnsi="仿宋" w:eastAsia="仿宋" w:cs="仿宋"/>
          <w:b/>
          <w:color w:val="auto"/>
          <w:sz w:val="24"/>
          <w:highlight w:val="none"/>
        </w:rPr>
        <w:t>售后服务</w:t>
      </w:r>
    </w:p>
    <w:p w14:paraId="5B959A99">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14.1 除项目不涉及或采购活动中明确约定无须承担外，乙方还应提供下列服务：</w:t>
      </w:r>
    </w:p>
    <w:p w14:paraId="5685F495">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（1）货物的现场移动、安装、调试、启动监督及技术支持；</w:t>
      </w:r>
    </w:p>
    <w:p w14:paraId="3F935479">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（2）提供货物组装和维修所需的专用工具和辅助材料；</w:t>
      </w:r>
    </w:p>
    <w:p w14:paraId="5E8E0FCC">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（3）在</w:t>
      </w:r>
      <w:r>
        <w:rPr>
          <w:rFonts w:hint="eastAsia" w:ascii="仿宋" w:hAnsi="仿宋" w:eastAsia="仿宋" w:cs="仿宋"/>
          <w:b/>
          <w:bCs/>
          <w:color w:val="auto"/>
          <w:szCs w:val="15"/>
          <w:highlight w:val="none"/>
        </w:rPr>
        <w:t>【政府采购合同专用条款】</w:t>
      </w:r>
      <w:r>
        <w:rPr>
          <w:rFonts w:hint="eastAsia" w:ascii="仿宋" w:hAnsi="仿宋" w:eastAsia="仿宋" w:cs="仿宋"/>
          <w:color w:val="auto"/>
          <w:szCs w:val="21"/>
          <w:highlight w:val="none"/>
        </w:rPr>
        <w:t>约定的期限内对所有的货物实施运行监督、维修，但前提条件是该服务并不能免除乙方在质量保证期内所承担的义务；</w:t>
      </w:r>
    </w:p>
    <w:p w14:paraId="2EA163C1">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（4）在制造商所在地或指定现场就货物的安装、启动、运营、维护、废弃处置等对甲方操作人员进行培训</w:t>
      </w:r>
      <w:r>
        <w:rPr>
          <w:rFonts w:hint="eastAsia" w:ascii="仿宋" w:hAnsi="仿宋" w:eastAsia="仿宋" w:cs="仿宋"/>
          <w:color w:val="auto"/>
          <w:szCs w:val="15"/>
          <w:highlight w:val="none"/>
        </w:rPr>
        <w:t>；</w:t>
      </w:r>
    </w:p>
    <w:p w14:paraId="090D8752">
      <w:pPr>
        <w:pStyle w:val="11"/>
        <w:spacing w:line="380" w:lineRule="exact"/>
        <w:ind w:firstLine="420"/>
        <w:rPr>
          <w:rFonts w:hint="eastAsia" w:ascii="仿宋" w:hAnsi="仿宋" w:eastAsia="仿宋" w:cs="仿宋"/>
          <w:color w:val="auto"/>
          <w:sz w:val="21"/>
          <w:highlight w:val="none"/>
        </w:rPr>
      </w:pPr>
      <w:r>
        <w:rPr>
          <w:rFonts w:hint="eastAsia" w:ascii="仿宋" w:hAnsi="仿宋" w:eastAsia="仿宋" w:cs="仿宋"/>
          <w:color w:val="auto"/>
          <w:sz w:val="21"/>
          <w:highlight w:val="none"/>
        </w:rPr>
        <w:t>（5）依照法律、行政法规的规定或者按照</w:t>
      </w:r>
      <w:r>
        <w:rPr>
          <w:rFonts w:hint="eastAsia" w:ascii="仿宋" w:hAnsi="仿宋" w:eastAsia="仿宋" w:cs="仿宋"/>
          <w:b/>
          <w:bCs/>
          <w:color w:val="auto"/>
          <w:sz w:val="21"/>
          <w:highlight w:val="none"/>
        </w:rPr>
        <w:t>【政府采购合同专用条款】</w:t>
      </w:r>
      <w:r>
        <w:rPr>
          <w:rFonts w:hint="eastAsia" w:ascii="仿宋" w:hAnsi="仿宋" w:eastAsia="仿宋" w:cs="仿宋"/>
          <w:color w:val="auto"/>
          <w:sz w:val="21"/>
          <w:highlight w:val="none"/>
        </w:rPr>
        <w:t>约定，货物在有效使用年限届满后应予回收的，乙方负有自行或者委托第三人对货物予以回收的义务；</w:t>
      </w:r>
    </w:p>
    <w:p w14:paraId="6953EEBF">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（6）</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规定由乙方提供的其他服务。</w:t>
      </w:r>
    </w:p>
    <w:p w14:paraId="2E42F74C">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14.2 乙方提供的售后服务的费用已包含在合同价款中，甲方不再另行支付。</w:t>
      </w:r>
    </w:p>
    <w:p w14:paraId="2E9C20BC">
      <w:pPr>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15. 违约责任</w:t>
      </w:r>
    </w:p>
    <w:p w14:paraId="78B9DBA2">
      <w:pPr>
        <w:adjustRightInd w:val="0"/>
        <w:snapToGrid w:val="0"/>
        <w:spacing w:line="380" w:lineRule="exact"/>
        <w:ind w:firstLine="480" w:firstLineChars="200"/>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15.1质量瑕疵的违约责任</w:t>
      </w:r>
    </w:p>
    <w:p w14:paraId="78F7B864">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乙方提供的产品不符合合同约定的质量标准或存在产品质量缺陷，甲方有权要求乙方根据</w:t>
      </w:r>
      <w:r>
        <w:rPr>
          <w:rFonts w:hint="eastAsia" w:ascii="仿宋" w:hAnsi="仿宋" w:eastAsia="仿宋" w:cs="仿宋"/>
          <w:b/>
          <w:color w:val="auto"/>
          <w:szCs w:val="21"/>
          <w:highlight w:val="none"/>
        </w:rPr>
        <w:t>【政府采购合同专用条款】</w:t>
      </w:r>
      <w:r>
        <w:rPr>
          <w:rFonts w:hint="eastAsia" w:ascii="仿宋" w:hAnsi="仿宋" w:eastAsia="仿宋" w:cs="仿宋"/>
          <w:bCs/>
          <w:color w:val="auto"/>
          <w:szCs w:val="21"/>
          <w:highlight w:val="none"/>
        </w:rPr>
        <w:t>要求</w:t>
      </w:r>
      <w:r>
        <w:rPr>
          <w:rFonts w:hint="eastAsia" w:ascii="仿宋" w:hAnsi="仿宋" w:eastAsia="仿宋" w:cs="仿宋"/>
          <w:color w:val="auto"/>
          <w:szCs w:val="21"/>
          <w:highlight w:val="none"/>
        </w:rPr>
        <w:t>及时修理、重作、更换，并承担由此给甲方造成的损失。</w:t>
      </w:r>
    </w:p>
    <w:p w14:paraId="1A6BFB9D">
      <w:pPr>
        <w:autoSpaceDE w:val="0"/>
        <w:autoSpaceDN w:val="0"/>
        <w:adjustRightInd w:val="0"/>
        <w:snapToGrid w:val="0"/>
        <w:spacing w:line="380" w:lineRule="exact"/>
        <w:ind w:firstLine="480" w:firstLineChars="200"/>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15.2 迟延交货的违约责任</w:t>
      </w:r>
    </w:p>
    <w:p w14:paraId="5B863A38">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6F552741">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（2）如果乙方没有按照合同规定的时间交货和提供相关服务，甲方有权从货款中扣除误期赔偿费而不影响合同项下的其他补救方法，赔偿费按</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规定执行。如果涉及公共利益，且赔偿金额无法弥补公共利益损失，甲方可要求继续履行或者采取其他补救措施。</w:t>
      </w:r>
    </w:p>
    <w:p w14:paraId="426F5023">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15.3 迟延支付的违约责任</w:t>
      </w:r>
    </w:p>
    <w:p w14:paraId="2316AFD7">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甲方存在迟延支付乙方合同款项的，应当承担</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规定的逾期付款利息。</w:t>
      </w:r>
    </w:p>
    <w:p w14:paraId="61BA63B0">
      <w:pPr>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15.4其他违约责任根据项目实际需要按</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规定执行。</w:t>
      </w:r>
    </w:p>
    <w:p w14:paraId="36BB30D4">
      <w:pPr>
        <w:numPr>
          <w:ilvl w:val="0"/>
          <w:numId w:val="7"/>
        </w:numPr>
        <w:autoSpaceDE w:val="0"/>
        <w:autoSpaceDN w:val="0"/>
        <w:adjustRightInd w:val="0"/>
        <w:snapToGrid w:val="0"/>
        <w:spacing w:line="38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合同变更、中止与终止</w:t>
      </w:r>
    </w:p>
    <w:p w14:paraId="1C248DD7">
      <w:pPr>
        <w:adjustRightInd w:val="0"/>
        <w:snapToGrid w:val="0"/>
        <w:spacing w:line="380" w:lineRule="exact"/>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16.1合同的变更</w:t>
      </w:r>
    </w:p>
    <w:p w14:paraId="782BC943">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政府采购合同履行中，在不改变合同其他条款的前提下，甲方可以在合同价款10%的范围内追加与合同标的相同的货物，并就此与乙方协商一致后签订补充协议。</w:t>
      </w:r>
    </w:p>
    <w:p w14:paraId="78560ED3">
      <w:pPr>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16.2合同的中止</w:t>
      </w:r>
    </w:p>
    <w:p w14:paraId="4425D15F">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（1）合同履行过程中因供应商就采购文件、采购过程或结果提起投诉的，甲方认为有必要的，可以中止合同的履行。</w:t>
      </w:r>
    </w:p>
    <w:p w14:paraId="4186F468">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CB5F280">
      <w:pPr>
        <w:pStyle w:val="11"/>
        <w:spacing w:line="380" w:lineRule="exact"/>
        <w:ind w:firstLine="420"/>
        <w:jc w:val="both"/>
        <w:rPr>
          <w:rFonts w:hint="eastAsia" w:ascii="仿宋" w:hAnsi="仿宋" w:eastAsia="仿宋" w:cs="仿宋"/>
          <w:color w:val="auto"/>
          <w:sz w:val="21"/>
          <w:highlight w:val="none"/>
        </w:rPr>
      </w:pPr>
      <w:r>
        <w:rPr>
          <w:rFonts w:hint="eastAsia" w:ascii="仿宋" w:hAnsi="仿宋" w:eastAsia="仿宋" w:cs="仿宋"/>
          <w:color w:val="auto"/>
          <w:sz w:val="21"/>
          <w:highlight w:val="none"/>
        </w:rPr>
        <w:t>（3）乙方分立、合并或者变更住所的，应当及时以书面形式告知甲方。乙方没有及时告知甲方，致使合同履行发生困难的，甲方可以中止合同履行并要求乙方承担由此给甲方造成的损失。</w:t>
      </w:r>
    </w:p>
    <w:p w14:paraId="6FC6D890">
      <w:pPr>
        <w:snapToGrid w:val="0"/>
        <w:spacing w:line="380" w:lineRule="exact"/>
        <w:ind w:firstLine="480" w:firstLineChars="200"/>
        <w:jc w:val="left"/>
        <w:rPr>
          <w:rFonts w:hint="eastAsia" w:ascii="仿宋" w:hAnsi="仿宋" w:eastAsia="仿宋" w:cs="仿宋"/>
          <w:color w:val="auto"/>
          <w:highlight w:val="none"/>
        </w:rPr>
      </w:pPr>
      <w:r>
        <w:rPr>
          <w:rFonts w:hint="eastAsia" w:ascii="仿宋" w:hAnsi="仿宋" w:eastAsia="仿宋" w:cs="仿宋"/>
          <w:color w:val="auto"/>
          <w:szCs w:val="21"/>
          <w:highlight w:val="none"/>
        </w:rPr>
        <w:t>（4）甲方不得以行政区划调整、政府换届、机构或者职能调整以及相关责任人更替为由中止合同。</w:t>
      </w:r>
    </w:p>
    <w:p w14:paraId="1B367752">
      <w:pPr>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16.3合同的终止</w:t>
      </w:r>
    </w:p>
    <w:p w14:paraId="59BC44C3">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（1）合同因有效期限届满而终止；</w:t>
      </w:r>
    </w:p>
    <w:p w14:paraId="171B81F0">
      <w:pPr>
        <w:snapToGrid w:val="0"/>
        <w:spacing w:line="380" w:lineRule="exact"/>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（2）乙方未按合同约定履行，构成根本性违约的，甲方有权终止合同，并追究乙方的违约责任。</w:t>
      </w:r>
    </w:p>
    <w:p w14:paraId="4D62D4D9">
      <w:pPr>
        <w:pStyle w:val="11"/>
        <w:spacing w:line="38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16.4 </w:t>
      </w:r>
      <w:r>
        <w:rPr>
          <w:rFonts w:hint="eastAsia" w:ascii="仿宋" w:hAnsi="仿宋" w:eastAsia="仿宋" w:cs="仿宋"/>
          <w:color w:val="auto"/>
          <w:kern w:val="2"/>
          <w:sz w:val="21"/>
          <w:highlight w:val="none"/>
        </w:rPr>
        <w:t>涉及国家利益、社会公共利益的情形</w:t>
      </w:r>
    </w:p>
    <w:p w14:paraId="1268A4BA">
      <w:pPr>
        <w:pStyle w:val="11"/>
        <w:spacing w:line="380" w:lineRule="exact"/>
        <w:ind w:firstLine="420"/>
        <w:jc w:val="both"/>
        <w:rPr>
          <w:rFonts w:hint="eastAsia" w:ascii="仿宋" w:hAnsi="仿宋" w:eastAsia="仿宋" w:cs="仿宋"/>
          <w:color w:val="auto"/>
          <w:sz w:val="21"/>
          <w:highlight w:val="none"/>
        </w:rPr>
      </w:pPr>
      <w:r>
        <w:rPr>
          <w:rFonts w:hint="eastAsia" w:ascii="仿宋" w:hAnsi="仿宋" w:eastAsia="仿宋" w:cs="仿宋"/>
          <w:color w:val="auto"/>
          <w:sz w:val="21"/>
          <w:highlight w:val="none"/>
        </w:rPr>
        <w:t>政府采购合同继续履行将损害国家利益和社会公共利益的，双方当事人应当变更、中止或者终止合同。有过错的一方应当承担赔偿责任，双方都有过错的，各自承担相应的责任。</w:t>
      </w:r>
    </w:p>
    <w:p w14:paraId="3C4B6041">
      <w:p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17. 合同分包</w:t>
      </w:r>
    </w:p>
    <w:p w14:paraId="76D3A4AD">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 乙方不得将合同转包给其他供应商。涉及合同分包的，乙方应根据采购文件和投标（响应）文件规定进行合同分包。</w:t>
      </w:r>
    </w:p>
    <w:p w14:paraId="52645DA5">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17.2 乙方执行政府采购政策向中小企业依法分包的，乙方应当按采购文件和投标（响应）文件签订分包意向协议，分包意向协议属于本合同组成部分。</w:t>
      </w:r>
    </w:p>
    <w:p w14:paraId="6CD146DD">
      <w:p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18. 不可抗力</w:t>
      </w:r>
    </w:p>
    <w:p w14:paraId="768CE912">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18.1 不可抗力是指合同双方不能预见、不能避免且不能克服的客观情况。</w:t>
      </w:r>
    </w:p>
    <w:p w14:paraId="3458441B">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18.2 任何一方对由于不可抗力造成的部分或全部不能履行合同不承担违约责任。但迟延履行后发生不可抗力的，不能免除责任。</w:t>
      </w:r>
    </w:p>
    <w:p w14:paraId="6621405E">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7EEDBE67">
      <w:pPr>
        <w:autoSpaceDE w:val="0"/>
        <w:autoSpaceDN w:val="0"/>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19. 解决争议的方法</w:t>
      </w:r>
    </w:p>
    <w:p w14:paraId="75337B2F">
      <w:pPr>
        <w:pStyle w:val="11"/>
        <w:spacing w:line="380" w:lineRule="exact"/>
        <w:ind w:firstLine="420"/>
        <w:jc w:val="both"/>
        <w:rPr>
          <w:rFonts w:hint="eastAsia" w:ascii="仿宋" w:hAnsi="仿宋" w:eastAsia="仿宋" w:cs="仿宋"/>
          <w:color w:val="auto"/>
          <w:sz w:val="21"/>
          <w:highlight w:val="none"/>
        </w:rPr>
      </w:pPr>
      <w:r>
        <w:rPr>
          <w:rFonts w:hint="eastAsia" w:ascii="仿宋" w:hAnsi="仿宋" w:eastAsia="仿宋" w:cs="仿宋"/>
          <w:color w:val="auto"/>
          <w:sz w:val="21"/>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3208C05B">
      <w:pPr>
        <w:pStyle w:val="11"/>
        <w:spacing w:line="380" w:lineRule="exact"/>
        <w:ind w:firstLine="420"/>
        <w:jc w:val="both"/>
        <w:rPr>
          <w:rFonts w:hint="eastAsia" w:ascii="仿宋" w:hAnsi="仿宋" w:eastAsia="仿宋" w:cs="仿宋"/>
          <w:color w:val="auto"/>
          <w:sz w:val="21"/>
          <w:highlight w:val="none"/>
        </w:rPr>
      </w:pPr>
      <w:r>
        <w:rPr>
          <w:rFonts w:hint="eastAsia" w:ascii="仿宋" w:hAnsi="仿宋" w:eastAsia="仿宋" w:cs="仿宋"/>
          <w:color w:val="auto"/>
          <w:sz w:val="21"/>
          <w:highlight w:val="none"/>
        </w:rPr>
        <w:t>19.2 选择仲裁的，应在</w:t>
      </w:r>
      <w:r>
        <w:rPr>
          <w:rFonts w:hint="eastAsia" w:ascii="仿宋" w:hAnsi="仿宋" w:eastAsia="仿宋" w:cs="仿宋"/>
          <w:b/>
          <w:bCs/>
          <w:color w:val="auto"/>
          <w:sz w:val="21"/>
          <w:highlight w:val="none"/>
        </w:rPr>
        <w:t>【政府采购合同专用条款】</w:t>
      </w:r>
      <w:r>
        <w:rPr>
          <w:rFonts w:hint="eastAsia" w:ascii="仿宋" w:hAnsi="仿宋" w:eastAsia="仿宋" w:cs="仿宋"/>
          <w:color w:val="auto"/>
          <w:sz w:val="21"/>
          <w:highlight w:val="none"/>
        </w:rPr>
        <w:t>中明确仲裁机构及仲裁地；通过诉讼方式解决的，可以在</w:t>
      </w:r>
      <w:r>
        <w:rPr>
          <w:rFonts w:hint="eastAsia" w:ascii="仿宋" w:hAnsi="仿宋" w:eastAsia="仿宋" w:cs="仿宋"/>
          <w:b/>
          <w:bCs/>
          <w:color w:val="auto"/>
          <w:sz w:val="21"/>
          <w:highlight w:val="none"/>
        </w:rPr>
        <w:t>【政府采购合同专用条款】</w:t>
      </w:r>
      <w:r>
        <w:rPr>
          <w:rFonts w:hint="eastAsia" w:ascii="仿宋" w:hAnsi="仿宋" w:eastAsia="仿宋" w:cs="仿宋"/>
          <w:color w:val="auto"/>
          <w:sz w:val="21"/>
          <w:highlight w:val="none"/>
        </w:rPr>
        <w:t>中进一步约定选择与争议有实际联系的地点的人民法院管辖，但管辖法院的约定不得违反级别管辖和专属管辖的规定。</w:t>
      </w:r>
    </w:p>
    <w:p w14:paraId="41C64A36">
      <w:pPr>
        <w:pStyle w:val="11"/>
        <w:spacing w:line="380" w:lineRule="exact"/>
        <w:ind w:firstLine="420"/>
        <w:jc w:val="both"/>
        <w:rPr>
          <w:rFonts w:hint="eastAsia" w:ascii="仿宋" w:hAnsi="仿宋" w:eastAsia="仿宋" w:cs="仿宋"/>
          <w:color w:val="auto"/>
          <w:sz w:val="21"/>
          <w:highlight w:val="none"/>
        </w:rPr>
      </w:pPr>
      <w:r>
        <w:rPr>
          <w:rFonts w:hint="eastAsia" w:ascii="仿宋" w:hAnsi="仿宋" w:eastAsia="仿宋" w:cs="仿宋"/>
          <w:color w:val="auto"/>
          <w:sz w:val="21"/>
          <w:highlight w:val="none"/>
        </w:rPr>
        <w:t>19.3 如甲乙双方有争议的事项不影响合同其他部分的履行，在争议解决期间，合同其他部分应当继续履行。</w:t>
      </w:r>
    </w:p>
    <w:p w14:paraId="1995E85B">
      <w:pPr>
        <w:autoSpaceDE w:val="0"/>
        <w:autoSpaceDN w:val="0"/>
        <w:adjustRightInd w:val="0"/>
        <w:snapToGrid w:val="0"/>
        <w:spacing w:line="380" w:lineRule="exact"/>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20. 政府采购政策</w:t>
      </w:r>
    </w:p>
    <w:p w14:paraId="10285DE3">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20.1 </w:t>
      </w:r>
      <w:r>
        <w:rPr>
          <w:rFonts w:hint="eastAsia" w:ascii="仿宋" w:hAnsi="仿宋" w:eastAsia="仿宋" w:cs="仿宋"/>
          <w:color w:val="auto"/>
          <w:highlight w:val="none"/>
          <w:lang w:val="en-GB"/>
        </w:rPr>
        <w:t>本合同应当按照规定执行政府采购政策。</w:t>
      </w:r>
    </w:p>
    <w:p w14:paraId="4A32B2D6">
      <w:pPr>
        <w:autoSpaceDE w:val="0"/>
        <w:autoSpaceDN w:val="0"/>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20.2 本合同依法执行政府采购政策的方式和内容，属于合同履约验收的范围。</w:t>
      </w:r>
      <w:r>
        <w:rPr>
          <w:rFonts w:hint="eastAsia" w:ascii="仿宋" w:hAnsi="仿宋" w:eastAsia="仿宋" w:cs="仿宋"/>
          <w:color w:val="auto"/>
          <w:highlight w:val="none"/>
        </w:rPr>
        <w:t>甲乙双方</w:t>
      </w:r>
      <w:r>
        <w:rPr>
          <w:rFonts w:hint="eastAsia" w:ascii="仿宋" w:hAnsi="仿宋" w:eastAsia="仿宋" w:cs="仿宋"/>
          <w:color w:val="auto"/>
          <w:highlight w:val="none"/>
          <w:lang w:val="en-GB"/>
        </w:rPr>
        <w:t>未按规定要求执行政府采购政策造成损失的</w:t>
      </w:r>
      <w:r>
        <w:rPr>
          <w:rFonts w:hint="eastAsia" w:ascii="仿宋" w:hAnsi="仿宋" w:eastAsia="仿宋" w:cs="仿宋"/>
          <w:color w:val="auto"/>
          <w:szCs w:val="21"/>
          <w:highlight w:val="none"/>
        </w:rPr>
        <w:t>，有过错的一方应当承担赔偿责任，双方都有过错的，各自承担相应的责任。</w:t>
      </w:r>
    </w:p>
    <w:p w14:paraId="48BA6A6A">
      <w:pPr>
        <w:pStyle w:val="3"/>
        <w:spacing w:line="3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5C4A0C1">
      <w:pPr>
        <w:autoSpaceDE w:val="0"/>
        <w:autoSpaceDN w:val="0"/>
        <w:adjustRightInd w:val="0"/>
        <w:snapToGrid w:val="0"/>
        <w:spacing w:line="38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21. 法律适用</w:t>
      </w:r>
    </w:p>
    <w:p w14:paraId="0ECA0506">
      <w:pPr>
        <w:pStyle w:val="11"/>
        <w:spacing w:line="380" w:lineRule="exact"/>
        <w:ind w:firstLine="420"/>
        <w:jc w:val="both"/>
        <w:rPr>
          <w:rFonts w:hint="eastAsia" w:ascii="仿宋" w:hAnsi="仿宋" w:eastAsia="仿宋" w:cs="仿宋"/>
          <w:color w:val="auto"/>
          <w:sz w:val="21"/>
          <w:highlight w:val="none"/>
        </w:rPr>
      </w:pPr>
      <w:r>
        <w:rPr>
          <w:rFonts w:hint="eastAsia" w:ascii="仿宋" w:hAnsi="仿宋" w:eastAsia="仿宋" w:cs="仿宋"/>
          <w:color w:val="auto"/>
          <w:sz w:val="21"/>
          <w:highlight w:val="none"/>
        </w:rPr>
        <w:t>21.1 本合同的订立、生效、解释、履行及与本合同有关的争议解决，均适用法律、行政法规。</w:t>
      </w:r>
    </w:p>
    <w:p w14:paraId="5AABA84B">
      <w:pPr>
        <w:pStyle w:val="11"/>
        <w:spacing w:line="380" w:lineRule="exact"/>
        <w:ind w:firstLine="420"/>
        <w:jc w:val="both"/>
        <w:rPr>
          <w:rFonts w:hint="eastAsia" w:ascii="仿宋" w:hAnsi="仿宋" w:eastAsia="仿宋" w:cs="仿宋"/>
          <w:color w:val="auto"/>
          <w:sz w:val="21"/>
          <w:highlight w:val="none"/>
        </w:rPr>
      </w:pPr>
      <w:r>
        <w:rPr>
          <w:rFonts w:hint="eastAsia" w:ascii="仿宋" w:hAnsi="仿宋" w:eastAsia="仿宋" w:cs="仿宋"/>
          <w:color w:val="auto"/>
          <w:sz w:val="21"/>
          <w:highlight w:val="none"/>
        </w:rPr>
        <w:t>21.2 本合同条款与法律、行政法规的强制性规定不一致的，双方当事人应按照法律、行政法规的强制性规定修改本合同的相关条款。</w:t>
      </w:r>
    </w:p>
    <w:p w14:paraId="33EA31A3">
      <w:pPr>
        <w:numPr>
          <w:ilvl w:val="255"/>
          <w:numId w:val="0"/>
        </w:numPr>
        <w:autoSpaceDE w:val="0"/>
        <w:autoSpaceDN w:val="0"/>
        <w:adjustRightInd w:val="0"/>
        <w:snapToGrid w:val="0"/>
        <w:spacing w:line="38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22. 通知</w:t>
      </w:r>
    </w:p>
    <w:p w14:paraId="6636EEB2">
      <w:pPr>
        <w:pStyle w:val="11"/>
        <w:spacing w:line="380" w:lineRule="exact"/>
        <w:ind w:firstLine="420"/>
        <w:jc w:val="both"/>
        <w:rPr>
          <w:rFonts w:hint="eastAsia" w:ascii="仿宋" w:hAnsi="仿宋" w:eastAsia="仿宋" w:cs="仿宋"/>
          <w:color w:val="auto"/>
          <w:sz w:val="21"/>
          <w:highlight w:val="none"/>
        </w:rPr>
      </w:pPr>
      <w:r>
        <w:rPr>
          <w:rFonts w:hint="eastAsia" w:ascii="仿宋" w:hAnsi="仿宋" w:eastAsia="仿宋" w:cs="仿宋"/>
          <w:color w:val="auto"/>
          <w:sz w:val="21"/>
          <w:highlight w:val="none"/>
        </w:rPr>
        <w:t>22.1 本合同任何一方向对方发出的通知、信件、数据电文等，应当发送至本合同第一部分《政府采购合同协议书》所约定的通讯地址、联系人、联系电话或电子邮箱。</w:t>
      </w:r>
    </w:p>
    <w:p w14:paraId="1EB59BF6">
      <w:pPr>
        <w:pStyle w:val="11"/>
        <w:spacing w:line="380" w:lineRule="exact"/>
        <w:ind w:firstLine="0" w:firstLineChars="0"/>
        <w:jc w:val="both"/>
        <w:rPr>
          <w:rFonts w:hint="eastAsia" w:ascii="仿宋" w:hAnsi="仿宋" w:eastAsia="仿宋" w:cs="仿宋"/>
          <w:color w:val="auto"/>
          <w:sz w:val="21"/>
          <w:highlight w:val="none"/>
        </w:rPr>
      </w:pPr>
      <w:r>
        <w:rPr>
          <w:rFonts w:hint="eastAsia" w:ascii="仿宋" w:hAnsi="仿宋" w:eastAsia="仿宋" w:cs="仿宋"/>
          <w:color w:val="auto"/>
          <w:sz w:val="21"/>
          <w:highlight w:val="none"/>
        </w:rPr>
        <w:t xml:space="preserve">    22.2 一方当事人变更名称、住所、联系人、联系电话或电子邮箱等信息的，应当在变更后3日内及时书面通知对方，对方实际收到变更通知前的送达仍为有效送达。</w:t>
      </w:r>
    </w:p>
    <w:p w14:paraId="2EEFDA26">
      <w:pPr>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22.3本合同一方给另一方的通知均应采用书面形式，传真或快递送到本合同中规定的对方的地址和办理签收手续。</w:t>
      </w:r>
    </w:p>
    <w:p w14:paraId="7F6B00D3">
      <w:pPr>
        <w:adjustRightInd w:val="0"/>
        <w:snapToGrid w:val="0"/>
        <w:spacing w:line="380" w:lineRule="exact"/>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22.4通知以送达之日或通知书中规定的生效之日起生效，两者中以较迟之日为准。</w:t>
      </w:r>
    </w:p>
    <w:p w14:paraId="53BF2108">
      <w:pPr>
        <w:numPr>
          <w:ilvl w:val="0"/>
          <w:numId w:val="8"/>
        </w:numPr>
        <w:adjustRightInd w:val="0"/>
        <w:snapToGrid w:val="0"/>
        <w:spacing w:line="38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合同未尽事项</w:t>
      </w:r>
    </w:p>
    <w:p w14:paraId="09DC0747">
      <w:pPr>
        <w:adjustRightInd w:val="0"/>
        <w:snapToGrid w:val="0"/>
        <w:spacing w:line="380" w:lineRule="exact"/>
        <w:ind w:firstLine="480" w:firstLineChars="200"/>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23.1合同未尽事项见</w:t>
      </w:r>
      <w:r>
        <w:rPr>
          <w:rFonts w:hint="eastAsia" w:ascii="仿宋" w:hAnsi="仿宋" w:eastAsia="仿宋" w:cs="仿宋"/>
          <w:b/>
          <w:color w:val="auto"/>
          <w:szCs w:val="21"/>
          <w:highlight w:val="none"/>
        </w:rPr>
        <w:t>【政府采购合同专用条款】</w:t>
      </w:r>
      <w:r>
        <w:rPr>
          <w:rFonts w:hint="eastAsia" w:ascii="仿宋" w:hAnsi="仿宋" w:eastAsia="仿宋" w:cs="仿宋"/>
          <w:bCs/>
          <w:color w:val="auto"/>
          <w:szCs w:val="21"/>
          <w:highlight w:val="none"/>
        </w:rPr>
        <w:t>。</w:t>
      </w:r>
    </w:p>
    <w:p w14:paraId="4C4726F2">
      <w:pPr>
        <w:adjustRightInd w:val="0"/>
        <w:snapToGrid w:val="0"/>
        <w:spacing w:line="380" w:lineRule="exact"/>
        <w:jc w:val="left"/>
        <w:rPr>
          <w:rFonts w:hint="eastAsia" w:ascii="仿宋" w:hAnsi="仿宋" w:eastAsia="仿宋" w:cs="仿宋"/>
          <w:color w:val="auto"/>
          <w:sz w:val="28"/>
          <w:szCs w:val="28"/>
          <w:highlight w:val="none"/>
        </w:rPr>
      </w:pPr>
      <w:r>
        <w:rPr>
          <w:rFonts w:hint="eastAsia" w:ascii="仿宋" w:hAnsi="仿宋" w:eastAsia="仿宋" w:cs="仿宋"/>
          <w:bCs/>
          <w:color w:val="auto"/>
          <w:szCs w:val="21"/>
          <w:highlight w:val="none"/>
        </w:rPr>
        <w:t xml:space="preserve">    23.2 合同附件与合同正文具有同等的法律效力。</w:t>
      </w:r>
      <w:bookmarkStart w:id="4" w:name="_Toc20313"/>
    </w:p>
    <w:p w14:paraId="39413D3E">
      <w:pPr>
        <w:adjustRightInd w:val="0"/>
        <w:snapToGrid w:val="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794EECC0">
      <w:pPr>
        <w:pStyle w:val="2"/>
        <w:keepNext/>
        <w:keepLines/>
        <w:pageBreakBefore w:val="0"/>
        <w:widowControl w:val="0"/>
        <w:kinsoku/>
        <w:wordWrap/>
        <w:overflowPunct/>
        <w:topLinePunct w:val="0"/>
        <w:autoSpaceDE/>
        <w:autoSpaceDN/>
        <w:bidi w:val="0"/>
        <w:adjustRightInd w:val="0"/>
        <w:snapToGrid w:val="0"/>
        <w:spacing w:before="120" w:after="120" w:line="360" w:lineRule="auto"/>
        <w:jc w:val="center"/>
        <w:textAlignment w:val="auto"/>
        <w:outlineLvl w:val="2"/>
        <w:rPr>
          <w:rFonts w:hint="eastAsia" w:ascii="仿宋" w:hAnsi="仿宋" w:eastAsia="仿宋" w:cs="仿宋"/>
          <w:b w:val="0"/>
          <w:bCs w:val="0"/>
          <w:color w:val="auto"/>
          <w:szCs w:val="28"/>
          <w:highlight w:val="none"/>
        </w:rPr>
      </w:pPr>
      <w:r>
        <w:rPr>
          <w:rFonts w:hint="eastAsia" w:ascii="仿宋" w:hAnsi="仿宋" w:eastAsia="仿宋" w:cs="仿宋"/>
          <w:b/>
          <w:bCs/>
          <w:color w:val="auto"/>
          <w:szCs w:val="28"/>
          <w:highlight w:val="none"/>
        </w:rPr>
        <w:t>第三节 政府采购合同专用条款</w:t>
      </w:r>
      <w:bookmarkEnd w:id="4"/>
    </w:p>
    <w:tbl>
      <w:tblPr>
        <w:tblStyle w:val="8"/>
        <w:tblW w:w="4999"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427"/>
        <w:gridCol w:w="1548"/>
        <w:gridCol w:w="5545"/>
      </w:tblGrid>
      <w:tr w14:paraId="0AD61E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837" w:type="pct"/>
            <w:vAlign w:val="center"/>
          </w:tcPr>
          <w:p w14:paraId="2CD72BDF">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13F7AC27">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第1.2（6）项</w:t>
            </w:r>
          </w:p>
        </w:tc>
        <w:tc>
          <w:tcPr>
            <w:tcW w:w="908" w:type="pct"/>
            <w:vAlign w:val="center"/>
          </w:tcPr>
          <w:p w14:paraId="0E3FBF22">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联合体具体要求</w:t>
            </w:r>
          </w:p>
        </w:tc>
        <w:tc>
          <w:tcPr>
            <w:tcW w:w="3253" w:type="pct"/>
            <w:vAlign w:val="center"/>
          </w:tcPr>
          <w:p w14:paraId="36F1B459">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无</w:t>
            </w:r>
          </w:p>
        </w:tc>
      </w:tr>
      <w:tr w14:paraId="4ED6DE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837" w:type="pct"/>
            <w:vAlign w:val="center"/>
          </w:tcPr>
          <w:p w14:paraId="66CEC19C">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5E4FCB49">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第1.2（7）项</w:t>
            </w:r>
          </w:p>
        </w:tc>
        <w:tc>
          <w:tcPr>
            <w:tcW w:w="908" w:type="pct"/>
            <w:vAlign w:val="center"/>
          </w:tcPr>
          <w:p w14:paraId="604EC274">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其他术语解释</w:t>
            </w:r>
          </w:p>
        </w:tc>
        <w:tc>
          <w:tcPr>
            <w:tcW w:w="3253" w:type="pct"/>
            <w:vAlign w:val="center"/>
          </w:tcPr>
          <w:p w14:paraId="62CC3EE4">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无</w:t>
            </w:r>
          </w:p>
        </w:tc>
      </w:tr>
      <w:tr w14:paraId="1E4A36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837" w:type="pct"/>
            <w:vAlign w:val="center"/>
          </w:tcPr>
          <w:p w14:paraId="04B4B5AE">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15D38A32">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第4.4款</w:t>
            </w:r>
          </w:p>
        </w:tc>
        <w:tc>
          <w:tcPr>
            <w:tcW w:w="908" w:type="pct"/>
            <w:vAlign w:val="center"/>
          </w:tcPr>
          <w:p w14:paraId="37FA0DD5">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履约验收中甲方提出异议或作出说明的期限</w:t>
            </w:r>
          </w:p>
        </w:tc>
        <w:tc>
          <w:tcPr>
            <w:tcW w:w="3253" w:type="pct"/>
            <w:vAlign w:val="center"/>
          </w:tcPr>
          <w:p w14:paraId="50809EA6">
            <w:pPr>
              <w:spacing w:line="360" w:lineRule="auto"/>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从乙方提出验收申请之日起</w:t>
            </w:r>
            <w:r>
              <w:rPr>
                <w:rFonts w:hint="eastAsia" w:ascii="仿宋" w:hAnsi="仿宋" w:eastAsia="仿宋" w:cs="仿宋"/>
                <w:bCs/>
                <w:color w:val="auto"/>
                <w:szCs w:val="21"/>
                <w:highlight w:val="none"/>
                <w:lang w:val="en-US" w:eastAsia="zh-CN"/>
              </w:rPr>
              <w:t>30</w:t>
            </w:r>
            <w:r>
              <w:rPr>
                <w:rFonts w:hint="eastAsia" w:ascii="仿宋" w:hAnsi="仿宋" w:eastAsia="仿宋" w:cs="仿宋"/>
                <w:bCs/>
                <w:color w:val="auto"/>
                <w:szCs w:val="21"/>
                <w:highlight w:val="none"/>
              </w:rPr>
              <w:t>日内组织验收</w:t>
            </w:r>
          </w:p>
        </w:tc>
      </w:tr>
      <w:tr w14:paraId="670AF5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837" w:type="pct"/>
            <w:vAlign w:val="center"/>
          </w:tcPr>
          <w:p w14:paraId="06881153">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2A5664BB">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第4.6款</w:t>
            </w:r>
          </w:p>
        </w:tc>
        <w:tc>
          <w:tcPr>
            <w:tcW w:w="908" w:type="pct"/>
            <w:vAlign w:val="center"/>
          </w:tcPr>
          <w:p w14:paraId="4C568592">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约定甲方承担的其他义务和责任</w:t>
            </w:r>
          </w:p>
        </w:tc>
        <w:tc>
          <w:tcPr>
            <w:tcW w:w="3253" w:type="pct"/>
            <w:vAlign w:val="center"/>
          </w:tcPr>
          <w:p w14:paraId="72502CD6">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无</w:t>
            </w:r>
          </w:p>
        </w:tc>
      </w:tr>
      <w:tr w14:paraId="776EFC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837" w:type="pct"/>
            <w:vAlign w:val="center"/>
          </w:tcPr>
          <w:p w14:paraId="3FB16C3C">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28940104">
            <w:pPr>
              <w:snapToGrid w:val="0"/>
              <w:jc w:val="center"/>
              <w:rPr>
                <w:rFonts w:hint="eastAsia" w:ascii="仿宋" w:hAnsi="仿宋" w:eastAsia="仿宋" w:cs="仿宋"/>
                <w:color w:val="auto"/>
                <w:highlight w:val="none"/>
              </w:rPr>
            </w:pPr>
            <w:r>
              <w:rPr>
                <w:rFonts w:hint="eastAsia" w:ascii="仿宋" w:hAnsi="仿宋" w:eastAsia="仿宋" w:cs="仿宋"/>
                <w:color w:val="auto"/>
                <w:szCs w:val="21"/>
                <w:highlight w:val="none"/>
              </w:rPr>
              <w:t>第5.4款</w:t>
            </w:r>
          </w:p>
        </w:tc>
        <w:tc>
          <w:tcPr>
            <w:tcW w:w="908" w:type="pct"/>
            <w:vAlign w:val="center"/>
          </w:tcPr>
          <w:p w14:paraId="29529DA6">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约定乙方承担的其他义务和责任</w:t>
            </w:r>
          </w:p>
        </w:tc>
        <w:tc>
          <w:tcPr>
            <w:tcW w:w="3253" w:type="pct"/>
            <w:vAlign w:val="center"/>
          </w:tcPr>
          <w:p w14:paraId="67BE9A4B">
            <w:pPr>
              <w:spacing w:line="400" w:lineRule="exact"/>
              <w:rPr>
                <w:rFonts w:hint="eastAsia" w:ascii="仿宋" w:hAnsi="仿宋" w:eastAsia="仿宋" w:cs="仿宋"/>
                <w:color w:val="auto"/>
                <w:szCs w:val="21"/>
                <w:highlight w:val="none"/>
              </w:rPr>
            </w:pPr>
          </w:p>
        </w:tc>
      </w:tr>
      <w:tr w14:paraId="2D735D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837" w:type="pct"/>
            <w:vAlign w:val="center"/>
          </w:tcPr>
          <w:p w14:paraId="44BB0BB2">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48E6F5C6">
            <w:pPr>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第6.1款</w:t>
            </w:r>
          </w:p>
        </w:tc>
        <w:tc>
          <w:tcPr>
            <w:tcW w:w="908" w:type="pct"/>
            <w:vAlign w:val="center"/>
          </w:tcPr>
          <w:p w14:paraId="6983329F">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履行合同义务的顺序</w:t>
            </w:r>
          </w:p>
        </w:tc>
        <w:tc>
          <w:tcPr>
            <w:tcW w:w="3253" w:type="pct"/>
            <w:vAlign w:val="center"/>
          </w:tcPr>
          <w:p w14:paraId="07105ED7">
            <w:pPr>
              <w:autoSpaceDE w:val="0"/>
              <w:autoSpaceDN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甲乙双方应当同时履行合同义务。</w:t>
            </w:r>
          </w:p>
          <w:p w14:paraId="04C19E6D">
            <w:pPr>
              <w:autoSpaceDE w:val="0"/>
              <w:autoSpaceDN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甲乙双方按照合同约定顺序履行合同义务时，应当先履行一方未履行的，后履行一方有权拒绝其履行请求。先履行一方履行不符合约定的，后履行一方有权拒绝其相应的履行请求。</w:t>
            </w:r>
          </w:p>
        </w:tc>
      </w:tr>
      <w:tr w14:paraId="692986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837" w:type="pct"/>
            <w:vMerge w:val="restart"/>
            <w:vAlign w:val="center"/>
          </w:tcPr>
          <w:p w14:paraId="4B5747A6">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501C7CCA">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第7.1款</w:t>
            </w:r>
          </w:p>
        </w:tc>
        <w:tc>
          <w:tcPr>
            <w:tcW w:w="908" w:type="pct"/>
            <w:vAlign w:val="center"/>
          </w:tcPr>
          <w:p w14:paraId="10866683">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包装特殊要求</w:t>
            </w:r>
          </w:p>
        </w:tc>
        <w:tc>
          <w:tcPr>
            <w:tcW w:w="3253" w:type="pct"/>
            <w:vAlign w:val="center"/>
          </w:tcPr>
          <w:p w14:paraId="70648C2A">
            <w:pPr>
              <w:rPr>
                <w:rFonts w:hint="eastAsia" w:ascii="仿宋" w:hAnsi="仿宋" w:eastAsia="仿宋" w:cs="仿宋"/>
                <w:color w:val="auto"/>
                <w:highlight w:val="none"/>
              </w:rPr>
            </w:pPr>
            <w:r>
              <w:rPr>
                <w:rFonts w:hint="eastAsia" w:ascii="仿宋" w:hAnsi="仿宋" w:eastAsia="仿宋" w:cs="仿宋"/>
                <w:color w:val="auto"/>
                <w:highlight w:val="none"/>
              </w:rPr>
              <w:t>（1）符合出厂规范、包装完整无破损、满足长途运输要求。</w:t>
            </w:r>
          </w:p>
          <w:p w14:paraId="37679AFF">
            <w:pPr>
              <w:rPr>
                <w:rFonts w:hint="eastAsia" w:ascii="仿宋" w:hAnsi="仿宋" w:eastAsia="仿宋" w:cs="仿宋"/>
                <w:color w:val="auto"/>
                <w:highlight w:val="none"/>
              </w:rPr>
            </w:pPr>
            <w:r>
              <w:rPr>
                <w:rFonts w:hint="eastAsia" w:ascii="仿宋" w:hAnsi="仿宋" w:eastAsia="仿宋" w:cs="仿宋"/>
                <w:color w:val="auto"/>
                <w:highlight w:val="none"/>
              </w:rPr>
              <w:t>（2）防雨、防潮、各种符号、标识清楚。</w:t>
            </w:r>
          </w:p>
          <w:p w14:paraId="1518CD21">
            <w:pPr>
              <w:rPr>
                <w:rFonts w:hint="eastAsia" w:ascii="仿宋" w:hAnsi="仿宋" w:eastAsia="仿宋" w:cs="仿宋"/>
                <w:color w:val="auto"/>
                <w:highlight w:val="none"/>
              </w:rPr>
            </w:pPr>
            <w:r>
              <w:rPr>
                <w:rFonts w:hint="eastAsia" w:ascii="仿宋" w:hAnsi="仿宋" w:eastAsia="仿宋" w:cs="仿宋"/>
                <w:color w:val="auto"/>
                <w:highlight w:val="none"/>
              </w:rPr>
              <w:t>（3）必须为原装、全新产品，渠道合法。</w:t>
            </w:r>
          </w:p>
        </w:tc>
      </w:tr>
      <w:tr w14:paraId="63EF1B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837" w:type="pct"/>
            <w:vMerge w:val="continue"/>
            <w:vAlign w:val="center"/>
          </w:tcPr>
          <w:p w14:paraId="59C2A432">
            <w:pPr>
              <w:adjustRightInd w:val="0"/>
              <w:snapToGrid w:val="0"/>
              <w:jc w:val="center"/>
              <w:rPr>
                <w:rFonts w:hint="eastAsia" w:ascii="仿宋" w:hAnsi="仿宋" w:eastAsia="仿宋" w:cs="仿宋"/>
                <w:color w:val="auto"/>
                <w:szCs w:val="21"/>
                <w:highlight w:val="none"/>
              </w:rPr>
            </w:pPr>
          </w:p>
        </w:tc>
        <w:tc>
          <w:tcPr>
            <w:tcW w:w="908" w:type="pct"/>
            <w:vAlign w:val="center"/>
          </w:tcPr>
          <w:p w14:paraId="75EDF0FE">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指定现场</w:t>
            </w:r>
          </w:p>
        </w:tc>
        <w:tc>
          <w:tcPr>
            <w:tcW w:w="3253" w:type="pct"/>
            <w:vAlign w:val="center"/>
          </w:tcPr>
          <w:p w14:paraId="5BF98055">
            <w:pPr>
              <w:rPr>
                <w:rFonts w:hint="eastAsia" w:ascii="仿宋" w:hAnsi="仿宋" w:eastAsia="仿宋" w:cs="仿宋"/>
                <w:color w:val="auto"/>
                <w:highlight w:val="none"/>
              </w:rPr>
            </w:pPr>
            <w:r>
              <w:rPr>
                <w:rFonts w:hint="eastAsia" w:ascii="仿宋" w:hAnsi="仿宋" w:eastAsia="仿宋" w:cs="仿宋"/>
                <w:color w:val="auto"/>
                <w:highlight w:val="none"/>
              </w:rPr>
              <w:t>甲方指定地点</w:t>
            </w:r>
          </w:p>
        </w:tc>
      </w:tr>
      <w:tr w14:paraId="721667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837" w:type="pct"/>
            <w:vAlign w:val="center"/>
          </w:tcPr>
          <w:p w14:paraId="61DAADB2">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3E20EA8D">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第7.2款</w:t>
            </w:r>
          </w:p>
        </w:tc>
        <w:tc>
          <w:tcPr>
            <w:tcW w:w="908" w:type="pct"/>
            <w:vAlign w:val="center"/>
          </w:tcPr>
          <w:p w14:paraId="2B79A7DA">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运输特殊要求</w:t>
            </w:r>
          </w:p>
        </w:tc>
        <w:tc>
          <w:tcPr>
            <w:tcW w:w="3253" w:type="pct"/>
            <w:vAlign w:val="center"/>
          </w:tcPr>
          <w:p w14:paraId="78EB9065">
            <w:pPr>
              <w:rPr>
                <w:rFonts w:hint="eastAsia" w:ascii="仿宋" w:hAnsi="仿宋" w:eastAsia="仿宋" w:cs="仿宋"/>
                <w:color w:val="auto"/>
                <w:highlight w:val="none"/>
              </w:rPr>
            </w:pPr>
            <w:r>
              <w:rPr>
                <w:rFonts w:hint="eastAsia" w:ascii="仿宋" w:hAnsi="仿宋" w:eastAsia="仿宋" w:cs="仿宋"/>
                <w:color w:val="auto"/>
                <w:szCs w:val="21"/>
                <w:highlight w:val="none"/>
              </w:rPr>
              <w:t>无</w:t>
            </w:r>
          </w:p>
        </w:tc>
      </w:tr>
      <w:tr w14:paraId="27CB4A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837" w:type="pct"/>
            <w:vAlign w:val="center"/>
          </w:tcPr>
          <w:p w14:paraId="7EF1C4C5">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14F297DC">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第7.3款</w:t>
            </w:r>
          </w:p>
        </w:tc>
        <w:tc>
          <w:tcPr>
            <w:tcW w:w="908" w:type="pct"/>
            <w:vAlign w:val="center"/>
          </w:tcPr>
          <w:p w14:paraId="43A4D9BA">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保险要求</w:t>
            </w:r>
          </w:p>
        </w:tc>
        <w:tc>
          <w:tcPr>
            <w:tcW w:w="3253" w:type="pct"/>
            <w:vAlign w:val="center"/>
          </w:tcPr>
          <w:p w14:paraId="0CC195C7">
            <w:pPr>
              <w:adjustRightInd w:val="0"/>
              <w:snapToGrid w:val="0"/>
              <w:spacing w:line="400" w:lineRule="exact"/>
              <w:jc w:val="left"/>
              <w:rPr>
                <w:rFonts w:hint="eastAsia" w:ascii="仿宋" w:hAnsi="仿宋" w:eastAsia="仿宋" w:cs="仿宋"/>
                <w:color w:val="auto"/>
                <w:highlight w:val="none"/>
              </w:rPr>
            </w:pPr>
            <w:r>
              <w:rPr>
                <w:rFonts w:hint="eastAsia" w:ascii="仿宋" w:hAnsi="仿宋" w:eastAsia="仿宋" w:cs="仿宋"/>
                <w:color w:val="auto"/>
                <w:szCs w:val="21"/>
                <w:highlight w:val="none"/>
              </w:rPr>
              <w:t>无。</w:t>
            </w:r>
          </w:p>
        </w:tc>
      </w:tr>
      <w:tr w14:paraId="0D6D28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837" w:type="pct"/>
            <w:vAlign w:val="center"/>
          </w:tcPr>
          <w:p w14:paraId="035F93C9">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114FC6D9">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第8.2（1）项</w:t>
            </w:r>
          </w:p>
        </w:tc>
        <w:tc>
          <w:tcPr>
            <w:tcW w:w="908" w:type="pct"/>
            <w:vAlign w:val="center"/>
          </w:tcPr>
          <w:p w14:paraId="6B55858F">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质量保证期</w:t>
            </w:r>
          </w:p>
        </w:tc>
        <w:tc>
          <w:tcPr>
            <w:tcW w:w="3253" w:type="pct"/>
            <w:vAlign w:val="center"/>
          </w:tcPr>
          <w:p w14:paraId="5040FC76">
            <w:pPr>
              <w:autoSpaceDE w:val="0"/>
              <w:autoSpaceDN w:val="0"/>
              <w:adjustRightInd w:val="0"/>
              <w:snapToGrid w:val="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w:t>
            </w:r>
            <w:r>
              <w:rPr>
                <w:rFonts w:hint="eastAsia" w:ascii="仿宋" w:hAnsi="仿宋" w:eastAsia="仿宋" w:cs="仿宋"/>
                <w:color w:val="auto"/>
                <w:szCs w:val="21"/>
                <w:highlight w:val="none"/>
                <w:lang w:val="en-US" w:eastAsia="zh-CN"/>
              </w:rPr>
              <w:t>序号1-6</w:t>
            </w:r>
            <w:r>
              <w:rPr>
                <w:rFonts w:hint="eastAsia" w:ascii="仿宋" w:hAnsi="仿宋" w:eastAsia="仿宋" w:cs="仿宋"/>
                <w:color w:val="auto"/>
                <w:szCs w:val="21"/>
                <w:highlight w:val="none"/>
                <w:lang w:eastAsia="zh-CN"/>
              </w:rPr>
              <w:t>设备验收合格后原厂质保≥</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年，序号</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11</w:t>
            </w:r>
            <w:r>
              <w:rPr>
                <w:rFonts w:hint="eastAsia" w:ascii="仿宋" w:hAnsi="仿宋" w:eastAsia="仿宋" w:cs="仿宋"/>
                <w:color w:val="auto"/>
                <w:szCs w:val="21"/>
                <w:highlight w:val="none"/>
                <w:lang w:eastAsia="zh-CN"/>
              </w:rPr>
              <w:t>设备验收合格后原厂质保≥</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年，保修期满后</w:t>
            </w:r>
            <w:r>
              <w:rPr>
                <w:rFonts w:hint="eastAsia" w:ascii="仿宋" w:hAnsi="仿宋" w:eastAsia="仿宋" w:cs="仿宋"/>
                <w:color w:val="auto"/>
                <w:szCs w:val="21"/>
                <w:highlight w:val="none"/>
                <w:lang w:val="en-US" w:eastAsia="zh-CN"/>
              </w:rPr>
              <w:t>如需</w:t>
            </w:r>
            <w:r>
              <w:rPr>
                <w:rFonts w:hint="eastAsia" w:ascii="仿宋" w:hAnsi="仿宋" w:eastAsia="仿宋" w:cs="仿宋"/>
                <w:color w:val="auto"/>
                <w:szCs w:val="21"/>
                <w:highlight w:val="none"/>
                <w:lang w:eastAsia="zh-CN"/>
              </w:rPr>
              <w:t>维修</w:t>
            </w:r>
            <w:r>
              <w:rPr>
                <w:rFonts w:hint="eastAsia" w:ascii="仿宋" w:hAnsi="仿宋" w:eastAsia="仿宋" w:cs="仿宋"/>
                <w:color w:val="auto"/>
                <w:szCs w:val="21"/>
                <w:highlight w:val="none"/>
                <w:lang w:val="en-US" w:eastAsia="zh-CN"/>
              </w:rPr>
              <w:t>的</w:t>
            </w:r>
            <w:r>
              <w:rPr>
                <w:rFonts w:hint="eastAsia" w:ascii="仿宋" w:hAnsi="仿宋" w:eastAsia="仿宋" w:cs="仿宋"/>
                <w:color w:val="auto"/>
                <w:szCs w:val="21"/>
                <w:highlight w:val="none"/>
                <w:lang w:eastAsia="zh-CN"/>
              </w:rPr>
              <w:t>，只收取材料成本费并保证零配件供应≥5年。（在合同签订时提供相应原厂质保承诺函。）</w:t>
            </w:r>
          </w:p>
          <w:p w14:paraId="1DE2902C">
            <w:pPr>
              <w:autoSpaceDE w:val="0"/>
              <w:autoSpaceDN w:val="0"/>
              <w:adjustRightInd w:val="0"/>
              <w:snapToGrid w:val="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lang w:val="en-US" w:eastAsia="zh-CN"/>
              </w:rPr>
              <w:t>负责</w:t>
            </w:r>
            <w:r>
              <w:rPr>
                <w:rFonts w:hint="eastAsia" w:ascii="仿宋" w:hAnsi="仿宋" w:eastAsia="仿宋" w:cs="仿宋"/>
                <w:color w:val="auto"/>
                <w:szCs w:val="21"/>
                <w:highlight w:val="none"/>
                <w:lang w:eastAsia="zh-CN"/>
              </w:rPr>
              <w:t>培训操作人员。</w:t>
            </w:r>
          </w:p>
          <w:p w14:paraId="36BA4592">
            <w:pPr>
              <w:autoSpaceDE w:val="0"/>
              <w:autoSpaceDN w:val="0"/>
              <w:adjustRightInd w:val="0"/>
              <w:snapToGrid w:val="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3.维修响应时间2小时，24小时到位。</w:t>
            </w:r>
          </w:p>
        </w:tc>
      </w:tr>
      <w:tr w14:paraId="2B0425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837" w:type="pct"/>
            <w:vAlign w:val="center"/>
          </w:tcPr>
          <w:p w14:paraId="2CE5E146">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01843526">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第8.2（3）项</w:t>
            </w:r>
          </w:p>
        </w:tc>
        <w:tc>
          <w:tcPr>
            <w:tcW w:w="908" w:type="pct"/>
            <w:vAlign w:val="center"/>
          </w:tcPr>
          <w:p w14:paraId="05D1A6B5">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货物质量缺陷响应时间</w:t>
            </w:r>
          </w:p>
        </w:tc>
        <w:tc>
          <w:tcPr>
            <w:tcW w:w="3253" w:type="pct"/>
            <w:vAlign w:val="center"/>
          </w:tcPr>
          <w:p w14:paraId="706832FD">
            <w:pPr>
              <w:autoSpaceDE w:val="0"/>
              <w:autoSpaceDN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zh-CN"/>
              </w:rPr>
              <w:t>响应时间</w:t>
            </w:r>
            <w:r>
              <w:rPr>
                <w:rFonts w:hint="eastAsia" w:ascii="仿宋" w:hAnsi="仿宋" w:eastAsia="仿宋" w:cs="仿宋"/>
                <w:color w:val="auto"/>
                <w:szCs w:val="21"/>
                <w:highlight w:val="none"/>
              </w:rPr>
              <w:t>为</w:t>
            </w:r>
            <w:r>
              <w:rPr>
                <w:rFonts w:hint="eastAsia" w:ascii="仿宋" w:hAnsi="仿宋" w:eastAsia="仿宋" w:cs="仿宋"/>
                <w:color w:val="auto"/>
                <w:szCs w:val="21"/>
                <w:highlight w:val="none"/>
                <w:lang w:val="zh-CN"/>
              </w:rPr>
              <w:t>7×24小时</w:t>
            </w:r>
          </w:p>
        </w:tc>
      </w:tr>
      <w:tr w14:paraId="63A0D6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837" w:type="pct"/>
            <w:vAlign w:val="center"/>
          </w:tcPr>
          <w:p w14:paraId="7875F22C">
            <w:pPr>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6AFD4BA3">
            <w:pPr>
              <w:pStyle w:val="11"/>
              <w:ind w:firstLine="0" w:firstLineChars="0"/>
              <w:jc w:val="center"/>
              <w:rPr>
                <w:rFonts w:hint="eastAsia" w:ascii="仿宋" w:hAnsi="仿宋" w:eastAsia="仿宋" w:cs="仿宋"/>
                <w:color w:val="auto"/>
                <w:highlight w:val="none"/>
              </w:rPr>
            </w:pPr>
            <w:r>
              <w:rPr>
                <w:rFonts w:hint="eastAsia" w:ascii="仿宋" w:hAnsi="仿宋" w:eastAsia="仿宋" w:cs="仿宋"/>
                <w:color w:val="auto"/>
                <w:highlight w:val="none"/>
              </w:rPr>
              <w:t>第11.1款</w:t>
            </w:r>
          </w:p>
        </w:tc>
        <w:tc>
          <w:tcPr>
            <w:tcW w:w="908" w:type="pct"/>
            <w:vAlign w:val="center"/>
          </w:tcPr>
          <w:p w14:paraId="413FC6F5">
            <w:pPr>
              <w:adjustRightInd w:val="0"/>
              <w:snapToGrid w:val="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其他应当保密的信息</w:t>
            </w:r>
          </w:p>
        </w:tc>
        <w:tc>
          <w:tcPr>
            <w:tcW w:w="3253" w:type="pct"/>
            <w:vAlign w:val="center"/>
          </w:tcPr>
          <w:p w14:paraId="5B900E69">
            <w:pPr>
              <w:adjustRightInd w:val="0"/>
              <w:snapToGrid w:val="0"/>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乙方须对甲方的相关数据、文件等信息严格保密，保证不向任何第三方及无关人员泄露甲方的任何信息，保密期限为永久。</w:t>
            </w:r>
          </w:p>
        </w:tc>
      </w:tr>
      <w:tr w14:paraId="0AEC57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837" w:type="pct"/>
            <w:vAlign w:val="center"/>
          </w:tcPr>
          <w:p w14:paraId="4ECB5BAB">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2587F2A9">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第12.2款</w:t>
            </w:r>
          </w:p>
        </w:tc>
        <w:tc>
          <w:tcPr>
            <w:tcW w:w="908" w:type="pct"/>
            <w:vAlign w:val="center"/>
          </w:tcPr>
          <w:p w14:paraId="01CAD7FB">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合同价款支付时间</w:t>
            </w:r>
          </w:p>
        </w:tc>
        <w:tc>
          <w:tcPr>
            <w:tcW w:w="3253" w:type="pct"/>
            <w:vAlign w:val="center"/>
          </w:tcPr>
          <w:p w14:paraId="240205EA">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达到付款条件起</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日内</w:t>
            </w:r>
          </w:p>
        </w:tc>
      </w:tr>
      <w:tr w14:paraId="5D5F5C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837" w:type="pct"/>
            <w:vAlign w:val="center"/>
          </w:tcPr>
          <w:p w14:paraId="1FFE6701">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6CCE72F5">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第13.2款</w:t>
            </w:r>
          </w:p>
        </w:tc>
        <w:tc>
          <w:tcPr>
            <w:tcW w:w="908" w:type="pct"/>
            <w:vAlign w:val="center"/>
          </w:tcPr>
          <w:p w14:paraId="0F0F7F0A">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履约保证金不予退还的情形</w:t>
            </w:r>
          </w:p>
        </w:tc>
        <w:tc>
          <w:tcPr>
            <w:tcW w:w="3253" w:type="pct"/>
            <w:vAlign w:val="center"/>
          </w:tcPr>
          <w:p w14:paraId="22F31F36">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无</w:t>
            </w:r>
          </w:p>
        </w:tc>
      </w:tr>
      <w:tr w14:paraId="52C91C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837" w:type="pct"/>
            <w:vAlign w:val="center"/>
          </w:tcPr>
          <w:p w14:paraId="142F671E">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2C852831">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第13.3款</w:t>
            </w:r>
          </w:p>
        </w:tc>
        <w:tc>
          <w:tcPr>
            <w:tcW w:w="908" w:type="pct"/>
            <w:vAlign w:val="center"/>
          </w:tcPr>
          <w:p w14:paraId="67429B22">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履约保证金退还时间及逾期退还的违约金</w:t>
            </w:r>
          </w:p>
        </w:tc>
        <w:tc>
          <w:tcPr>
            <w:tcW w:w="3253" w:type="pct"/>
            <w:vAlign w:val="center"/>
          </w:tcPr>
          <w:p w14:paraId="65B66297">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无</w:t>
            </w:r>
          </w:p>
        </w:tc>
      </w:tr>
      <w:tr w14:paraId="5576B5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837" w:type="pct"/>
            <w:vAlign w:val="center"/>
          </w:tcPr>
          <w:p w14:paraId="5AE8C0E8">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4FDBA483">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第14.1（3）项</w:t>
            </w:r>
          </w:p>
        </w:tc>
        <w:tc>
          <w:tcPr>
            <w:tcW w:w="908" w:type="pct"/>
            <w:vAlign w:val="center"/>
          </w:tcPr>
          <w:p w14:paraId="758255E3">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运行监督、维修期限</w:t>
            </w:r>
          </w:p>
        </w:tc>
        <w:tc>
          <w:tcPr>
            <w:tcW w:w="3253" w:type="pct"/>
            <w:vAlign w:val="center"/>
          </w:tcPr>
          <w:p w14:paraId="7FDB2B89">
            <w:pPr>
              <w:autoSpaceDE w:val="0"/>
              <w:autoSpaceDN w:val="0"/>
              <w:adjustRightInd w:val="0"/>
              <w:snapToGrid w:val="0"/>
              <w:spacing w:line="40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Cs w:val="21"/>
                <w:highlight w:val="none"/>
              </w:rPr>
              <w:t>保修期满后</w:t>
            </w:r>
            <w:r>
              <w:rPr>
                <w:rFonts w:hint="eastAsia" w:ascii="仿宋" w:hAnsi="仿宋" w:eastAsia="仿宋" w:cs="仿宋"/>
                <w:color w:val="auto"/>
                <w:szCs w:val="21"/>
                <w:highlight w:val="none"/>
                <w:lang w:val="en-US" w:eastAsia="zh-CN"/>
              </w:rPr>
              <w:t>如需</w:t>
            </w:r>
            <w:r>
              <w:rPr>
                <w:rFonts w:hint="eastAsia" w:ascii="仿宋" w:hAnsi="仿宋" w:eastAsia="仿宋" w:cs="仿宋"/>
                <w:color w:val="auto"/>
                <w:szCs w:val="21"/>
                <w:highlight w:val="none"/>
              </w:rPr>
              <w:t>维修</w:t>
            </w:r>
            <w:r>
              <w:rPr>
                <w:rFonts w:hint="eastAsia" w:ascii="仿宋" w:hAnsi="仿宋" w:eastAsia="仿宋" w:cs="仿宋"/>
                <w:color w:val="auto"/>
                <w:szCs w:val="21"/>
                <w:highlight w:val="none"/>
                <w:lang w:val="en-US" w:eastAsia="zh-CN"/>
              </w:rPr>
              <w:t>的</w:t>
            </w:r>
            <w:r>
              <w:rPr>
                <w:rFonts w:hint="eastAsia" w:ascii="仿宋" w:hAnsi="仿宋" w:eastAsia="仿宋" w:cs="仿宋"/>
                <w:color w:val="auto"/>
                <w:szCs w:val="21"/>
                <w:highlight w:val="none"/>
              </w:rPr>
              <w:t>，只收取材料成本费并保证零配件供应5年。</w:t>
            </w:r>
          </w:p>
        </w:tc>
      </w:tr>
      <w:tr w14:paraId="5D7FDB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837" w:type="pct"/>
            <w:vAlign w:val="center"/>
          </w:tcPr>
          <w:p w14:paraId="685C5AB0">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612E462E">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第14.1（5）项</w:t>
            </w:r>
          </w:p>
        </w:tc>
        <w:tc>
          <w:tcPr>
            <w:tcW w:w="908" w:type="pct"/>
            <w:vAlign w:val="center"/>
          </w:tcPr>
          <w:p w14:paraId="51D0B611">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货物回收的约定</w:t>
            </w:r>
          </w:p>
        </w:tc>
        <w:tc>
          <w:tcPr>
            <w:tcW w:w="3253" w:type="pct"/>
            <w:vAlign w:val="center"/>
          </w:tcPr>
          <w:p w14:paraId="6E66577B">
            <w:pPr>
              <w:pStyle w:val="11"/>
              <w:ind w:firstLine="0" w:firstLineChars="0"/>
              <w:rPr>
                <w:rFonts w:hint="eastAsia" w:ascii="仿宋" w:hAnsi="仿宋" w:eastAsia="仿宋" w:cs="仿宋"/>
                <w:color w:val="auto"/>
                <w:highlight w:val="none"/>
              </w:rPr>
            </w:pPr>
            <w:r>
              <w:rPr>
                <w:rFonts w:hint="eastAsia" w:ascii="仿宋" w:hAnsi="仿宋" w:eastAsia="仿宋" w:cs="仿宋"/>
                <w:color w:val="auto"/>
                <w:sz w:val="21"/>
                <w:highlight w:val="none"/>
              </w:rPr>
              <w:t>无</w:t>
            </w:r>
          </w:p>
        </w:tc>
      </w:tr>
      <w:tr w14:paraId="7EC62D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837" w:type="pct"/>
            <w:vAlign w:val="center"/>
          </w:tcPr>
          <w:p w14:paraId="1A40C4C4">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27456219">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第14.1（6）项</w:t>
            </w:r>
          </w:p>
        </w:tc>
        <w:tc>
          <w:tcPr>
            <w:tcW w:w="908" w:type="pct"/>
            <w:vAlign w:val="center"/>
          </w:tcPr>
          <w:p w14:paraId="2A4979BB">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乙方提供的其他服务</w:t>
            </w:r>
          </w:p>
        </w:tc>
        <w:tc>
          <w:tcPr>
            <w:tcW w:w="3253" w:type="pct"/>
            <w:vAlign w:val="center"/>
          </w:tcPr>
          <w:p w14:paraId="56586786">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 w:val="21"/>
                <w:highlight w:val="none"/>
              </w:rPr>
              <w:t>无</w:t>
            </w:r>
          </w:p>
        </w:tc>
      </w:tr>
      <w:tr w14:paraId="6EEF3D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837" w:type="pct"/>
            <w:vAlign w:val="center"/>
          </w:tcPr>
          <w:p w14:paraId="22713278">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4CD449DB">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第15.1款</w:t>
            </w:r>
          </w:p>
        </w:tc>
        <w:tc>
          <w:tcPr>
            <w:tcW w:w="908" w:type="pct"/>
            <w:vAlign w:val="center"/>
          </w:tcPr>
          <w:p w14:paraId="3A9871C3">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修理、重作、更换相关具体规定</w:t>
            </w:r>
          </w:p>
        </w:tc>
        <w:tc>
          <w:tcPr>
            <w:tcW w:w="3253" w:type="pct"/>
            <w:vAlign w:val="center"/>
          </w:tcPr>
          <w:p w14:paraId="5B0CCFF4">
            <w:pPr>
              <w:autoSpaceDE w:val="0"/>
              <w:autoSpaceDN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无</w:t>
            </w:r>
          </w:p>
        </w:tc>
      </w:tr>
      <w:tr w14:paraId="05E7DF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837" w:type="pct"/>
            <w:vAlign w:val="center"/>
          </w:tcPr>
          <w:p w14:paraId="322BD260">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2F7E4C83">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第15.2（2）项</w:t>
            </w:r>
          </w:p>
        </w:tc>
        <w:tc>
          <w:tcPr>
            <w:tcW w:w="908" w:type="pct"/>
            <w:vAlign w:val="center"/>
          </w:tcPr>
          <w:p w14:paraId="567BA139">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迟延交货赔偿费</w:t>
            </w:r>
          </w:p>
        </w:tc>
        <w:tc>
          <w:tcPr>
            <w:tcW w:w="3253" w:type="pct"/>
            <w:vAlign w:val="center"/>
          </w:tcPr>
          <w:p w14:paraId="39CF34E7">
            <w:pPr>
              <w:tabs>
                <w:tab w:val="left" w:pos="480"/>
              </w:tabs>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1.乙方未按合同约定的交货日期交货的，每逾期一日，向甲方支付逾期交付货物价款的1%的违约金，但不超过合同总金额的10%。</w:t>
            </w:r>
          </w:p>
          <w:p w14:paraId="75001495">
            <w:pPr>
              <w:tabs>
                <w:tab w:val="left" w:pos="480"/>
              </w:tabs>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2.乙方支付逾期交货违约金并不免除其交货的责任。如乙方在合同规定的交货日期后10天内仍未能交货，则视为乙方不能交货，甲方有权解除合同，乙方除退还已收取的货款外，还应向甲方偿付合同总金额</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0%的违约金。</w:t>
            </w:r>
          </w:p>
        </w:tc>
      </w:tr>
      <w:tr w14:paraId="0A04D8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837" w:type="pct"/>
            <w:vAlign w:val="center"/>
          </w:tcPr>
          <w:p w14:paraId="3AFEF151">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1B99EE36">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第15.3款</w:t>
            </w:r>
          </w:p>
        </w:tc>
        <w:tc>
          <w:tcPr>
            <w:tcW w:w="908" w:type="pct"/>
            <w:vAlign w:val="center"/>
          </w:tcPr>
          <w:p w14:paraId="545A63A3">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逾期付款利息</w:t>
            </w:r>
          </w:p>
        </w:tc>
        <w:tc>
          <w:tcPr>
            <w:tcW w:w="3253" w:type="pct"/>
            <w:vAlign w:val="center"/>
          </w:tcPr>
          <w:p w14:paraId="4388A2C0">
            <w:pPr>
              <w:adjustRightInd w:val="0"/>
              <w:snapToGrid w:val="0"/>
              <w:jc w:val="left"/>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无</w:t>
            </w:r>
          </w:p>
        </w:tc>
      </w:tr>
      <w:tr w14:paraId="317140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837" w:type="pct"/>
            <w:tcBorders>
              <w:bottom w:val="single" w:color="auto" w:sz="2" w:space="0"/>
              <w:right w:val="single" w:color="auto" w:sz="2" w:space="0"/>
            </w:tcBorders>
            <w:vAlign w:val="center"/>
          </w:tcPr>
          <w:p w14:paraId="6538E8B2">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3EA38BB2">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第15.4款</w:t>
            </w:r>
          </w:p>
        </w:tc>
        <w:tc>
          <w:tcPr>
            <w:tcW w:w="908" w:type="pct"/>
            <w:tcBorders>
              <w:left w:val="single" w:color="auto" w:sz="2" w:space="0"/>
              <w:bottom w:val="single" w:color="auto" w:sz="2" w:space="0"/>
              <w:right w:val="single" w:color="auto" w:sz="2" w:space="0"/>
            </w:tcBorders>
            <w:vAlign w:val="center"/>
          </w:tcPr>
          <w:p w14:paraId="6834726B">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其他违约责任</w:t>
            </w:r>
          </w:p>
        </w:tc>
        <w:tc>
          <w:tcPr>
            <w:tcW w:w="3253" w:type="pct"/>
            <w:tcBorders>
              <w:left w:val="single" w:color="auto" w:sz="2" w:space="0"/>
              <w:bottom w:val="single" w:color="auto" w:sz="2" w:space="0"/>
            </w:tcBorders>
            <w:vAlign w:val="center"/>
          </w:tcPr>
          <w:p w14:paraId="6E981222">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1.按《中华人民共和国民法典》中的相关条款执行。</w:t>
            </w:r>
          </w:p>
          <w:p w14:paraId="2C72FD92">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2.未按合同要求</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包括合同中提到的乙方应实现、承担的所有内容</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的提供服务或质量不能满足技术要求，甲方有权终止合同，甚至对乙方违约行为进行追究。</w:t>
            </w:r>
          </w:p>
        </w:tc>
      </w:tr>
      <w:tr w14:paraId="3A6727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837" w:type="pct"/>
            <w:tcBorders>
              <w:top w:val="single" w:color="auto" w:sz="2" w:space="0"/>
              <w:right w:val="single" w:color="auto" w:sz="2" w:space="0"/>
            </w:tcBorders>
            <w:vAlign w:val="center"/>
          </w:tcPr>
          <w:p w14:paraId="307D4371">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2BE76453">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第19.2款</w:t>
            </w:r>
          </w:p>
        </w:tc>
        <w:tc>
          <w:tcPr>
            <w:tcW w:w="908" w:type="pct"/>
            <w:tcBorders>
              <w:top w:val="single" w:color="auto" w:sz="2" w:space="0"/>
              <w:left w:val="single" w:color="auto" w:sz="2" w:space="0"/>
              <w:right w:val="single" w:color="auto" w:sz="2" w:space="0"/>
            </w:tcBorders>
            <w:vAlign w:val="center"/>
          </w:tcPr>
          <w:p w14:paraId="72CD0B01">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解决争议的方法</w:t>
            </w:r>
          </w:p>
        </w:tc>
        <w:tc>
          <w:tcPr>
            <w:tcW w:w="3253" w:type="pct"/>
            <w:tcBorders>
              <w:top w:val="single" w:color="auto" w:sz="2" w:space="0"/>
              <w:left w:val="single" w:color="auto" w:sz="2" w:space="0"/>
            </w:tcBorders>
            <w:vAlign w:val="center"/>
          </w:tcPr>
          <w:p w14:paraId="3507C361">
            <w:pPr>
              <w:autoSpaceDE w:val="0"/>
              <w:autoSpaceDN w:val="0"/>
              <w:adjustRightInd w:val="0"/>
              <w:snapToGrid w:val="0"/>
              <w:spacing w:line="400" w:lineRule="exact"/>
              <w:jc w:val="left"/>
              <w:rPr>
                <w:rFonts w:hint="eastAsia" w:ascii="仿宋" w:hAnsi="仿宋" w:eastAsia="仿宋" w:cs="仿宋"/>
                <w:iCs/>
                <w:color w:val="auto"/>
                <w:szCs w:val="21"/>
                <w:highlight w:val="none"/>
              </w:rPr>
            </w:pPr>
            <w:r>
              <w:rPr>
                <w:rFonts w:hint="eastAsia" w:ascii="仿宋" w:hAnsi="仿宋" w:eastAsia="仿宋" w:cs="仿宋"/>
                <w:iCs/>
                <w:color w:val="auto"/>
                <w:szCs w:val="21"/>
                <w:highlight w:val="none"/>
              </w:rPr>
              <w:t>因本合同及合同有关事项发生的争议，按下列第</w:t>
            </w:r>
            <w:r>
              <w:rPr>
                <w:rFonts w:hint="eastAsia" w:ascii="仿宋" w:hAnsi="仿宋" w:eastAsia="仿宋" w:cs="仿宋"/>
                <w:iCs/>
                <w:color w:val="auto"/>
                <w:szCs w:val="21"/>
                <w:highlight w:val="none"/>
                <w:u w:val="single"/>
              </w:rPr>
              <w:t xml:space="preserve"> 2 </w:t>
            </w:r>
            <w:r>
              <w:rPr>
                <w:rFonts w:hint="eastAsia" w:ascii="仿宋" w:hAnsi="仿宋" w:eastAsia="仿宋" w:cs="仿宋"/>
                <w:iCs/>
                <w:color w:val="auto"/>
                <w:szCs w:val="21"/>
                <w:highlight w:val="none"/>
              </w:rPr>
              <w:t>种方式解决：</w:t>
            </w:r>
          </w:p>
          <w:p w14:paraId="09C8AA25">
            <w:pPr>
              <w:autoSpaceDE w:val="0"/>
              <w:autoSpaceDN w:val="0"/>
              <w:adjustRightInd w:val="0"/>
              <w:snapToGrid w:val="0"/>
              <w:spacing w:line="400" w:lineRule="exact"/>
              <w:jc w:val="left"/>
              <w:rPr>
                <w:rFonts w:hint="eastAsia" w:ascii="仿宋" w:hAnsi="仿宋" w:eastAsia="仿宋" w:cs="仿宋"/>
                <w:iCs/>
                <w:color w:val="auto"/>
                <w:szCs w:val="21"/>
                <w:highlight w:val="none"/>
              </w:rPr>
            </w:pPr>
            <w:r>
              <w:rPr>
                <w:rFonts w:hint="eastAsia" w:ascii="仿宋" w:hAnsi="仿宋" w:eastAsia="仿宋" w:cs="仿宋"/>
                <w:iCs/>
                <w:color w:val="auto"/>
                <w:szCs w:val="21"/>
                <w:highlight w:val="none"/>
              </w:rPr>
              <w:t>（1）向</w:t>
            </w:r>
            <w:r>
              <w:rPr>
                <w:rFonts w:hint="eastAsia" w:ascii="仿宋" w:hAnsi="仿宋" w:eastAsia="仿宋" w:cs="仿宋"/>
                <w:iCs/>
                <w:color w:val="auto"/>
                <w:szCs w:val="21"/>
                <w:highlight w:val="none"/>
                <w:u w:val="single"/>
              </w:rPr>
              <w:t xml:space="preserve">                    </w:t>
            </w:r>
            <w:r>
              <w:rPr>
                <w:rFonts w:hint="eastAsia" w:ascii="仿宋" w:hAnsi="仿宋" w:eastAsia="仿宋" w:cs="仿宋"/>
                <w:iCs/>
                <w:color w:val="auto"/>
                <w:szCs w:val="21"/>
                <w:highlight w:val="none"/>
              </w:rPr>
              <w:t>仲裁委员会申请仲裁，仲裁地点为</w:t>
            </w:r>
            <w:r>
              <w:rPr>
                <w:rFonts w:hint="eastAsia" w:ascii="仿宋" w:hAnsi="仿宋" w:eastAsia="仿宋" w:cs="仿宋"/>
                <w:iCs/>
                <w:color w:val="auto"/>
                <w:szCs w:val="21"/>
                <w:highlight w:val="none"/>
                <w:u w:val="single"/>
              </w:rPr>
              <w:t xml:space="preserve">           </w:t>
            </w:r>
            <w:r>
              <w:rPr>
                <w:rFonts w:hint="eastAsia" w:ascii="仿宋" w:hAnsi="仿宋" w:eastAsia="仿宋" w:cs="仿宋"/>
                <w:iCs/>
                <w:color w:val="auto"/>
                <w:szCs w:val="21"/>
                <w:highlight w:val="none"/>
              </w:rPr>
              <w:t>；</w:t>
            </w:r>
          </w:p>
          <w:p w14:paraId="652C70FD">
            <w:pPr>
              <w:adjustRightInd w:val="0"/>
              <w:snapToGrid w:val="0"/>
              <w:jc w:val="left"/>
              <w:rPr>
                <w:rFonts w:hint="eastAsia" w:ascii="仿宋" w:hAnsi="仿宋" w:eastAsia="仿宋" w:cs="仿宋"/>
                <w:color w:val="auto"/>
                <w:szCs w:val="21"/>
                <w:highlight w:val="none"/>
                <w:u w:val="single"/>
              </w:rPr>
            </w:pPr>
            <w:r>
              <w:rPr>
                <w:rFonts w:hint="eastAsia" w:ascii="仿宋" w:hAnsi="仿宋" w:eastAsia="仿宋" w:cs="仿宋"/>
                <w:iCs/>
                <w:color w:val="auto"/>
                <w:szCs w:val="21"/>
                <w:highlight w:val="none"/>
              </w:rPr>
              <w:t>（2）向</w:t>
            </w:r>
            <w:r>
              <w:rPr>
                <w:rFonts w:hint="eastAsia" w:ascii="仿宋" w:hAnsi="仿宋" w:eastAsia="仿宋" w:cs="仿宋"/>
                <w:iCs/>
                <w:color w:val="auto"/>
                <w:szCs w:val="21"/>
                <w:highlight w:val="none"/>
                <w:u w:val="single"/>
              </w:rPr>
              <w:t xml:space="preserve">      甲方所在地       </w:t>
            </w:r>
            <w:r>
              <w:rPr>
                <w:rFonts w:hint="eastAsia" w:ascii="仿宋" w:hAnsi="仿宋" w:eastAsia="仿宋" w:cs="仿宋"/>
                <w:iCs/>
                <w:color w:val="auto"/>
                <w:szCs w:val="21"/>
                <w:highlight w:val="none"/>
              </w:rPr>
              <w:t>人民法院起诉。</w:t>
            </w:r>
          </w:p>
        </w:tc>
      </w:tr>
      <w:tr w14:paraId="35EB0A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837" w:type="pct"/>
            <w:vAlign w:val="center"/>
          </w:tcPr>
          <w:p w14:paraId="2DC85FBF">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第二节</w:t>
            </w:r>
          </w:p>
          <w:p w14:paraId="2D20C701">
            <w:pPr>
              <w:adjustRightInd w:val="0"/>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第23.1款</w:t>
            </w:r>
          </w:p>
        </w:tc>
        <w:tc>
          <w:tcPr>
            <w:tcW w:w="908" w:type="pct"/>
            <w:vAlign w:val="center"/>
          </w:tcPr>
          <w:p w14:paraId="127833D0">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其他专用条款</w:t>
            </w:r>
          </w:p>
        </w:tc>
        <w:tc>
          <w:tcPr>
            <w:tcW w:w="3253" w:type="pct"/>
            <w:vAlign w:val="center"/>
          </w:tcPr>
          <w:p w14:paraId="704AF793">
            <w:pPr>
              <w:adjustRightInd w:val="0"/>
              <w:snapToGrid w:val="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设备须为到货之日前9个月内生产的产品</w:t>
            </w:r>
            <w:r>
              <w:rPr>
                <w:rFonts w:hint="eastAsia" w:ascii="仿宋" w:hAnsi="仿宋" w:eastAsia="仿宋" w:cs="仿宋"/>
                <w:color w:val="auto"/>
                <w:szCs w:val="21"/>
                <w:highlight w:val="none"/>
                <w:lang w:eastAsia="zh-CN"/>
              </w:rPr>
              <w:t>。</w:t>
            </w:r>
          </w:p>
        </w:tc>
      </w:tr>
    </w:tbl>
    <w:p w14:paraId="6A952C5D">
      <w:pPr>
        <w:rPr>
          <w:highlight w:val="none"/>
        </w:rPr>
      </w:pPr>
    </w:p>
    <w:p w14:paraId="5DD4FFCF">
      <w:pPr>
        <w:pStyle w:val="13"/>
        <w:rPr>
          <w:rFonts w:hint="eastAsia"/>
          <w:highlight w:val="none"/>
          <w:lang w:val="en-US" w:eastAsia="zh-Hans"/>
        </w:rPr>
      </w:pPr>
    </w:p>
    <w:p w14:paraId="534C0025">
      <w:pPr>
        <w:rPr>
          <w:highlight w:val="none"/>
        </w:rPr>
      </w:pPr>
    </w:p>
    <w:bookmarkEnd w:id="5"/>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A00002BF" w:usb1="78CF7CFB" w:usb2="00000016" w:usb3="00000000" w:csb0="6006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884A5">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1D83DC">
                          <w:pPr>
                            <w:pStyle w:val="7"/>
                          </w:pPr>
                          <w:r>
                            <w:t xml:space="preserve">第 </w:t>
                          </w:r>
                          <w:r>
                            <w:fldChar w:fldCharType="begin"/>
                          </w:r>
                          <w:r>
                            <w:instrText xml:space="preserve"> PAGE  \* MERGEFORMAT </w:instrText>
                          </w:r>
                          <w:r>
                            <w:fldChar w:fldCharType="separate"/>
                          </w:r>
                          <w:r>
                            <w:t>84</w:t>
                          </w:r>
                          <w:r>
                            <w:fldChar w:fldCharType="end"/>
                          </w:r>
                          <w:r>
                            <w:t xml:space="preserve"> 页 共 </w:t>
                          </w:r>
                          <w:r>
                            <w:fldChar w:fldCharType="begin"/>
                          </w:r>
                          <w:r>
                            <w:instrText xml:space="preserve"> NUMPAGES  \* MERGEFORMAT </w:instrText>
                          </w:r>
                          <w:r>
                            <w:fldChar w:fldCharType="separate"/>
                          </w:r>
                          <w:r>
                            <w:t>123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91D83DC">
                    <w:pPr>
                      <w:pStyle w:val="7"/>
                    </w:pPr>
                    <w:r>
                      <w:t xml:space="preserve">第 </w:t>
                    </w:r>
                    <w:r>
                      <w:fldChar w:fldCharType="begin"/>
                    </w:r>
                    <w:r>
                      <w:instrText xml:space="preserve"> PAGE  \* MERGEFORMAT </w:instrText>
                    </w:r>
                    <w:r>
                      <w:fldChar w:fldCharType="separate"/>
                    </w:r>
                    <w:r>
                      <w:t>84</w:t>
                    </w:r>
                    <w:r>
                      <w:fldChar w:fldCharType="end"/>
                    </w:r>
                    <w:r>
                      <w:t xml:space="preserve"> 页 共 </w:t>
                    </w:r>
                    <w:r>
                      <w:fldChar w:fldCharType="begin"/>
                    </w:r>
                    <w:r>
                      <w:instrText xml:space="preserve"> NUMPAGES  \* MERGEFORMAT </w:instrText>
                    </w:r>
                    <w:r>
                      <w:fldChar w:fldCharType="separate"/>
                    </w:r>
                    <w:r>
                      <w:t>123</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ED00BE0B"/>
    <w:multiLevelType w:val="singleLevel"/>
    <w:tmpl w:val="ED00BE0B"/>
    <w:lvl w:ilvl="0" w:tentative="0">
      <w:start w:val="4"/>
      <w:numFmt w:val="decimal"/>
      <w:suff w:val="nothing"/>
      <w:lvlText w:val="（%1）"/>
      <w:lvlJc w:val="left"/>
    </w:lvl>
  </w:abstractNum>
  <w:abstractNum w:abstractNumId="6">
    <w:nsid w:val="FFEFC674"/>
    <w:multiLevelType w:val="singleLevel"/>
    <w:tmpl w:val="FFEFC674"/>
    <w:lvl w:ilvl="0" w:tentative="0">
      <w:start w:val="1"/>
      <w:numFmt w:val="decimal"/>
      <w:suff w:val="nothing"/>
      <w:lvlText w:val="（%1）"/>
      <w:lvlJc w:val="left"/>
    </w:lvl>
  </w:abstractNum>
  <w:abstractNum w:abstractNumId="7">
    <w:nsid w:val="7A0F6431"/>
    <w:multiLevelType w:val="singleLevel"/>
    <w:tmpl w:val="7A0F6431"/>
    <w:lvl w:ilvl="0" w:tentative="0">
      <w:start w:val="1"/>
      <w:numFmt w:val="decimal"/>
      <w:suff w:val="space"/>
      <w:lvlText w:val="%1."/>
      <w:lvlJc w:val="left"/>
    </w:lvl>
  </w:abstractNum>
  <w:num w:numId="1">
    <w:abstractNumId w:val="7"/>
  </w:num>
  <w:num w:numId="2">
    <w:abstractNumId w:val="1"/>
  </w:num>
  <w:num w:numId="3">
    <w:abstractNumId w:val="6"/>
  </w:num>
  <w:num w:numId="4">
    <w:abstractNumId w:val="5"/>
  </w:num>
  <w:num w:numId="5">
    <w:abstractNumId w:val="3"/>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167D9F"/>
    <w:rsid w:val="36167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仿宋_GB2312" w:cs="Times New Roman"/>
      <w:kern w:val="2"/>
      <w:sz w:val="24"/>
      <w:szCs w:val="24"/>
      <w:lang w:val="en-US" w:eastAsia="zh-CN" w:bidi="ar-SA"/>
    </w:rPr>
  </w:style>
  <w:style w:type="paragraph" w:styleId="2">
    <w:name w:val="heading 3"/>
    <w:basedOn w:val="1"/>
    <w:next w:val="1"/>
    <w:semiHidden/>
    <w:unhideWhenUsed/>
    <w:qFormat/>
    <w:uiPriority w:val="0"/>
    <w:pPr>
      <w:keepNext/>
      <w:keepLines/>
      <w:spacing w:before="260" w:after="260" w:line="413" w:lineRule="auto"/>
      <w:outlineLvl w:val="2"/>
    </w:pPr>
    <w:rPr>
      <w:b/>
      <w:sz w:val="32"/>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color w:val="993300"/>
    </w:rPr>
  </w:style>
  <w:style w:type="paragraph" w:styleId="4">
    <w:name w:val="Body Text Indent"/>
    <w:basedOn w:val="1"/>
    <w:next w:val="5"/>
    <w:unhideWhenUsed/>
    <w:qFormat/>
    <w:uiPriority w:val="0"/>
    <w:pPr>
      <w:spacing w:after="120"/>
      <w:ind w:left="420" w:leftChars="200"/>
    </w:pPr>
  </w:style>
  <w:style w:type="paragraph" w:styleId="5">
    <w:name w:val="envelope return"/>
    <w:basedOn w:val="1"/>
    <w:unhideWhenUsed/>
    <w:qFormat/>
    <w:uiPriority w:val="0"/>
    <w:pPr>
      <w:snapToGrid w:val="0"/>
    </w:pPr>
    <w:rPr>
      <w:rFonts w:ascii="Arial" w:hAnsi="Arial"/>
    </w:rPr>
  </w:style>
  <w:style w:type="paragraph" w:styleId="6">
    <w:name w:val="Plain Text"/>
    <w:basedOn w:val="1"/>
    <w:qFormat/>
    <w:uiPriority w:val="0"/>
    <w:rPr>
      <w:rFonts w:hAnsi="Courier New"/>
    </w:rPr>
  </w:style>
  <w:style w:type="paragraph" w:styleId="7">
    <w:name w:val="footer"/>
    <w:basedOn w:val="1"/>
    <w:qFormat/>
    <w:uiPriority w:val="0"/>
    <w:pPr>
      <w:tabs>
        <w:tab w:val="center" w:pos="4153"/>
        <w:tab w:val="right" w:pos="8306"/>
      </w:tabs>
      <w:snapToGrid w:val="0"/>
      <w:spacing w:line="240" w:lineRule="auto"/>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2">
    <w:name w:val="列出段落1"/>
    <w:basedOn w:val="1"/>
    <w:autoRedefine/>
    <w:qFormat/>
    <w:uiPriority w:val="0"/>
    <w:pPr>
      <w:ind w:firstLine="420" w:firstLineChars="200"/>
    </w:pPr>
    <w:rPr>
      <w:szCs w:val="21"/>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2026-06-02T09:35:00Z</dcterms:created>
  <dc:creator>Zhe</dc:creator>
  <cp:lastModifiedBy>Zhe</cp:lastModifiedBy>
  <dcterms:modified xsi:type="dcterms:W3CDTF">2026-06-02T09:35:51Z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3CE61843D8104A8088BB83A2A4D3F667_11</vt:lpwstr>
  </property>
  <property fmtid="{D5CDD505-2E9C-101B-9397-08002B2CF9AE}" pid="4" name="KSOTemplateDocerSaveRecord">
    <vt:lpwstr>eyJoZGlkIjoiZWJmYzU2ZjU2NWI5M2ZmMmZkY2E1MmYzNTdkYmU0MGUiLCJ1c2VySWQiOiI1NjcyMjgyNzYifQ==</vt:lpwstr>
  </property>
</Properties>
</file>