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版本号：SXDY-2026-11320260610001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铜川市董家河循环经济产业园总体规划（2021-2035）修编</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SXDY-2026-113</w:t>
      </w:r>
      <w:r>
        <w:br/>
      </w:r>
      <w:r>
        <w:br/>
      </w:r>
      <w:r>
        <w:br/>
      </w:r>
    </w:p>
    <w:p>
      <w:pPr>
        <w:pStyle w:val="null3"/>
        <w:jc w:val="center"/>
        <w:outlineLvl w:val="2"/>
      </w:pPr>
      <w:r>
        <w:rPr>
          <w:rFonts w:ascii="仿宋_GB2312" w:hAnsi="仿宋_GB2312" w:cs="仿宋_GB2312" w:eastAsia="仿宋_GB2312"/>
          <w:sz w:val="28"/>
          <w:b/>
        </w:rPr>
        <w:t>铜川市董家河循环经济产业园管理委员会</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铜川市董家河循环经济产业园管理委员会</w:t>
      </w:r>
      <w:r>
        <w:rPr>
          <w:rFonts w:ascii="仿宋_GB2312" w:hAnsi="仿宋_GB2312" w:cs="仿宋_GB2312" w:eastAsia="仿宋_GB2312"/>
        </w:rPr>
        <w:t>委托，拟对</w:t>
      </w:r>
      <w:r>
        <w:rPr>
          <w:rFonts w:ascii="仿宋_GB2312" w:hAnsi="仿宋_GB2312" w:cs="仿宋_GB2312" w:eastAsia="仿宋_GB2312"/>
        </w:rPr>
        <w:t>铜川市董家河循环经济产业园总体规划（2021-2035）修编</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SXDY-2026-113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铜川市董家河循环经济产业园总体规划（2021-2035）修编</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园区规划研究范围总面积为：704.91公顷，规划研究范围南起新210改线，北至凤柳村，西至张郝村，东至党家河村。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采购包1（铜川市董家河循环经济产业园总体规划（2021-2035）修编）：属于专门面向中小企业采购。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 企业专业服务机构执业许可证或民办非企业单位登记证书或自然人的身份证明。</w:t>
      </w:r>
    </w:p>
    <w:p>
      <w:pPr>
        <w:pStyle w:val="null3"/>
      </w:pPr>
      <w:r>
        <w:rPr>
          <w:rFonts w:ascii="仿宋_GB2312" w:hAnsi="仿宋_GB2312" w:cs="仿宋_GB2312" w:eastAsia="仿宋_GB2312"/>
        </w:rPr>
        <w:t>2、资质要求及项目负责人要求：供应商具备国家建设行政主管部门颁发的城乡规划编制乙级及以上资质；拟派项目负责人应具有在供应商单位注册的城乡规划师注册资格证书。</w:t>
      </w:r>
    </w:p>
    <w:p>
      <w:pPr>
        <w:pStyle w:val="null3"/>
      </w:pPr>
      <w:r>
        <w:rPr>
          <w:rFonts w:ascii="仿宋_GB2312" w:hAnsi="仿宋_GB2312" w:cs="仿宋_GB2312" w:eastAsia="仿宋_GB2312"/>
        </w:rPr>
        <w:t>3、财务状况报告：提供经会计事务所或审计机构出具的2025年度财务报告，成立时间至提交响应文件截 止时间不足一年的可提供成立后任意时段的财务报表或其开标前三个月内基本存款账户开户银行出 具的资信证明，或信用担保机构出具的投标担保函（以上三种形式的资料提供任何一种即可）。</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税种须同时包含增值税和企业所得税），凭据应有税务机关或代收机关的公章或业务专用章 。依法免税或无须缴纳税收的供应商，应提供相应证明文件。</w:t>
      </w:r>
    </w:p>
    <w:p>
      <w:pPr>
        <w:pStyle w:val="null3"/>
      </w:pPr>
      <w:r>
        <w:rPr>
          <w:rFonts w:ascii="仿宋_GB2312" w:hAnsi="仿宋_GB2312" w:cs="仿宋_GB2312" w:eastAsia="仿宋_GB2312"/>
        </w:rPr>
        <w:t>6、信用记录：提供《供应商信用记录书面声明函》（按格式填写，提供原件）。经查，投标人未被列入“信用中国 ”网站记录的“失信被执行人”或“重大税收违法案件当事人”名单；不处于“中国政府采购网”记录的“ 政府采购严重违法失信行为记录名单”中的禁止参加政府采购活动期间。</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9、法定代表人授权委托书：法定代表人直接参加的，须提交法定代表人身份证复印件；法定代表人授权代表参加的，须出具法定代表人授权书及授权代表身份证复印件（按格式填写，提供原件）。</w:t>
      </w:r>
    </w:p>
    <w:p>
      <w:pPr>
        <w:pStyle w:val="null3"/>
      </w:pPr>
      <w:r>
        <w:rPr>
          <w:rFonts w:ascii="仿宋_GB2312" w:hAnsi="仿宋_GB2312" w:cs="仿宋_GB2312" w:eastAsia="仿宋_GB2312"/>
        </w:rPr>
        <w:t>10、本项目不接受联合体投标，不允许分包：投标人应提供《非联合体不分包投标声明》，视为独立投标，不分包。</w:t>
      </w:r>
    </w:p>
    <w:p>
      <w:pPr>
        <w:pStyle w:val="null3"/>
      </w:pPr>
      <w:r>
        <w:rPr>
          <w:rFonts w:ascii="仿宋_GB2312" w:hAnsi="仿宋_GB2312" w:cs="仿宋_GB2312" w:eastAsia="仿宋_GB2312"/>
        </w:rPr>
        <w:t>11、中小企业声明函：提供中小企业声明函（本项目为专门面向中小企业采购项目）。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铜川市董家河循环经济产业园管理委员会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铜川市耀州区董家河镇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0919-6982308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西安市雁塔区西三爻村长丰园小区I区1幢C单元11层1110室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张泽龙、雷虹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15399192149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代理服务费收费标准：按国家计委颁发的《招标代理服务收费管理暂行办法》（计价格[2002]1980号）和国家发展改革委办公厅颁发的《关于招标代理服务收费有关问题的通知》（发改办价格[2003] 857号）的有关规定标准向采购代理机构一次付清代理服务费。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铜川市董家河循环经济产业园管理委员会</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铜川市董家河循环经济产业园管理委员会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铜川市董家河循环经济产业园管理委员会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国家标准、行业标准及采购人要求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张泽龙、雷虹</w:t>
      </w:r>
    </w:p>
    <w:p>
      <w:pPr>
        <w:pStyle w:val="null3"/>
      </w:pPr>
      <w:r>
        <w:rPr>
          <w:rFonts w:ascii="仿宋_GB2312" w:hAnsi="仿宋_GB2312" w:cs="仿宋_GB2312" w:eastAsia="仿宋_GB2312"/>
        </w:rPr>
        <w:t>联系电话：15399192149</w:t>
      </w:r>
    </w:p>
    <w:p>
      <w:pPr>
        <w:pStyle w:val="null3"/>
      </w:pPr>
      <w:r>
        <w:rPr>
          <w:rFonts w:ascii="仿宋_GB2312" w:hAnsi="仿宋_GB2312" w:cs="仿宋_GB2312" w:eastAsia="仿宋_GB2312"/>
        </w:rPr>
        <w:t>地址： 西安市雁塔区西三爻村长丰园小区I区1幢C单元11层1110室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本园区规划研究范围总面积为：704.91公顷，规划研究范围南起新210改线，北至凤柳村，西至张郝村，东至党家河村。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铜川市董家河循环经济产业园总体规划（2021-2035）修编</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标的名称：铜川市董家河循环经济产业园总体规划（2021-2035）修编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1"/>
              </w:rPr>
              <w:t>铜川市董家河循环经济产业园总体规划（</w:t>
            </w:r>
            <w:r>
              <w:rPr>
                <w:rFonts w:ascii="仿宋_GB2312" w:hAnsi="仿宋_GB2312" w:cs="仿宋_GB2312" w:eastAsia="仿宋_GB2312"/>
                <w:sz w:val="21"/>
              </w:rPr>
              <w:t>2021-2035）》修编，规划研究范围：总面积为704.91公顷，规划研究范围南起新210改线，北至凤柳村，西至张郝村，东至党家河村。</w:t>
            </w:r>
            <w:r>
              <w:br/>
            </w:r>
            <w:r>
              <w:rPr>
                <w:rFonts w:ascii="仿宋_GB2312" w:hAnsi="仿宋_GB2312" w:cs="仿宋_GB2312" w:eastAsia="仿宋_GB2312"/>
                <w:sz w:val="21"/>
              </w:rPr>
              <w:t>服务要求：规划立足园区高质量循环发展，强化区域空间、产业、功能深度融合，阐明编制背景与意义，明确规划总则、发展定位、目标及指标体系，构建多元协同的循环产业体系并优化产业布局；统筹区域空间结构、生态网络、用地规划与四线刚性管控，完善公共服务、绿地景观、道路交通及各类市政基础设施；同步制定综合防灾、安全保障与环境保护方案，界定规划管理相关要求，并以附表补充相关细则，全面统筹园区建设发展各项内容。</w:t>
            </w:r>
          </w:p>
          <w:p>
            <w:pPr>
              <w:pStyle w:val="null3"/>
              <w:spacing w:before="105" w:after="105"/>
              <w:jc w:val="left"/>
            </w:pPr>
            <w:r>
              <w:rPr>
                <w:rFonts w:ascii="仿宋_GB2312" w:hAnsi="仿宋_GB2312" w:cs="仿宋_GB2312" w:eastAsia="仿宋_GB2312"/>
                <w:sz w:val="21"/>
              </w:rPr>
              <w:t>服务成果</w:t>
            </w:r>
            <w:r>
              <w:rPr>
                <w:rFonts w:ascii="仿宋_GB2312" w:hAnsi="仿宋_GB2312" w:cs="仿宋_GB2312" w:eastAsia="仿宋_GB2312"/>
                <w:sz w:val="21"/>
              </w:rPr>
              <w:t>：</w:t>
            </w:r>
            <w:r>
              <w:rPr>
                <w:rFonts w:ascii="仿宋_GB2312" w:hAnsi="仿宋_GB2312" w:cs="仿宋_GB2312" w:eastAsia="仿宋_GB2312"/>
                <w:sz w:val="21"/>
              </w:rPr>
              <w:t>编写总体规划，提供</w:t>
            </w:r>
            <w:r>
              <w:rPr>
                <w:rFonts w:ascii="仿宋_GB2312" w:hAnsi="仿宋_GB2312" w:cs="仿宋_GB2312" w:eastAsia="仿宋_GB2312"/>
                <w:sz w:val="21"/>
              </w:rPr>
              <w:t>“</w:t>
            </w:r>
            <w:r>
              <w:rPr>
                <w:rFonts w:ascii="仿宋_GB2312" w:hAnsi="仿宋_GB2312" w:cs="仿宋_GB2312" w:eastAsia="仿宋_GB2312"/>
                <w:sz w:val="21"/>
              </w:rPr>
              <w:t>设计成果及文件（总体规划文本及图纸、说明书等）</w:t>
            </w:r>
            <w:r>
              <w:rPr>
                <w:rFonts w:ascii="仿宋_GB2312" w:hAnsi="仿宋_GB2312" w:cs="仿宋_GB2312" w:eastAsia="仿宋_GB2312"/>
                <w:sz w:val="21"/>
              </w:rPr>
              <w:t>”</w:t>
            </w:r>
            <w:r>
              <w:rPr>
                <w:rFonts w:ascii="仿宋_GB2312" w:hAnsi="仿宋_GB2312" w:cs="仿宋_GB2312" w:eastAsia="仿宋_GB2312"/>
                <w:sz w:val="21"/>
              </w:rPr>
              <w:t>征求意见稿、评审稿、成果稿等资料电子版各</w:t>
            </w:r>
            <w:r>
              <w:rPr>
                <w:rFonts w:ascii="仿宋_GB2312" w:hAnsi="仿宋_GB2312" w:cs="仿宋_GB2312" w:eastAsia="仿宋_GB2312"/>
                <w:sz w:val="21"/>
              </w:rPr>
              <w:t>1份、纸质版各10份。</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拟派项目负责人应具有在供应商单位注册的城乡规划师注册资格证书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具有履行合同所必需的设备和专业技术的能力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铜川市董家河循环经济产业园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通过主管部门审核，提交的所有成果达到国家、省、市行业相关标准及技术规程,满足工业园区总体发展规划要求。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进度款，符合相关要求，达到付款条件起90个工作日内，支付合同总金额的100.0%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 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资质要求及项目负责人要求</w:t>
            </w:r>
          </w:p>
        </w:tc>
        <w:tc>
          <w:tcPr>
            <w:tcW w:type="dxa" w:w="3322"/>
          </w:tcPr>
          <w:p>
            <w:pPr>
              <w:pStyle w:val="null3"/>
            </w:pPr>
            <w:r>
              <w:rPr>
                <w:rFonts w:ascii="仿宋_GB2312" w:hAnsi="仿宋_GB2312" w:cs="仿宋_GB2312" w:eastAsia="仿宋_GB2312"/>
              </w:rPr>
              <w:t>供应商具备国家建设行政主管部门颁发的城乡规划编制乙级及以上资质；拟派项目负责人应具有在供应商单位注册的城乡规划师注册资格证书。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提供经会计事务所或审计机构出具的2025年度财务报告，成立时间至提交响应文件截 止时间不足一年的可提供成立后任意时段的财务报表或其开标前三个月内基本存款账户开户银行出 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提供递交响应文件截止之日前一年内任意一个月的依法缴纳税收的相关凭据（时间以税款所属日期为准、税种须同时包含增值税和企业所得税），凭据应有税务机关或代收机关的公章或业务专用章 。依法免税或无须缴纳税收的供应商，应提供相应证明文件。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提供《供应商信用记录书面声明函》（按格式填写，提供原件）。经查，投标人未被列入“信用中国 ”网站记录的“失信被执行人”或“重大税收违法案件当事人”名单；不处于“中国政府采购网”记录的“ 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法定代表人直接参加的，须提交法定代表人身份证复印件；法定代表人授权代表参加的，须出具法定代表人授权书及授权代表身份证复印件（按格式填写，提供原件）。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投标人应提供《非联合体不分包投标声明》，视为独立投标，不分包。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提供中小企业声明函（本项目为专门面向中小企业采购项目）。</w:t>
            </w:r>
          </w:p>
        </w:tc>
        <w:tc>
          <w:tcPr>
            <w:tcW w:type="dxa" w:w="1661"/>
          </w:tcPr>
          <w:p>
            <w:pPr>
              <w:pStyle w:val="null3"/>
            </w:pPr>
            <w:r>
              <w:rPr>
                <w:rFonts w:ascii="仿宋_GB2312" w:hAnsi="仿宋_GB2312" w:cs="仿宋_GB2312" w:eastAsia="仿宋_GB2312"/>
              </w:rPr>
              <w:t>中小企业声明函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标的清单 供应商应提交的相关资格证明材料 服务内容及服务要求应答表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项目背景及需求分析</w:t>
            </w:r>
          </w:p>
        </w:tc>
        <w:tc>
          <w:tcPr>
            <w:tcW w:type="dxa" w:w="2492"/>
          </w:tcPr>
          <w:p>
            <w:pPr>
              <w:pStyle w:val="null3"/>
            </w:pPr>
            <w:r>
              <w:rPr>
                <w:rFonts w:ascii="仿宋_GB2312" w:hAnsi="仿宋_GB2312" w:cs="仿宋_GB2312" w:eastAsia="仿宋_GB2312"/>
              </w:rPr>
              <w:t>项目背景及需求分析内容包括 ①项目背景分析；②项目需求分析；③政策的把握。以上内容专门针对本项目且阐述明细、全面、合理得9分，评审内容每缺一项扣3分,评审内容有缺陷（缺陷是指：内容粗略、逻辑混乱、描述过于简单、与项目特点不匹配、凭空编造、逻辑漏洞、出现常识性错误、存在不适用项目实际情况的情形或只有标题没有实质性内容等）的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内容包括①服务内容；②服务措施；③服务目标。以上内容专门针对本项目且阐述明细、全面、合理得9分，评审内容缺一项扣3分,评审内容有缺陷（缺陷是指：内容粗略、逻辑混乱、描述过于简单、与项目特点不匹配、凭空编造、逻辑漏洞、出现常识性错误、存在不适用项目实际情况的情形或只有标题没有实质性内容等）的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工作内容</w:t>
            </w:r>
          </w:p>
        </w:tc>
        <w:tc>
          <w:tcPr>
            <w:tcW w:type="dxa" w:w="2492"/>
          </w:tcPr>
          <w:p>
            <w:pPr>
              <w:pStyle w:val="null3"/>
            </w:pPr>
            <w:r>
              <w:rPr>
                <w:rFonts w:ascii="仿宋_GB2312" w:hAnsi="仿宋_GB2312" w:cs="仿宋_GB2312" w:eastAsia="仿宋_GB2312"/>
              </w:rPr>
              <w:t>工作内容包括①工作目的及原则；②功能区域划分与环境标准、评价标准、保护目标；③各区域详细规划概述与现状调查；④规划方案影响分析及各区域资源承载力分析；⑤规划相符性与合理性分析。以上内容专门针对本项目且阐述明细、全面、合理得15分，评审内容缺一项扣3分,评审内容有缺陷（缺陷是指：内容粗略、逻辑混乱、描述过于简单、与项目特点不匹配、凭空编造、逻辑漏洞、出现常识性错误、存在不适用项目实际情况的情形或只有标题没有实质性内容等）的扣1分，扣完为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实施进度计划</w:t>
            </w:r>
          </w:p>
        </w:tc>
        <w:tc>
          <w:tcPr>
            <w:tcW w:type="dxa" w:w="2492"/>
          </w:tcPr>
          <w:p>
            <w:pPr>
              <w:pStyle w:val="null3"/>
            </w:pPr>
            <w:r>
              <w:rPr>
                <w:rFonts w:ascii="仿宋_GB2312" w:hAnsi="仿宋_GB2312" w:cs="仿宋_GB2312" w:eastAsia="仿宋_GB2312"/>
              </w:rPr>
              <w:t>项目实施进度计划内容包括①各区块规划进度安排；②项目整体规划实施进度计划安排；③项目进度保障措施。以上内容专门针对本项目且阐述明细、全面、合理得9分，评审内容缺一项扣3分,评审内容有缺陷（缺陷是指：内容粗略、逻辑混乱、描述过于简单、与项目特点不匹配、凭空编造、逻辑漏洞、出现常识性错误、存在不适用项目实际情况的情形或只有标题没有实质性内容等）的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保证措施内容包括①质量目标；②质量保障方案；③成果文件质量控制措施。以上内容专门针对本项目且阐述明细、全面、合理得9分，每缺一项内容扣3分,评审内容有缺陷（缺陷是指：内容粗略、逻辑混乱、描述过于简单、与项目特点不匹配、凭空编造、逻辑漏洞、出现常识性错误、存在不适用项目实际情况的情形或只有标题没有实质性内容等）的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负责人具有中能职称得3分，具有高级职称得5分；2.项目编制团队主要成员（专业人员）配备科学合理，专业、编制能力满足要求，各成员职责分工计划健全，按照投标所提供的毕业证书、职称证、专业配备和业务能力等情况，按其响应程度计0～10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应急方案包含①进度延误；②调研数据失真；③政策调整；④人员变动应急预案。以上内容专门针对本项目且阐述明细、全面、合理得8分，每缺一项内容扣2分,评审内容有缺陷（缺陷是指：内容粗略、逻辑混乱、描述过于简单、与项目特点不匹配、凭空编造、逻辑漏洞、出现常识性错误、存在不适用项目实际情况的情形或只有标题没有实质性内容等）的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保密措施内容包括①各区域规划数据保密措施；②项目整体实施过程保密措施；③保密承诺。方案内容专门针对本项目编制，切合本项目实际情况及实施要求，内容与要点相符、每个要点均有展开详细的阐述且能够适用于本项目的得6分；每缺一项内容扣2分,评审内容有缺陷（缺陷是指：内容粗略、逻辑混乱、描述过于简单、与项目特点不匹配、凭空编造、逻辑漏洞、出现常识性错误、存在不适用项目实际情况的情形或只有标题没有实质性内容等）的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提供供应商近三年（2023年05月至今）类似项目业绩，每提供一份业绩计2分，最高得10分。 注：提供类似业绩合同或中标通知书复印件并加盖公章。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1.报价评标基准价计算方法：将各有效投标报价的最低报价作为评标基准价。 2.投标报价评分标准：合格供应商的有效报价得分=（评标基准价/投标报价）×10×100%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详见附件：合同（参考格式-修编）.docx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