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8F4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90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8"/>
          <w:szCs w:val="48"/>
          <w:shd w:val="clear" w:fill="FFFFFF"/>
        </w:rPr>
      </w:pPr>
      <w:bookmarkStart w:id="0" w:name="_Toc5319"/>
      <w:bookmarkStart w:id="1" w:name="_Toc17156"/>
    </w:p>
    <w:p w14:paraId="50B2973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jc w:val="center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8"/>
          <w:szCs w:val="48"/>
          <w:shd w:val="clear" w:fill="FFFFFF"/>
          <w:lang w:eastAsia="zh-CN"/>
        </w:rPr>
        <w:t>铜川市董家河循环经济产业园总体规划（2021-2035）修编</w:t>
      </w:r>
    </w:p>
    <w:p w14:paraId="77A47C51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本合同为参考合同，具体以最终签订版本为准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）</w:t>
      </w:r>
    </w:p>
    <w:p w14:paraId="4ADB3D43">
      <w:pPr>
        <w:widowControl/>
        <w:adjustRightInd w:val="0"/>
        <w:snapToGrid w:val="0"/>
        <w:spacing w:line="360" w:lineRule="auto"/>
        <w:ind w:firstLine="1606" w:firstLineChars="500"/>
        <w:jc w:val="left"/>
        <w:rPr>
          <w:rFonts w:hint="eastAsia" w:ascii="宋体" w:hAnsi="宋体"/>
          <w:b/>
          <w:color w:val="000000"/>
          <w:sz w:val="32"/>
          <w:szCs w:val="32"/>
          <w:lang w:eastAsia="zh-CN"/>
        </w:rPr>
      </w:pPr>
    </w:p>
    <w:p w14:paraId="6AAF3151">
      <w:pPr>
        <w:pStyle w:val="2"/>
        <w:rPr>
          <w:rFonts w:hint="eastAsia" w:ascii="宋体" w:hAnsi="宋体"/>
          <w:b/>
          <w:color w:val="000000"/>
          <w:sz w:val="32"/>
          <w:szCs w:val="32"/>
          <w:lang w:eastAsia="zh-CN"/>
        </w:rPr>
      </w:pPr>
    </w:p>
    <w:p w14:paraId="405463AB">
      <w:pPr>
        <w:rPr>
          <w:rFonts w:hint="eastAsia" w:ascii="宋体" w:hAnsi="宋体"/>
          <w:b/>
          <w:color w:val="000000"/>
          <w:sz w:val="32"/>
          <w:szCs w:val="32"/>
          <w:lang w:eastAsia="zh-CN"/>
        </w:rPr>
      </w:pPr>
    </w:p>
    <w:p w14:paraId="5879EF17">
      <w:pPr>
        <w:pStyle w:val="2"/>
        <w:rPr>
          <w:rFonts w:hint="eastAsia" w:ascii="宋体" w:hAnsi="宋体"/>
          <w:b/>
          <w:color w:val="000000"/>
          <w:sz w:val="32"/>
          <w:szCs w:val="32"/>
          <w:lang w:eastAsia="zh-CN"/>
        </w:rPr>
      </w:pPr>
    </w:p>
    <w:p w14:paraId="0648B215">
      <w:pPr>
        <w:rPr>
          <w:rFonts w:hint="eastAsia" w:ascii="宋体" w:hAnsi="宋体"/>
          <w:b/>
          <w:color w:val="000000"/>
          <w:sz w:val="32"/>
          <w:szCs w:val="32"/>
          <w:lang w:eastAsia="zh-CN"/>
        </w:rPr>
      </w:pPr>
    </w:p>
    <w:p w14:paraId="6EAC8228">
      <w:pPr>
        <w:pStyle w:val="2"/>
        <w:rPr>
          <w:rFonts w:hint="eastAsia"/>
          <w:lang w:eastAsia="zh-CN"/>
        </w:rPr>
      </w:pPr>
    </w:p>
    <w:p w14:paraId="722A2723">
      <w:pPr>
        <w:widowControl/>
        <w:adjustRightInd w:val="0"/>
        <w:snapToGrid w:val="0"/>
        <w:spacing w:line="360" w:lineRule="auto"/>
        <w:ind w:firstLine="1606" w:firstLineChars="500"/>
        <w:jc w:val="left"/>
        <w:rPr>
          <w:rFonts w:hint="default" w:eastAsia="宋体"/>
          <w:color w:val="000000"/>
          <w:szCs w:val="24"/>
          <w:lang w:val="en-US" w:eastAsia="zh-CN"/>
        </w:rPr>
      </w:pPr>
      <w:r>
        <w:rPr>
          <w:rFonts w:hint="eastAsia" w:ascii="宋体" w:hAnsi="宋体"/>
          <w:b/>
          <w:color w:val="000000"/>
          <w:sz w:val="32"/>
          <w:szCs w:val="32"/>
          <w:lang w:eastAsia="zh-CN"/>
        </w:rPr>
        <w:t>甲方</w:t>
      </w:r>
      <w:r>
        <w:rPr>
          <w:rFonts w:hint="eastAsia" w:ascii="宋体" w:hAnsi="宋体"/>
          <w:b/>
          <w:color w:val="000000"/>
          <w:sz w:val="32"/>
          <w:szCs w:val="32"/>
        </w:rPr>
        <w:t>：</w:t>
      </w:r>
      <w:r>
        <w:rPr>
          <w:rFonts w:hint="eastAsia" w:ascii="宋体" w:hAnsi="宋体"/>
          <w:b/>
          <w:color w:val="000000"/>
          <w:sz w:val="32"/>
          <w:szCs w:val="32"/>
          <w:u w:val="single"/>
          <w:lang w:val="en-US" w:eastAsia="zh-CN"/>
        </w:rPr>
        <w:t xml:space="preserve">                          </w:t>
      </w:r>
    </w:p>
    <w:p w14:paraId="57906997">
      <w:pPr>
        <w:widowControl/>
        <w:adjustRightInd w:val="0"/>
        <w:snapToGrid w:val="0"/>
        <w:spacing w:line="360" w:lineRule="auto"/>
        <w:ind w:firstLine="1606" w:firstLineChars="500"/>
        <w:rPr>
          <w:rFonts w:hint="eastAsia" w:ascii="宋体" w:hAnsi="宋体"/>
          <w:b/>
          <w:color w:val="000000"/>
          <w:sz w:val="32"/>
          <w:szCs w:val="32"/>
          <w:lang w:eastAsia="zh-CN"/>
        </w:rPr>
      </w:pPr>
    </w:p>
    <w:p w14:paraId="38CEE6E1">
      <w:pPr>
        <w:widowControl/>
        <w:adjustRightInd w:val="0"/>
        <w:snapToGrid w:val="0"/>
        <w:spacing w:line="360" w:lineRule="auto"/>
        <w:ind w:firstLine="1606" w:firstLineChars="500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  <w:lang w:eastAsia="zh-CN"/>
        </w:rPr>
        <w:t>乙方</w:t>
      </w:r>
      <w:r>
        <w:rPr>
          <w:rFonts w:hint="eastAsia" w:ascii="宋体" w:hAnsi="宋体"/>
          <w:b/>
          <w:color w:val="000000"/>
          <w:sz w:val="32"/>
          <w:szCs w:val="32"/>
        </w:rPr>
        <w:t>：</w:t>
      </w:r>
      <w:r>
        <w:rPr>
          <w:rFonts w:hint="eastAsia" w:ascii="宋体" w:hAnsi="宋体"/>
          <w:b/>
          <w:color w:val="000000"/>
          <w:sz w:val="32"/>
          <w:szCs w:val="32"/>
          <w:u w:val="single"/>
          <w:lang w:val="en-US" w:eastAsia="zh-CN"/>
        </w:rPr>
        <w:t xml:space="preserve">                          </w:t>
      </w:r>
    </w:p>
    <w:p w14:paraId="3F4B013A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pacing w:val="0"/>
          <w:sz w:val="32"/>
          <w:szCs w:val="32"/>
          <w:highlight w:val="none"/>
          <w:lang w:val="en-US" w:eastAsia="zh-CN"/>
        </w:rPr>
      </w:pPr>
    </w:p>
    <w:p w14:paraId="3A3B1894">
      <w:pPr>
        <w:pStyle w:val="4"/>
        <w:numPr>
          <w:ilvl w:val="0"/>
          <w:numId w:val="0"/>
        </w:numPr>
        <w:jc w:val="center"/>
        <w:rPr>
          <w:rFonts w:hint="default" w:ascii="宋体" w:hAnsi="宋体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32"/>
          <w:szCs w:val="32"/>
          <w:lang w:val="en-US" w:eastAsia="zh-CN" w:bidi="ar-SA"/>
        </w:rPr>
        <w:t>年   月   日</w:t>
      </w:r>
    </w:p>
    <w:p w14:paraId="7FB3A97D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pacing w:val="0"/>
          <w:sz w:val="32"/>
          <w:szCs w:val="32"/>
          <w:highlight w:val="none"/>
          <w:lang w:val="en-US" w:eastAsia="zh-CN"/>
        </w:rPr>
      </w:pPr>
    </w:p>
    <w:p w14:paraId="3960B4D9">
      <w:pPr>
        <w:rPr>
          <w:rFonts w:hint="eastAsia" w:ascii="仿宋" w:hAnsi="仿宋" w:eastAsia="仿宋" w:cs="仿宋"/>
          <w:b/>
          <w:bCs/>
          <w:spacing w:val="0"/>
          <w:sz w:val="32"/>
          <w:szCs w:val="32"/>
          <w:highlight w:val="none"/>
          <w:lang w:val="en-US" w:eastAsia="zh-CN"/>
        </w:rPr>
      </w:pPr>
    </w:p>
    <w:p w14:paraId="255A29AD">
      <w:pPr>
        <w:rPr>
          <w:rFonts w:hint="eastAsia"/>
          <w:lang w:val="en-US" w:eastAsia="zh-CN"/>
        </w:rPr>
      </w:pPr>
    </w:p>
    <w:bookmarkEnd w:id="0"/>
    <w:bookmarkEnd w:id="1"/>
    <w:p w14:paraId="7A6FF146">
      <w:pPr>
        <w:rPr>
          <w:rFonts w:hint="eastAsia" w:ascii="仿宋" w:hAnsi="仿宋" w:eastAsia="仿宋" w:cs="仿宋"/>
          <w:highlight w:val="none"/>
        </w:rPr>
      </w:pPr>
    </w:p>
    <w:p w14:paraId="69D10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textAlignment w:val="auto"/>
        <w:rPr>
          <w:rFonts w:hint="eastAsia" w:ascii="仿宋" w:hAnsi="仿宋" w:eastAsia="宋体" w:cs="仿宋"/>
          <w:b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人（全称）：</w:t>
      </w:r>
      <w:r>
        <w:rPr>
          <w:rFonts w:ascii="宋体" w:hAnsi="宋体" w:cs="宋体"/>
          <w:b/>
          <w:bCs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Cs w:val="21"/>
          <w:highlight w:val="none"/>
        </w:rPr>
        <w:t>（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以下简称甲方）</w:t>
      </w:r>
    </w:p>
    <w:p w14:paraId="3D57E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供应商（全称）：</w:t>
      </w:r>
      <w:r>
        <w:rPr>
          <w:rFonts w:ascii="宋体" w:hAnsi="宋体" w:cs="宋体"/>
          <w:b/>
          <w:bCs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Cs w:val="21"/>
          <w:highlight w:val="none"/>
        </w:rPr>
        <w:t>（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以下简称乙方）</w:t>
      </w:r>
    </w:p>
    <w:p w14:paraId="6C723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根据《中华人民共和国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民法典</w:t>
      </w:r>
      <w:r>
        <w:rPr>
          <w:rFonts w:hint="eastAsia" w:ascii="仿宋" w:hAnsi="仿宋" w:eastAsia="仿宋" w:cs="仿宋"/>
          <w:sz w:val="24"/>
          <w:szCs w:val="24"/>
        </w:rPr>
        <w:t>》及有关法律、法规的规定，双方本着平等、自愿、公平、诚实信用的原则，经友好协商，就甲方委托乙方承担</w:t>
      </w:r>
      <w:r>
        <w:rPr>
          <w:rFonts w:hint="eastAsia" w:ascii="仿宋" w:hAnsi="仿宋" w:eastAsia="仿宋" w:cs="仿宋"/>
          <w:bCs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>达成一致意见，特签订本合同，以资信守。</w:t>
      </w:r>
    </w:p>
    <w:p w14:paraId="4959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 xml:space="preserve">条  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规划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要求</w:t>
      </w:r>
    </w:p>
    <w:p w14:paraId="3A68D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542" w:firstLineChars="225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合同约定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范围内的</w:t>
      </w:r>
      <w:r>
        <w:rPr>
          <w:rFonts w:hint="eastAsia" w:ascii="仿宋" w:hAnsi="仿宋" w:eastAsia="仿宋" w:cs="仿宋"/>
          <w:bCs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编制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。</w:t>
      </w:r>
    </w:p>
    <w:p w14:paraId="7BDFB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542" w:firstLineChars="225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综合考虑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规划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、功能、造价、使用等要求，按照国家及地区相关标准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和规范合理设计，最终以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规划成果可以满足指导下一步工作的深度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。</w:t>
      </w:r>
    </w:p>
    <w:p w14:paraId="2B288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542" w:firstLineChars="225"/>
        <w:textAlignment w:val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以上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规划成果必须提供相应资质，满足政府要求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。</w:t>
      </w:r>
    </w:p>
    <w:p w14:paraId="367F8B9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条  乙方应向甲方交付以下设计成果及文件</w:t>
      </w:r>
    </w:p>
    <w:tbl>
      <w:tblPr>
        <w:tblStyle w:val="7"/>
        <w:tblpPr w:leftFromText="180" w:rightFromText="180" w:vertAnchor="text" w:horzAnchor="page" w:tblpX="1825" w:tblpY="166"/>
        <w:tblOverlap w:val="never"/>
        <w:tblW w:w="8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438"/>
        <w:gridCol w:w="3563"/>
        <w:gridCol w:w="2006"/>
      </w:tblGrid>
      <w:tr w14:paraId="39DC9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51" w:type="dxa"/>
            <w:noWrap w:val="0"/>
            <w:vAlign w:val="center"/>
          </w:tcPr>
          <w:p w14:paraId="55AED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38" w:type="dxa"/>
            <w:noWrap w:val="0"/>
            <w:vAlign w:val="center"/>
          </w:tcPr>
          <w:p w14:paraId="1E652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设计阶段</w:t>
            </w:r>
          </w:p>
        </w:tc>
        <w:tc>
          <w:tcPr>
            <w:tcW w:w="3563" w:type="dxa"/>
            <w:noWrap w:val="0"/>
            <w:vAlign w:val="center"/>
          </w:tcPr>
          <w:p w14:paraId="28AF3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资料及文件名称</w:t>
            </w:r>
          </w:p>
        </w:tc>
        <w:tc>
          <w:tcPr>
            <w:tcW w:w="2006" w:type="dxa"/>
            <w:noWrap w:val="0"/>
            <w:vAlign w:val="center"/>
          </w:tcPr>
          <w:p w14:paraId="5897C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份数</w:t>
            </w:r>
          </w:p>
        </w:tc>
      </w:tr>
      <w:tr w14:paraId="7B06A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exact"/>
          <w:jc w:val="center"/>
        </w:trPr>
        <w:tc>
          <w:tcPr>
            <w:tcW w:w="851" w:type="dxa"/>
            <w:noWrap w:val="0"/>
            <w:vAlign w:val="center"/>
          </w:tcPr>
          <w:p w14:paraId="22A33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</w:p>
        </w:tc>
        <w:tc>
          <w:tcPr>
            <w:tcW w:w="2438" w:type="dxa"/>
            <w:noWrap w:val="0"/>
            <w:vAlign w:val="center"/>
          </w:tcPr>
          <w:p w14:paraId="4AC6B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</w:rPr>
              <w:t>规划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文本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及图则、附件</w:t>
            </w:r>
          </w:p>
        </w:tc>
        <w:tc>
          <w:tcPr>
            <w:tcW w:w="3563" w:type="dxa"/>
            <w:noWrap w:val="0"/>
            <w:vAlign w:val="center"/>
          </w:tcPr>
          <w:p w14:paraId="162F47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1、征求意见稿</w:t>
            </w:r>
          </w:p>
          <w:p w14:paraId="68452D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960" w:firstLineChars="4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评审稿</w:t>
            </w:r>
          </w:p>
          <w:p w14:paraId="79DC6D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0" w:firstLine="960" w:firstLineChars="4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3、最终成果</w:t>
            </w:r>
          </w:p>
        </w:tc>
        <w:tc>
          <w:tcPr>
            <w:tcW w:w="2006" w:type="dxa"/>
            <w:noWrap w:val="0"/>
            <w:vAlign w:val="center"/>
          </w:tcPr>
          <w:p w14:paraId="65A7C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10份</w:t>
            </w:r>
          </w:p>
          <w:p w14:paraId="4F1B3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10份</w:t>
            </w:r>
          </w:p>
          <w:p w14:paraId="6E172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10份</w:t>
            </w:r>
          </w:p>
          <w:p w14:paraId="25C43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2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1937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6" w:hRule="atLeast"/>
          <w:jc w:val="center"/>
        </w:trPr>
        <w:tc>
          <w:tcPr>
            <w:tcW w:w="851" w:type="dxa"/>
            <w:noWrap w:val="0"/>
            <w:vAlign w:val="center"/>
          </w:tcPr>
          <w:p w14:paraId="43ED3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备</w:t>
            </w:r>
          </w:p>
          <w:p w14:paraId="624EB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注</w:t>
            </w:r>
          </w:p>
        </w:tc>
        <w:tc>
          <w:tcPr>
            <w:tcW w:w="8007" w:type="dxa"/>
            <w:gridSpan w:val="3"/>
            <w:noWrap w:val="0"/>
            <w:vAlign w:val="center"/>
          </w:tcPr>
          <w:p w14:paraId="39C0B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  <w:t>说明：</w:t>
            </w:r>
          </w:p>
          <w:p w14:paraId="1A08191A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240" w:firstLineChars="1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、乙方在各阶段向甲方提交文件时，设计师应负责向甲方解说。</w:t>
            </w:r>
          </w:p>
          <w:p w14:paraId="35220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240" w:firstLineChars="1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、乙方所递交的各阶段设计文件除正常的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要求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内容外，根据专利设计保护条例，不包括其它的细部图电子文件。</w:t>
            </w:r>
          </w:p>
          <w:p w14:paraId="54B86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240" w:firstLineChars="100"/>
              <w:textAlignment w:val="auto"/>
              <w:rPr>
                <w:rFonts w:hint="eastAsia" w:ascii="仿宋" w:hAnsi="仿宋" w:eastAsia="仿宋" w:cs="仿宋"/>
                <w:i/>
                <w:iCs/>
                <w:color w:val="00FF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、纸质版成果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应满足规划评审各阶段要求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。</w:t>
            </w:r>
          </w:p>
        </w:tc>
      </w:tr>
    </w:tbl>
    <w:p w14:paraId="133F350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ind w:firstLine="482" w:firstLineChars="200"/>
        <w:textAlignment w:val="auto"/>
        <w:rPr>
          <w:rFonts w:hint="eastAsia" w:ascii="仿宋" w:hAnsi="仿宋" w:eastAsia="仿宋" w:cs="仿宋"/>
          <w:b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 xml:space="preserve">条  </w:t>
      </w:r>
      <w:r>
        <w:rPr>
          <w:rFonts w:hint="eastAsia" w:ascii="仿宋" w:hAnsi="仿宋" w:eastAsia="仿宋" w:cs="仿宋"/>
          <w:b/>
          <w:color w:val="000000"/>
          <w:spacing w:val="20"/>
          <w:sz w:val="24"/>
          <w:szCs w:val="24"/>
        </w:rPr>
        <w:t>设计费及支付进度</w:t>
      </w:r>
    </w:p>
    <w:p w14:paraId="1E80AD2B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bidi w:val="0"/>
        <w:snapToGrid/>
        <w:spacing w:after="50" w:line="500" w:lineRule="exact"/>
        <w:ind w:leftChars="0" w:firstLine="482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费用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总价为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：</w:t>
      </w:r>
      <w:r>
        <w:rPr>
          <w:rStyle w:val="9"/>
          <w:rFonts w:hint="eastAsia" w:ascii="仿宋" w:hAnsi="仿宋" w:eastAsia="仿宋" w:cs="仿宋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；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大写：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u w:val="none"/>
          <w:lang w:val="en-US" w:eastAsia="zh-CN"/>
        </w:rPr>
        <w:t>。</w:t>
      </w:r>
    </w:p>
    <w:p w14:paraId="423176D1"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bidi w:val="0"/>
        <w:snapToGrid/>
        <w:spacing w:after="50" w:line="500" w:lineRule="exact"/>
        <w:ind w:leftChars="0" w:firstLine="482" w:firstLineChars="200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支付方式：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本实施方案编制完成，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行业主管部门</w:t>
      </w:r>
      <w:bookmarkStart w:id="2" w:name="_GoBack"/>
      <w:bookmarkEnd w:id="2"/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后，甲方向乙方一次性支付设计费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    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含税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；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大写：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u w:val="none"/>
          <w:lang w:val="en-US" w:eastAsia="zh-CN"/>
        </w:rPr>
        <w:t>。</w:t>
      </w:r>
    </w:p>
    <w:p w14:paraId="4B708F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 xml:space="preserve">条  </w:t>
      </w:r>
      <w:r>
        <w:rPr>
          <w:rFonts w:hint="eastAsia" w:ascii="仿宋" w:hAnsi="仿宋" w:eastAsia="仿宋" w:cs="仿宋"/>
          <w:b/>
          <w:bCs/>
          <w:color w:val="000000"/>
          <w:spacing w:val="20"/>
          <w:sz w:val="24"/>
          <w:szCs w:val="24"/>
        </w:rPr>
        <w:t>双方义务</w:t>
      </w:r>
    </w:p>
    <w:p w14:paraId="0499439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439" w:firstLineChars="182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甲方义务：</w:t>
      </w:r>
    </w:p>
    <w:p w14:paraId="3CAD48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05" w:leftChars="50" w:firstLine="434" w:firstLineChars="18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1.1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202020"/>
          <w:kern w:val="0"/>
          <w:sz w:val="24"/>
          <w:szCs w:val="24"/>
        </w:rPr>
        <w:t>甲方保证</w:t>
      </w:r>
      <w:r>
        <w:rPr>
          <w:rFonts w:hint="eastAsia" w:ascii="仿宋" w:hAnsi="仿宋" w:eastAsia="仿宋" w:cs="仿宋"/>
          <w:color w:val="202020"/>
          <w:kern w:val="0"/>
          <w:sz w:val="24"/>
          <w:szCs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202020"/>
          <w:kern w:val="0"/>
          <w:sz w:val="24"/>
          <w:szCs w:val="24"/>
        </w:rPr>
        <w:t>款按时到位，以保证</w:t>
      </w:r>
      <w:r>
        <w:rPr>
          <w:rFonts w:hint="eastAsia" w:ascii="仿宋" w:hAnsi="仿宋" w:eastAsia="仿宋" w:cs="仿宋"/>
          <w:color w:val="202020"/>
          <w:kern w:val="0"/>
          <w:sz w:val="24"/>
          <w:szCs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202020"/>
          <w:kern w:val="0"/>
          <w:sz w:val="24"/>
          <w:szCs w:val="24"/>
        </w:rPr>
        <w:t>的顺利进行。</w:t>
      </w:r>
    </w:p>
    <w:p w14:paraId="5C9340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224"/>
        <w:textAlignment w:val="auto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2.2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乙方义务：</w:t>
      </w:r>
    </w:p>
    <w:p w14:paraId="6DA9D3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224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2.1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 乙方应按国家技术规范、标准、规程及甲方提出的设计要求，进行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规划编制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，按进度提交质量合格的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规划成果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，并对其质量负责。</w:t>
      </w:r>
    </w:p>
    <w:p w14:paraId="413A1DFF">
      <w:pPr>
        <w:keepNext w:val="0"/>
        <w:keepLines w:val="0"/>
        <w:pageBreakBefore w:val="0"/>
        <w:tabs>
          <w:tab w:val="left" w:pos="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224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2.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交付设计文件后，按规定参加有关上级的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成果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审查，并根据审查结论做必要调整补充。</w:t>
      </w:r>
    </w:p>
    <w:p w14:paraId="007BEC14">
      <w:pPr>
        <w:keepNext w:val="0"/>
        <w:keepLines w:val="0"/>
        <w:pageBreakBefore w:val="0"/>
        <w:tabs>
          <w:tab w:val="left" w:pos="1080"/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0" w:firstLineChars="224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2.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乙方应保护甲方的知识产权，不得向第三人泄露、转让甲方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提供的相关资料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。</w:t>
      </w:r>
    </w:p>
    <w:p w14:paraId="60F289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00"/>
          <w:spacing w:val="2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 xml:space="preserve">条  </w:t>
      </w:r>
      <w:r>
        <w:rPr>
          <w:rFonts w:hint="eastAsia" w:ascii="仿宋" w:hAnsi="仿宋" w:eastAsia="仿宋" w:cs="仿宋"/>
          <w:b/>
          <w:bCs/>
          <w:color w:val="000000"/>
          <w:spacing w:val="20"/>
          <w:sz w:val="24"/>
          <w:szCs w:val="24"/>
        </w:rPr>
        <w:t>违约责任</w:t>
      </w:r>
    </w:p>
    <w:p w14:paraId="01AC399B">
      <w:pPr>
        <w:keepNext w:val="0"/>
        <w:keepLines w:val="0"/>
        <w:pageBreakBefore w:val="0"/>
        <w:tabs>
          <w:tab w:val="left" w:pos="0"/>
          <w:tab w:val="left" w:pos="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" w:firstLine="539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乙方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编制成果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满足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相关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标准及合同要求时，甲方应按本合同第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条规定的金额和时间向乙方支付设计费。  </w:t>
      </w:r>
    </w:p>
    <w:p w14:paraId="4C76C6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00"/>
          <w:spacing w:val="2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 xml:space="preserve">条  </w:t>
      </w:r>
      <w:r>
        <w:rPr>
          <w:rFonts w:hint="eastAsia" w:ascii="仿宋" w:hAnsi="仿宋" w:eastAsia="仿宋" w:cs="仿宋"/>
          <w:b/>
          <w:bCs/>
          <w:color w:val="000000"/>
          <w:spacing w:val="20"/>
          <w:sz w:val="24"/>
          <w:szCs w:val="24"/>
        </w:rPr>
        <w:t>其他</w:t>
      </w:r>
    </w:p>
    <w:p w14:paraId="050E3B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 w:firstLineChars="225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甲方委托乙方承担本合同内容之外的工作服务，另行支付费用。</w:t>
      </w:r>
    </w:p>
    <w:p w14:paraId="3D63A7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 w:firstLineChars="225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由于不可抗力因素致使合同无法履行时，双方应及时协商解决。</w:t>
      </w:r>
    </w:p>
    <w:p w14:paraId="36187E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 w:firstLineChars="225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因本合同的签订、履行而发生争议的，合同各方应本着友好、合作的态度进行协商；协商不成的，提交仲裁委员会仲裁。</w:t>
      </w:r>
    </w:p>
    <w:p w14:paraId="2EA602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2" w:firstLineChars="225"/>
        <w:textAlignment w:val="auto"/>
        <w:rPr>
          <w:rFonts w:hint="eastAsia" w:ascii="仿宋" w:hAnsi="仿宋" w:eastAsia="仿宋" w:cs="仿宋"/>
          <w:color w:val="000000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本合同一式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 肆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份，双方各执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 贰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份，均具同等法律效力。</w:t>
      </w:r>
    </w:p>
    <w:p w14:paraId="17324E7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8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2D10777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506" w:rightChars="-241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甲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方：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乙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方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                       </w:t>
      </w:r>
    </w:p>
    <w:p w14:paraId="3825969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506" w:rightChars="-241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法定代表人：   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法定代表人：</w:t>
      </w:r>
    </w:p>
    <w:p w14:paraId="40A29A3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506" w:rightChars="-241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（或委托代理签约人）：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（或委托代理签约人）：</w:t>
      </w:r>
    </w:p>
    <w:p w14:paraId="1018F8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506" w:rightChars="-241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地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址：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地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址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：</w:t>
      </w:r>
    </w:p>
    <w:p w14:paraId="7453FC8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506" w:rightChars="-241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电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话：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电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话： </w:t>
      </w:r>
    </w:p>
    <w:p w14:paraId="555A6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-506" w:rightChars="-241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zh-CN"/>
        </w:rPr>
        <w:t>开户银行：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zh-CN"/>
        </w:rPr>
        <w:t>开户银行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：</w:t>
      </w:r>
    </w:p>
    <w:p w14:paraId="38F69E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506" w:rightChars="-241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帐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 号：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t>帐   号：</w:t>
      </w:r>
    </w:p>
    <w:p w14:paraId="6F05752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506" w:rightChars="-241" w:firstLine="2640" w:firstLineChars="11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年     月     日                       年     月     日</w:t>
      </w:r>
    </w:p>
    <w:p w14:paraId="67CE6D15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70A35"/>
    <w:rsid w:val="2789187F"/>
    <w:rsid w:val="56446F6C"/>
    <w:rsid w:val="68DD0C2C"/>
    <w:rsid w:val="69C7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500" w:lineRule="exact"/>
    </w:pPr>
    <w:rPr>
      <w:rFonts w:eastAsia="楷体_GB2312"/>
      <w:sz w:val="24"/>
    </w:rPr>
  </w:style>
  <w:style w:type="paragraph" w:styleId="5">
    <w:name w:val="Date"/>
    <w:basedOn w:val="1"/>
    <w:next w:val="1"/>
    <w:qFormat/>
    <w:uiPriority w:val="0"/>
    <w:pPr>
      <w:widowControl/>
      <w:ind w:left="100" w:leftChars="2500"/>
      <w:jc w:val="left"/>
    </w:pPr>
    <w:rPr>
      <w:kern w:val="0"/>
      <w:sz w:val="28"/>
      <w:szCs w:val="20"/>
    </w:rPr>
  </w:style>
  <w:style w:type="paragraph" w:styleId="6">
    <w:name w:val="Body Text Indent 3"/>
    <w:basedOn w:val="1"/>
    <w:qFormat/>
    <w:uiPriority w:val="0"/>
    <w:pPr>
      <w:spacing w:line="580" w:lineRule="exact"/>
      <w:ind w:firstLine="624"/>
    </w:pPr>
    <w:rPr>
      <w:rFonts w:ascii="楷体_GB2312" w:eastAsia="楷体_GB2312"/>
      <w:sz w:val="32"/>
    </w:rPr>
  </w:style>
  <w:style w:type="character" w:customStyle="1" w:styleId="9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984</Words>
  <Characters>1016</Characters>
  <Lines>0</Lines>
  <Paragraphs>0</Paragraphs>
  <TotalTime>4</TotalTime>
  <ScaleCrop>false</ScaleCrop>
  <LinksUpToDate>false</LinksUpToDate>
  <CharactersWithSpaces>1524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2025-04-27T02:03:00Z</dcterms:created>
  <dc:creator>admin</dc:creator>
  <cp:lastModifiedBy>西北风</cp:lastModifiedBy>
  <dcterms:modified xsi:type="dcterms:W3CDTF">2026-06-12T01:56:51Z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eyJoZGlkIjoiY2U1ODljYThiNDI3OWNlMDkwODQ0MDBkM2YzMGY1NTUiLCJ1c2VySWQiOiIzMTAxMzMxNjkifQ==</vt:lpwstr>
  </property>
  <property fmtid="{D5CDD505-2E9C-101B-9397-08002B2CF9AE}" pid="4" name="ICV">
    <vt:lpwstr>781B82F15AD4425EA5F9412918E7EAC5_12</vt:lpwstr>
  </property>
</Properties>
</file>