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版本号：FCZFCG-2026-0021120260511001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东办公区保安服务（2026.6.9-2027.6.8）</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FCZFCG-2026-00211</w:t>
      </w:r>
      <w:r>
        <w:br/>
      </w:r>
      <w:r>
        <w:br/>
      </w:r>
      <w:r>
        <w:br/>
      </w:r>
    </w:p>
    <w:p>
      <w:pPr>
        <w:pStyle w:val="null3"/>
        <w:jc w:val="center"/>
        <w:outlineLvl w:val="2"/>
      </w:pPr>
      <w:r>
        <w:rPr>
          <w:rFonts w:ascii="仿宋_GB2312" w:hAnsi="仿宋_GB2312" w:cs="仿宋_GB2312" w:eastAsia="仿宋_GB2312"/>
          <w:sz w:val="28"/>
          <w:b/>
        </w:rPr>
        <w:t>铜川市市级机关东办公区物业管理处</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铜川市市级机关东办公区物业管理处</w:t>
      </w:r>
      <w:r>
        <w:rPr>
          <w:rFonts w:ascii="仿宋_GB2312" w:hAnsi="仿宋_GB2312" w:cs="仿宋_GB2312" w:eastAsia="仿宋_GB2312"/>
        </w:rPr>
        <w:t>委托，拟对</w:t>
      </w:r>
      <w:r>
        <w:rPr>
          <w:rFonts w:ascii="仿宋_GB2312" w:hAnsi="仿宋_GB2312" w:cs="仿宋_GB2312" w:eastAsia="仿宋_GB2312"/>
        </w:rPr>
        <w:t>东办公区保安服务（2026.6.9-2027.6.8）</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FCZFCG-2026-00211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东办公区保安服务（2026.6.9-2027.6.8）</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1.项目名称：东办公区保安服务项目 2.服务地点：铜川市新区正阳路9号（铜川市人民政府） 3.服务范围：东办公区院内的门禁管理、巡逻、车辆管理及应急处置等。总建筑面积约32041.15㎡，共有南、北门4个出入口。</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采购包1（东办公区保安服务（2026.6.9-2027.6.8））：属于专门面向小微企业采购。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铜川市市级机关东办公区物业管理处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陕西省铜川市新区正阳路市政府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18091923072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采购包1：556,920.00元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铜川市市级机关东办公区物业管理处</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铜川市市级机关东办公区物业管理处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铜川市市级机关东办公区物业管理处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按项目服务要求符合采购单位要求。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铜川市市级机关东办公区物业管理处</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1.项目名称：东办公区保安服务项目 2.服务地点：铜川市新区正阳路9号（铜川市人民政府） 3.服务范围：东办公区院内的门禁管理、巡逻、车辆管理及应急处置等。总建筑面积约32041.15㎡，共有南、北门4个出入口。</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556,920.00</w:t>
      </w:r>
    </w:p>
    <w:p>
      <w:pPr>
        <w:pStyle w:val="null3"/>
      </w:pPr>
      <w:r>
        <w:rPr>
          <w:rFonts w:ascii="仿宋_GB2312" w:hAnsi="仿宋_GB2312" w:cs="仿宋_GB2312" w:eastAsia="仿宋_GB2312"/>
        </w:rPr>
        <w:t>采购包最高限价（元）: 556,920.00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556,920.00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共需16人，其中保安队长1人，门卫岗11人，（24小时值守），巡逻岗4人（24小时双人值守），车辆秩序岗由队长统筹。基本要求：60周岁以下（限男性），初中及以上文化，无违法犯罪记录，持有有效《保安员证》，队长须3年以上管理经验。人员更换须经采购人同意，不称职人员5日内调换。</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2026.6.9-2027.6.8</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陕西省铜川市新区正阳路9号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按季考核合格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按季支付，凭发票及考核结果结算。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凡因本项自引起有关任何争议，双方友好协商，如协商不成，向铜川仲裁委员会按其仲裁规则申请往裁。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提交响应文件前六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按照政府采购政策，落实政府采购相关政策。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针对本次采购项目内容及要求，对供应商响应文件中的服务方案服务目标、服务内容等完整性、科学性、合理性进行综合评审。根据各供应商响应情况:计0-25分。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编制项目管理机构、工作职能组织运行图，阐述项目经理的管理职责、内部管理的职责分工，日常管理制度完善程序规范，符合项目实际需求，根据各供应商响应情况计0-10分。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保安人员需提供保安上岗证。每提供一证得0.5分，总分8分。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服务优势</w:t>
            </w:r>
          </w:p>
        </w:tc>
        <w:tc>
          <w:tcPr>
            <w:tcW w:type="dxa" w:w="2492"/>
          </w:tcPr>
          <w:p>
            <w:pPr>
              <w:pStyle w:val="null3"/>
            </w:pPr>
            <w:r>
              <w:rPr>
                <w:rFonts w:ascii="仿宋_GB2312" w:hAnsi="仿宋_GB2312" w:cs="仿宋_GB2312" w:eastAsia="仿宋_GB2312"/>
              </w:rPr>
              <w:t>结合项目实际情况，对供应商的自身服务优势、服务特点等内容由评标委员会综合评审。计 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根据供应商的服务承诺的合理性、可行性进行评价，由评标委员会综合评审。计 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投标人提供三标体系（ISO9001、ISO14001、ISO45001）认证得6分；提供其中任意一项得2分；提供其中任意二项得4分。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能够提供自2023年1月至今公共安保服务的业绩，每项计2分，本项最高得4分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