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版本号：WYZB-2026-05120260710001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富平县国土空间详细规划单元划定工作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WYZB-2026-051</w:t>
      </w:r>
      <w:r>
        <w:br/>
      </w:r>
      <w:r>
        <w:br/>
      </w:r>
      <w:r>
        <w:br/>
      </w:r>
    </w:p>
    <w:p>
      <w:pPr>
        <w:pStyle w:val="null3"/>
        <w:jc w:val="center"/>
        <w:outlineLvl w:val="2"/>
      </w:pPr>
      <w:r>
        <w:rPr>
          <w:rFonts w:ascii="仿宋_GB2312" w:hAnsi="仿宋_GB2312" w:cs="仿宋_GB2312" w:eastAsia="仿宋_GB2312"/>
          <w:sz w:val="28"/>
          <w:b/>
        </w:rPr>
        <w:t>富平县自然资源局（本级）</w:t>
      </w:r>
    </w:p>
    <w:p>
      <w:pPr>
        <w:pStyle w:val="null3"/>
        <w:jc w:val="center"/>
        <w:outlineLvl w:val="2"/>
      </w:pPr>
      <w:r>
        <w:rPr>
          <w:rFonts w:ascii="仿宋_GB2312" w:hAnsi="仿宋_GB2312" w:cs="仿宋_GB2312" w:eastAsia="仿宋_GB2312"/>
          <w:sz w:val="28"/>
          <w:b/>
        </w:rPr>
        <w:t>万远（陕西）国际招标代理有限公司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万远（陕西）国际招标代理有限公司</w:t>
      </w:r>
      <w:r>
        <w:rPr>
          <w:rFonts w:ascii="仿宋_GB2312" w:hAnsi="仿宋_GB2312" w:cs="仿宋_GB2312" w:eastAsia="仿宋_GB2312"/>
        </w:rPr>
        <w:t>（以下简称“代理机构”）受</w:t>
      </w:r>
      <w:r>
        <w:rPr>
          <w:rFonts w:ascii="仿宋_GB2312" w:hAnsi="仿宋_GB2312" w:cs="仿宋_GB2312" w:eastAsia="仿宋_GB2312"/>
        </w:rPr>
        <w:t>富平县自然资源局（本级）</w:t>
      </w:r>
      <w:r>
        <w:rPr>
          <w:rFonts w:ascii="仿宋_GB2312" w:hAnsi="仿宋_GB2312" w:cs="仿宋_GB2312" w:eastAsia="仿宋_GB2312"/>
        </w:rPr>
        <w:t>委托，拟对</w:t>
      </w:r>
      <w:r>
        <w:rPr>
          <w:rFonts w:ascii="仿宋_GB2312" w:hAnsi="仿宋_GB2312" w:cs="仿宋_GB2312" w:eastAsia="仿宋_GB2312"/>
        </w:rPr>
        <w:t>富平县国土空间详细规划单元划定工作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WYZB-2026-051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富平县国土空间详细规划单元划定工作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中共中央国务院关于建立国土空间规划体系并监督实施的若干意见》（中发〔2019〕18号）及《自然资源部关于加强国土空间详细规划工作的通知》（自然资发〔2023〕43号）等文件精神，加快推进国土空间详细规划编制工作，建立“详细规划+规划许可”的国土空间用途管制体系，实现国土空间总体规划与详细规划的有效传导与衔接，现依据陕西省自然资源主管部门关于详细规划编制单元划定的相关工作要求，结合富平县国土空间总体规划成果、各个乡镇国土空间规划成果及城镇开发边界划定情况，组织开展本次详细规划编制单元划定工作，为后续详细规划编制提供科学、合理的空间单元基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采购包1（富平县国土空间详细规划单元划定工作）：属于专门面向中小企业采购。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2、企业资质：供应商须具备相关行政主管部门颁发的城乡规划编制乙级及以上或土地规划编制乙级及以上资质证书；项目负责人须具备相关专业中级及以上技术职称。</w:t>
      </w:r>
    </w:p>
    <w:p>
      <w:pPr>
        <w:pStyle w:val="null3"/>
      </w:pPr>
      <w:r>
        <w:rPr>
          <w:rFonts w:ascii="仿宋_GB2312" w:hAnsi="仿宋_GB2312" w:cs="仿宋_GB2312" w:eastAsia="仿宋_GB2312"/>
        </w:rPr>
        <w:t>3、财务状况报告：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pPr>
        <w:pStyle w:val="null3"/>
      </w:pPr>
      <w:r>
        <w:rPr>
          <w:rFonts w:ascii="仿宋_GB2312" w:hAnsi="仿宋_GB2312" w:cs="仿宋_GB2312" w:eastAsia="仿宋_GB2312"/>
        </w:rPr>
        <w:t>4、税收缴纳证明：提供磋商截止日前六个月内任意一个月的纳税证明或完税证明（增值税、印花税、城市维护建设费、企业所得税等一种或多种税种），依法免税的单位提供相关证明材料。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5、社保缴纳证明：提供磋商截止日前六个月内任意一个月的社保资金缴纳证明，依法不需要缴纳社保资金的单位提供相关证明材料。</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7、无重大违法记录：参加本次政府采购活动前三年内在经营活动中没有重大违法记录的书面声明。</w:t>
      </w:r>
    </w:p>
    <w:p>
      <w:pPr>
        <w:pStyle w:val="null3"/>
      </w:pPr>
      <w:r>
        <w:rPr>
          <w:rFonts w:ascii="仿宋_GB2312" w:hAnsi="仿宋_GB2312" w:cs="仿宋_GB2312" w:eastAsia="仿宋_GB2312"/>
        </w:rPr>
        <w:t>8、法定代表人授权书/法定代表人身份证明：法定代表人授权书（附法定代表人、被授权人身份证复印件），法定代表人直接参加磋商，须提供法定代表人身份证明、法定代表人身份证复印件。</w:t>
      </w:r>
    </w:p>
    <w:p>
      <w:pPr>
        <w:pStyle w:val="null3"/>
      </w:pPr>
      <w:r>
        <w:rPr>
          <w:rFonts w:ascii="仿宋_GB2312" w:hAnsi="仿宋_GB2312" w:cs="仿宋_GB2312" w:eastAsia="仿宋_GB2312"/>
        </w:rPr>
        <w:t>9、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富平县自然资源局（本级）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富平县莲湖大街东段83号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党股长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13347451615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万远（陕西）国际招标代理有限公司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陕西省西安市雁塔区丈八街道唐延·九珺2号楼601室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权晓妹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17612935938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代理服务费收费标准：参照国家计委颁发的《招标代理服务收费管理暂行办法》（计价格[2002]1980号）和发改革颁发的《关于招标代理服务收费有关问题的通知》（发改办价格[2003] 857号）的有关规定，不足10000.00元按10000.00元计取，中标单位在领取中标通知书前，须向采购代理机构一次性支付招标代理服务费。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富平县自然资源局（本级）</w:t>
      </w:r>
      <w:r>
        <w:rPr>
          <w:rFonts w:ascii="仿宋_GB2312" w:hAnsi="仿宋_GB2312" w:cs="仿宋_GB2312" w:eastAsia="仿宋_GB2312"/>
        </w:rPr>
        <w:t>和</w:t>
      </w:r>
      <w:r>
        <w:rPr>
          <w:rFonts w:ascii="仿宋_GB2312" w:hAnsi="仿宋_GB2312" w:cs="仿宋_GB2312" w:eastAsia="仿宋_GB2312"/>
        </w:rPr>
        <w:t>万远（陕西）国际招标代理有限公司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富平县自然资源局（本级）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万远（陕西）国际招标代理有限公司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富平县自然资源局（本级）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万远（陕西）国际招标代理有限公司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联系人：权晓妹</w:t>
      </w:r>
    </w:p>
    <w:p>
      <w:pPr>
        <w:pStyle w:val="null3"/>
      </w:pPr>
      <w:r>
        <w:rPr>
          <w:rFonts w:ascii="仿宋_GB2312" w:hAnsi="仿宋_GB2312" w:cs="仿宋_GB2312" w:eastAsia="仿宋_GB2312"/>
        </w:rPr>
        <w:t>联系电话：17612935938</w:t>
      </w:r>
    </w:p>
    <w:p>
      <w:pPr>
        <w:pStyle w:val="null3"/>
      </w:pPr>
      <w:r>
        <w:rPr>
          <w:rFonts w:ascii="仿宋_GB2312" w:hAnsi="仿宋_GB2312" w:cs="仿宋_GB2312" w:eastAsia="仿宋_GB2312"/>
        </w:rPr>
        <w:t>地址：陕西省西安市雁塔区丈八街道唐延·九珺2号楼601室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中共中央国务院关于建立国土空间规划体系并监督实施的若干意见》（中发〔2019〕18号）及《自然资源部关于加强国土空间详细规划工作的通知》（自然资发〔2023〕43号）等文件精神，加快推进国土空间详细规划编制工作，建立“详细规划+规划许可”的国土空间用途管制体系，实现国土空间总体规划与详细规划的有效传导与衔接，现依据陕西省自然资源主管部门关于详细规划编制单元划定的相关工作要求，结合富平县国土空间总体规划成果、各个乡镇国土空间规划成果及城镇开发边界划定情况，组织开展本次详细规划编制单元划定工作，为后续详细规划编制提供科学、合理的空间单元基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富平县国土空间详细规划单元划定工作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标的名称：富平县国土空间详细规划单元划定工作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基本情况</w:t>
            </w:r>
          </w:p>
          <w:p>
            <w:pPr>
              <w:pStyle w:val="null3"/>
              <w:ind w:firstLine="480"/>
            </w:pPr>
            <w:r>
              <w:rPr>
                <w:rFonts w:ascii="仿宋_GB2312" w:hAnsi="仿宋_GB2312" w:cs="仿宋_GB2312" w:eastAsia="仿宋_GB2312"/>
                <w:sz w:val="24"/>
              </w:rPr>
              <w:t>为贯彻落实《中共中央国务院关于建立国土空间规划体系并监督实施的若干意见》（中发〔</w:t>
            </w:r>
            <w:r>
              <w:rPr>
                <w:rFonts w:ascii="仿宋_GB2312" w:hAnsi="仿宋_GB2312" w:cs="仿宋_GB2312" w:eastAsia="仿宋_GB2312"/>
                <w:sz w:val="24"/>
              </w:rPr>
              <w:t>2019〕18号）及《自然资源部关于加强国土空间详细规划工作的通知》（自然资发〔2023〕43号）等文件精神，加快推进国土空间详细规划编制工作，建立“详细规划+规划许可”的国土空间用途管制体系，实现国土空间总体规划与详细规划的有效传导与衔接，现依据陕西省自然资源主管部门关于详细规划编制单元划定的相关工作要求，结合富平县国土空间总体规划成果、各个乡镇国土空间规划成果及城镇开发边界划定情况，组织开展本次详细规划编制单元划定工作，为后续详细规划编制提供科学、合理的空间单元基础。</w:t>
            </w:r>
          </w:p>
          <w:p>
            <w:pPr>
              <w:pStyle w:val="null3"/>
            </w:pPr>
            <w:r>
              <w:rPr>
                <w:rFonts w:ascii="仿宋_GB2312" w:hAnsi="仿宋_GB2312" w:cs="仿宋_GB2312" w:eastAsia="仿宋_GB2312"/>
                <w:sz w:val="24"/>
                <w:b/>
              </w:rPr>
              <w:t>二、采购要求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、服务期：自合同签订之日起</w:t>
            </w:r>
            <w:r>
              <w:rPr>
                <w:rFonts w:ascii="仿宋_GB2312" w:hAnsi="仿宋_GB2312" w:cs="仿宋_GB2312" w:eastAsia="仿宋_GB2312"/>
                <w:sz w:val="24"/>
              </w:rPr>
              <w:t>90日历天。</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、服务地点：富平县</w:t>
            </w:r>
          </w:p>
          <w:p>
            <w:pPr>
              <w:pStyle w:val="null3"/>
            </w:pPr>
            <w:r>
              <w:rPr>
                <w:rFonts w:ascii="仿宋_GB2312" w:hAnsi="仿宋_GB2312" w:cs="仿宋_GB2312" w:eastAsia="仿宋_GB2312"/>
                <w:sz w:val="24"/>
                <w:b/>
              </w:rPr>
              <w:t>三、服务内容</w:t>
            </w:r>
          </w:p>
          <w:p>
            <w:pPr>
              <w:pStyle w:val="null3"/>
              <w:ind w:firstLine="480"/>
              <w:jc w:val="both"/>
            </w:pPr>
            <w:r>
              <w:rPr>
                <w:rFonts w:ascii="仿宋_GB2312" w:hAnsi="仿宋_GB2312" w:cs="仿宋_GB2312" w:eastAsia="仿宋_GB2312"/>
                <w:sz w:val="24"/>
              </w:rPr>
              <w:t>供</w:t>
            </w:r>
            <w:r>
              <w:rPr>
                <w:rFonts w:ascii="仿宋_GB2312" w:hAnsi="仿宋_GB2312" w:cs="仿宋_GB2312" w:eastAsia="仿宋_GB2312"/>
                <w:sz w:val="24"/>
              </w:rPr>
              <w:t>应商应按照国家和省关于详细规划编制单元划定的相关技术标准和要求，结合富平县实际情况，开展详细规划编制单元划定工作，具体服务内容如下：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结合城市地理空间要素、空间布局、规划管理要求以及用地权属边界、城乡建设要求等因素划分编制单元。在国土空间总体规划单元划分和已编控规单元边界、规划功能片区基础上，进一步优化单元划分方案，深化细化单元类型、规模，科学确定单元主导功能，建立统一的编码体系。统一数据底图、统一空间划分尺度、统一标准编码，划分出开发单元、保护单元和其他单元等不同类型。形成</w:t>
            </w:r>
            <w:r>
              <w:rPr>
                <w:rFonts w:ascii="仿宋_GB2312" w:hAnsi="仿宋_GB2312" w:cs="仿宋_GB2312" w:eastAsia="仿宋_GB2312"/>
                <w:sz w:val="24"/>
              </w:rPr>
              <w:t>“有效传导、功能完整、规模合理、全面覆盖”的单元划分方案。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传导体系构建：基于单元划分方案，构建传导指标体系，保障国土空间总体规划的约束性指标和刚性内容的分解落实。将上位总体规划的战略目标、底线管控、空间结构、资源利用等方面的要求分解落实到各规划单元。</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分类管控指引：针对不同类型单元进行分类规划管控，明确各单元管控规则与发展导向。明确单元类型、单元主导功能、单元面积等内容。</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数据库建设：按照相关数据库标准，同步完成单元划定数据库建设。规划成果最终形成</w:t>
            </w:r>
            <w:r>
              <w:rPr>
                <w:rFonts w:ascii="仿宋_GB2312" w:hAnsi="仿宋_GB2312" w:cs="仿宋_GB2312" w:eastAsia="仿宋_GB2312"/>
                <w:sz w:val="24"/>
              </w:rPr>
              <w:t>“规划文本+规划图集＋数据库”成果。</w:t>
            </w:r>
          </w:p>
          <w:p>
            <w:pPr>
              <w:pStyle w:val="null3"/>
            </w:pPr>
            <w:r>
              <w:rPr>
                <w:rFonts w:ascii="仿宋_GB2312" w:hAnsi="仿宋_GB2312" w:cs="仿宋_GB2312" w:eastAsia="仿宋_GB2312"/>
                <w:sz w:val="24"/>
                <w:b/>
              </w:rPr>
              <w:t>四、规划依据</w:t>
            </w:r>
          </w:p>
          <w:p>
            <w:pPr>
              <w:pStyle w:val="null3"/>
              <w:ind w:firstLine="480"/>
              <w:jc w:val="both"/>
            </w:pPr>
            <w:r>
              <w:rPr>
                <w:rFonts w:ascii="仿宋_GB2312" w:hAnsi="仿宋_GB2312" w:cs="仿宋_GB2312" w:eastAsia="仿宋_GB2312"/>
                <w:sz w:val="24"/>
              </w:rPr>
              <w:t>本项目编制应遵循以下主要法律法规、政策文件及技术规范：</w:t>
            </w:r>
          </w:p>
          <w:p>
            <w:pPr>
              <w:pStyle w:val="null3"/>
              <w:ind w:firstLine="482"/>
              <w:jc w:val="both"/>
            </w:pPr>
            <w:r>
              <w:rPr>
                <w:rFonts w:ascii="仿宋_GB2312" w:hAnsi="仿宋_GB2312" w:cs="仿宋_GB2312" w:eastAsia="仿宋_GB2312"/>
                <w:sz w:val="24"/>
                <w:b/>
              </w:rPr>
              <w:t>1、法律法规：</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《中华人民共和国城乡规划法》</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《中华人民共和国土地管理法》</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《中华人民共和国政府采购法》及其实施条例等。</w:t>
            </w:r>
          </w:p>
          <w:p>
            <w:pPr>
              <w:pStyle w:val="null3"/>
              <w:ind w:firstLine="482"/>
              <w:jc w:val="both"/>
            </w:pPr>
            <w:r>
              <w:rPr>
                <w:rFonts w:ascii="仿宋_GB2312" w:hAnsi="仿宋_GB2312" w:cs="仿宋_GB2312" w:eastAsia="仿宋_GB2312"/>
                <w:sz w:val="24"/>
                <w:b/>
              </w:rPr>
              <w:t>2、国家层面政策文件：</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《中共中央国务院关于建立国土空间规划体系并监督实施的若干意见》（中发〔</w:t>
            </w:r>
            <w:r>
              <w:rPr>
                <w:rFonts w:ascii="仿宋_GB2312" w:hAnsi="仿宋_GB2312" w:cs="仿宋_GB2312" w:eastAsia="仿宋_GB2312"/>
                <w:sz w:val="24"/>
              </w:rPr>
              <w:t>2019〕18号）</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《自然资源部关于加强国土空间详细规划工作的通知》（自然资发〔</w:t>
            </w:r>
            <w:r>
              <w:rPr>
                <w:rFonts w:ascii="仿宋_GB2312" w:hAnsi="仿宋_GB2312" w:cs="仿宋_GB2312" w:eastAsia="仿宋_GB2312"/>
                <w:sz w:val="24"/>
              </w:rPr>
              <w:t>2023〕43号）</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《自然资源部关于进一步加强国土空间规划编制和实施管理的通知》（自然资发〔</w:t>
            </w:r>
            <w:r>
              <w:rPr>
                <w:rFonts w:ascii="仿宋_GB2312" w:hAnsi="仿宋_GB2312" w:cs="仿宋_GB2312" w:eastAsia="仿宋_GB2312"/>
                <w:sz w:val="24"/>
              </w:rPr>
              <w:t>2022〕186号）等。</w:t>
            </w:r>
          </w:p>
          <w:p>
            <w:pPr>
              <w:pStyle w:val="null3"/>
              <w:ind w:firstLine="482"/>
              <w:jc w:val="both"/>
            </w:pPr>
            <w:r>
              <w:rPr>
                <w:rFonts w:ascii="仿宋_GB2312" w:hAnsi="仿宋_GB2312" w:cs="仿宋_GB2312" w:eastAsia="仿宋_GB2312"/>
                <w:sz w:val="24"/>
                <w:b/>
              </w:rPr>
              <w:t>3、省级技术文件：</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《陕西省国土空间规划传导指引（试行）》</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《陕西省详细规划编制单元划定指南（试行）》</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《陕西省详细规划编制单元划定指南（试行）》。</w:t>
            </w:r>
          </w:p>
          <w:p>
            <w:pPr>
              <w:pStyle w:val="null3"/>
            </w:pPr>
            <w:r>
              <w:rPr>
                <w:rFonts w:ascii="仿宋_GB2312" w:hAnsi="仿宋_GB2312" w:cs="仿宋_GB2312" w:eastAsia="仿宋_GB2312"/>
                <w:sz w:val="24"/>
                <w:b/>
              </w:rPr>
              <w:t>五、成果提交</w:t>
            </w:r>
          </w:p>
          <w:p>
            <w:pPr>
              <w:pStyle w:val="null3"/>
              <w:ind w:firstLine="480"/>
              <w:jc w:val="both"/>
            </w:pPr>
            <w:r>
              <w:rPr>
                <w:rFonts w:ascii="仿宋_GB2312" w:hAnsi="仿宋_GB2312" w:cs="仿宋_GB2312" w:eastAsia="仿宋_GB2312"/>
                <w:sz w:val="24"/>
              </w:rPr>
              <w:t>供应商应提交的成果包括但不限于以下内容：</w:t>
            </w:r>
          </w:p>
          <w:p>
            <w:pPr>
              <w:pStyle w:val="null3"/>
              <w:ind w:firstLine="480"/>
              <w:jc w:val="both"/>
            </w:pPr>
            <w:r>
              <w:rPr>
                <w:rFonts w:ascii="仿宋_GB2312" w:hAnsi="仿宋_GB2312" w:cs="仿宋_GB2312" w:eastAsia="仿宋_GB2312"/>
                <w:sz w:val="24"/>
              </w:rPr>
              <w:t>单元划定报告：主要包括划定背景、划定思路、划定过程、划定结果、单元指引内容以及其他需要说明的内容。</w:t>
            </w:r>
          </w:p>
          <w:p>
            <w:pPr>
              <w:pStyle w:val="null3"/>
              <w:ind w:firstLine="480"/>
              <w:jc w:val="both"/>
            </w:pPr>
            <w:r>
              <w:rPr>
                <w:rFonts w:ascii="仿宋_GB2312" w:hAnsi="仿宋_GB2312" w:cs="仿宋_GB2312" w:eastAsia="仿宋_GB2312"/>
                <w:sz w:val="24"/>
              </w:rPr>
              <w:t>规划图集：包括单元划分总图、分乡镇单元分布图、单元编码图等核心图纸</w:t>
            </w:r>
            <w:r>
              <w:rPr>
                <w:rFonts w:ascii="仿宋_GB2312" w:hAnsi="仿宋_GB2312" w:cs="仿宋_GB2312" w:eastAsia="仿宋_GB2312"/>
                <w:sz w:val="24"/>
              </w:rPr>
              <w:t>,</w:t>
            </w:r>
            <w:r>
              <w:rPr>
                <w:rFonts w:ascii="仿宋_GB2312" w:hAnsi="仿宋_GB2312" w:cs="仿宋_GB2312" w:eastAsia="仿宋_GB2312"/>
                <w:sz w:val="24"/>
              </w:rPr>
              <w:t>制图标准参考《陕西省县级国土空间总体规划制图要点（试行）》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数据库：数据库为</w:t>
            </w:r>
            <w:r>
              <w:rPr>
                <w:rFonts w:ascii="仿宋_GB2312" w:hAnsi="仿宋_GB2312" w:cs="仿宋_GB2312" w:eastAsia="仿宋_GB2312"/>
                <w:sz w:val="24"/>
              </w:rPr>
              <w:t>FileGeodatabase格式（*.gdb），矢量数据采用2000国家大地坐标系、1985国家高程基</w:t>
            </w:r>
            <w:r>
              <w:rPr>
                <w:rFonts w:ascii="仿宋_GB2312" w:hAnsi="仿宋_GB2312" w:cs="仿宋_GB2312" w:eastAsia="仿宋_GB2312"/>
                <w:sz w:val="24"/>
              </w:rPr>
              <w:t>准、高斯克吕格投影系统（</w:t>
            </w:r>
            <w:r>
              <w:rPr>
                <w:rFonts w:ascii="仿宋_GB2312" w:hAnsi="仿宋_GB2312" w:cs="仿宋_GB2312" w:eastAsia="仿宋_GB2312"/>
                <w:sz w:val="24"/>
              </w:rPr>
              <w:t>3°分带）作为空间定位基础。详规单元数据库要求详见《陕西省详细规划</w:t>
            </w:r>
            <w:r>
              <w:rPr>
                <w:rFonts w:ascii="仿宋_GB2312" w:hAnsi="仿宋_GB2312" w:cs="仿宋_GB2312" w:eastAsia="仿宋_GB2312"/>
                <w:sz w:val="24"/>
              </w:rPr>
              <w:t>编制单元划定成果数据库标准（试行）》。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配备足够的专业人员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配备足够的专业设备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进度款，第一期在成果提交至主管部门验收后，达到付款条件起15个工作日内，支付合同总金额的40.0%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进度款，乙方完成成果文件并上报陕西省自然资源厅，并经陕西省自然资源厅核查确认通过后，达到付款条件起15个工作日内，支付合同总金额的60.0%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供应商参加政府采购活动承诺书.docx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供应商须具备相关行政主管部门颁发的城乡规划编制乙级及以上或土地规划编制乙级及以上资质证书；项目负责人须具备相关专业中级及以上技术职称。</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提供磋商截止日前六个月内任意一个月的社保资金缴纳证明，依法不需要缴纳社保资金的单位提供相关证明材料。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法定代表人授权书（附法定代表人、被授权人身份证复印件），法定代表人直接参加磋商，须提供法定代表人身份证明、法定代表人身份证复印件。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磋商响应文件上法定代表人或其委托代理人的签字按规定要求齐全，并加盖单位公章</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商务应答表 服务内容及服务要求应答表 标的清单 响应函 资格证明文件.pdf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只能有一个有效报价，不得提交选择性报价，且报价不超过采购预算金额和最高限价。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投标文件内容齐全、完整、无遗漏</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商务应答表 服务内容及服务要求应答表 标的清单 响应函 资格证明文件.pdf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项目采购需求分析</w:t>
            </w:r>
          </w:p>
        </w:tc>
        <w:tc>
          <w:tcPr>
            <w:tcW w:type="dxa" w:w="2492"/>
          </w:tcPr>
          <w:p>
            <w:pPr>
              <w:pStyle w:val="null3"/>
            </w:pPr>
            <w:r>
              <w:rPr>
                <w:rFonts w:ascii="仿宋_GB2312" w:hAnsi="仿宋_GB2312" w:cs="仿宋_GB2312" w:eastAsia="仿宋_GB2312"/>
              </w:rPr>
              <w:t>一、评审内容针对本项目提供项目采购需求分析，包括但不限于①对工作内容理解；②对项目重点难点分析；③重难点工作解决方案。 二、评审依据各项内容全面详细、阐述条理清晰详尽、符合本项目采购需求，能有效保障本项目实施的得12分，每有一项内容存在缺陷，扣1-4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针对本项目提供总体实施方案，包括但不限于①工作思路；②项目编制的依据；③针对服务内容所需的具体方案；④项目工作成果。二、评审依据各项内容全面详细、阐述条理清晰详尽、符合本项目采购需求，能有效保障本项目实施的得16分，每有一项内容存在缺陷，扣1-4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项目进度计划及质量保障措施</w:t>
            </w:r>
          </w:p>
        </w:tc>
        <w:tc>
          <w:tcPr>
            <w:tcW w:type="dxa" w:w="2492"/>
          </w:tcPr>
          <w:p>
            <w:pPr>
              <w:pStyle w:val="null3"/>
            </w:pPr>
            <w:r>
              <w:rPr>
                <w:rFonts w:ascii="仿宋_GB2312" w:hAnsi="仿宋_GB2312" w:cs="仿宋_GB2312" w:eastAsia="仿宋_GB2312"/>
              </w:rPr>
              <w:t>一、评审内容针对本项目提供项目进度计划及质量保障措施，包括但不限于①项目进度计划安排；②项目进度保障措施；③服务质量保障措施；二、评审依据各项内容全面详细、阐述条理清晰详尽、符合本项目采购需求，能有效保障本项目实施的得12分，每有一项内容存在缺陷，扣1-4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一、服务团队：①实施团队人员配备7人及以上得 9分；②实施团队人员配 备4-6人得6分；③实施团队人员配备1-3人得 3分。需提供佐证材料，包括但不限于身份证、毕业证、岗位证等，本项最高得9分，未提供不得分。 2、服务团队人员（不包含项目负责人）每具有一个相关专业中级职称得1 分，相关专业高级职称得 2分，本项最多得6分， 需提供佐证材料，未提供不得分。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①拟派项目负责人具备注册城乡规划师执业资格得3分；具有城乡规划或土地规划相关专业高级工程师的得2分，不满足不得分。 ②拟派项目负责人具有2023年7月1日起至今类似项目业绩，每提供1个业绩得2.5分，最多得10分。 说明：需按要求提供拟派项目负责人的(不限)职称证、业绩及2026年至今任意三个月在本单位的社保缴纳证明等证明材料(符合评审要求即可)，无法直接体现的可进行佐证材料补充。</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供应商提供2023年7月1日至今所完成的类似项目业绩的，每提供一项得5分，最高得10分。注：①日期以合同签订之日为准；②证明材料须提供项目完整合同复印件并加盖公章。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采购文件要求，通过资格审查且在规定时间内提交最终报价的为有效报价；价格最低的磋商总报价为评审基准价，其价格分为满分。其他供应商的价格分统一按照下列公式计算：磋商报价得分=（评审基准价/磋商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