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版本号：ZXZB-CG2026-20920260509001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网络交易监管智慧化平台维保项目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ZXZB-CG2026-209</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网络交易监管智慧化平台维保项目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ZXZB-CG2026-209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网络交易监管智慧化平台维保项目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本项目为陕西省市场监督管理局网络交易监管智慧化平台维保项目。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采购包1（网络交易监管智慧化平台维保项目）：属于专门面向中小企业采购。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4、有依法缴纳税收的良好记录：提供2025年4月至今已缴纳的至少一个月的纳税证明或完税证明，依法免税的单位应提供相关证明材料。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7、法定代表人（主要负责人）身份证明/授权委托书：法定代表人参与投标时，提供法定代表人身份证明；授权代表参与投标时，提供法人授权委托书。</w:t>
      </w:r>
    </w:p>
    <w:p>
      <w:pPr>
        <w:pStyle w:val="null3"/>
      </w:pPr>
      <w:r>
        <w:rPr>
          <w:rFonts w:ascii="仿宋_GB2312" w:hAnsi="仿宋_GB2312" w:cs="仿宋_GB2312" w:eastAsia="仿宋_GB2312"/>
        </w:rPr>
        <w:t>8、联合体：本项目不接受联合体投标，供应商应提供非联合体承诺书。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采购包1：529,700.00元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规定标准收取，不足8000元按照8000元收取。 收款账户信息： 开户名称：陕西中信项目咨询有限公司 开户银行：农业银行西安新欧亚商城支行 账号：2613 5301 0400 10159 交纳时注明：项目编号+代理服务费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联系人：贾雅楠</w:t>
      </w:r>
    </w:p>
    <w:p>
      <w:pPr>
        <w:pStyle w:val="null3"/>
      </w:pPr>
      <w:r>
        <w:rPr>
          <w:rFonts w:ascii="仿宋_GB2312" w:hAnsi="仿宋_GB2312" w:cs="仿宋_GB2312" w:eastAsia="仿宋_GB2312"/>
        </w:rPr>
        <w:t>联系电话：18778673762</w:t>
      </w:r>
    </w:p>
    <w:p>
      <w:pPr>
        <w:pStyle w:val="null3"/>
      </w:pPr>
      <w:r>
        <w:rPr>
          <w:rFonts w:ascii="仿宋_GB2312" w:hAnsi="仿宋_GB2312" w:cs="仿宋_GB2312" w:eastAsia="仿宋_GB2312"/>
        </w:rPr>
        <w:t>地址：陕西省西安市碑林区和平路71号综合楼5楼505室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本项目为陕西省市场监督管理局网络交易监管智慧化平台维保项目。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529,700.00</w:t>
      </w:r>
    </w:p>
    <w:p>
      <w:pPr>
        <w:pStyle w:val="null3"/>
      </w:pPr>
      <w:r>
        <w:rPr>
          <w:rFonts w:ascii="仿宋_GB2312" w:hAnsi="仿宋_GB2312" w:cs="仿宋_GB2312" w:eastAsia="仿宋_GB2312"/>
        </w:rPr>
        <w:t>采购包最高限价（元）: 529,700.00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陕西省市场监督管理局网络交易监管智慧化平台维保项目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529,700.00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标的名称：陕西省市场监督管理局网络交易监管智慧化平台维保项目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运维目标：陕西省网络交易监管智慧化平台的运维服务旨在构建一个安全、稳定、高效、可控的信息化运行环境。通过标准化的流程、专业化的团队和智能化的工具，实现系统功能的优化服务，从</w:t>
            </w:r>
            <w:r>
              <w:rPr>
                <w:rFonts w:ascii="仿宋_GB2312" w:hAnsi="仿宋_GB2312" w:cs="仿宋_GB2312" w:eastAsia="仿宋_GB2312"/>
                <w:sz w:val="20"/>
              </w:rPr>
              <w:t>“单一技术支撑”向“业务价值赋能”的优化，为政府监管人员提供更加便捷、高效、安全的市场监管服务。</w:t>
            </w:r>
          </w:p>
          <w:p>
            <w:pPr>
              <w:pStyle w:val="null3"/>
            </w:pPr>
            <w:r>
              <w:rPr>
                <w:rFonts w:ascii="仿宋_GB2312" w:hAnsi="仿宋_GB2312" w:cs="仿宋_GB2312" w:eastAsia="仿宋_GB2312"/>
                <w:sz w:val="20"/>
              </w:rPr>
              <w:t>运维范围：陕西省市场监督管理局陕西省网络交易监管智慧化平台涵盖陕西省网络交易数据的汇聚，集监测任务、日常巡查、线索管理、风险预警、云搜索、统计分析、商品交易市场、特色产业、知识库等功能模块。</w:t>
            </w:r>
          </w:p>
          <w:p>
            <w:pPr>
              <w:pStyle w:val="null3"/>
            </w:pPr>
            <w:r>
              <w:rPr>
                <w:rFonts w:ascii="仿宋_GB2312" w:hAnsi="仿宋_GB2312" w:cs="仿宋_GB2312" w:eastAsia="仿宋_GB2312"/>
                <w:sz w:val="20"/>
              </w:rPr>
              <w:t>2026年平台维保服务主要内容包括：</w:t>
            </w:r>
          </w:p>
          <w:p>
            <w:pPr>
              <w:pStyle w:val="null3"/>
            </w:pPr>
            <w:r>
              <w:rPr>
                <w:rFonts w:ascii="仿宋_GB2312" w:hAnsi="仿宋_GB2312" w:cs="仿宋_GB2312" w:eastAsia="仿宋_GB2312"/>
                <w:sz w:val="20"/>
              </w:rPr>
              <w:t>1.技术咨询及技术支持服务</w:t>
            </w:r>
          </w:p>
          <w:p>
            <w:pPr>
              <w:pStyle w:val="null3"/>
            </w:pPr>
            <w:r>
              <w:rPr>
                <w:rFonts w:ascii="仿宋_GB2312" w:hAnsi="仿宋_GB2312" w:cs="仿宋_GB2312" w:eastAsia="仿宋_GB2312"/>
                <w:sz w:val="20"/>
              </w:rPr>
              <w:t>2.日常巡检服务</w:t>
            </w:r>
          </w:p>
          <w:p>
            <w:pPr>
              <w:pStyle w:val="null3"/>
            </w:pPr>
            <w:r>
              <w:rPr>
                <w:rFonts w:ascii="仿宋_GB2312" w:hAnsi="仿宋_GB2312" w:cs="仿宋_GB2312" w:eastAsia="仿宋_GB2312"/>
                <w:sz w:val="20"/>
              </w:rPr>
              <w:t>3.日常数据处理服务</w:t>
            </w:r>
          </w:p>
          <w:p>
            <w:pPr>
              <w:pStyle w:val="null3"/>
            </w:pPr>
            <w:r>
              <w:rPr>
                <w:rFonts w:ascii="仿宋_GB2312" w:hAnsi="仿宋_GB2312" w:cs="仿宋_GB2312" w:eastAsia="仿宋_GB2312"/>
                <w:sz w:val="20"/>
              </w:rPr>
              <w:t>4.培训服务</w:t>
            </w:r>
          </w:p>
          <w:p>
            <w:pPr>
              <w:pStyle w:val="null3"/>
            </w:pPr>
            <w:r>
              <w:rPr>
                <w:rFonts w:ascii="仿宋_GB2312" w:hAnsi="仿宋_GB2312" w:cs="仿宋_GB2312" w:eastAsia="仿宋_GB2312"/>
                <w:sz w:val="20"/>
              </w:rPr>
              <w:t>5.系统优化开发</w:t>
            </w:r>
          </w:p>
          <w:p>
            <w:pPr>
              <w:pStyle w:val="null3"/>
              <w:ind w:firstLine="400"/>
              <w:jc w:val="both"/>
            </w:pPr>
            <w:r>
              <w:rPr>
                <w:rFonts w:ascii="仿宋_GB2312" w:hAnsi="仿宋_GB2312" w:cs="仿宋_GB2312" w:eastAsia="仿宋_GB2312"/>
                <w:sz w:val="20"/>
              </w:rPr>
              <w:t>在软件维保服务范围内，包含应用软件运行中的修改、完善、优化、部署、监控等。</w:t>
            </w:r>
          </w:p>
          <w:p>
            <w:pPr>
              <w:pStyle w:val="null3"/>
            </w:pPr>
            <w:r>
              <w:rPr>
                <w:rFonts w:ascii="仿宋_GB2312" w:hAnsi="仿宋_GB2312" w:cs="仿宋_GB2312" w:eastAsia="仿宋_GB2312"/>
                <w:sz w:val="20"/>
              </w:rPr>
              <w:t>本项目运维服务内容包含采购方安排的各项运行维护相关工作，包括但不限于以下方面：</w:t>
            </w:r>
          </w:p>
          <w:p>
            <w:pPr>
              <w:pStyle w:val="null3"/>
            </w:pPr>
            <w:r>
              <w:rPr>
                <w:rFonts w:ascii="仿宋_GB2312" w:hAnsi="仿宋_GB2312" w:cs="仿宋_GB2312" w:eastAsia="仿宋_GB2312"/>
                <w:sz w:val="20"/>
              </w:rPr>
              <w:t>1）应用运行环境运维</w:t>
            </w:r>
          </w:p>
          <w:p>
            <w:pPr>
              <w:pStyle w:val="null3"/>
            </w:pPr>
            <w:r>
              <w:rPr>
                <w:rFonts w:ascii="仿宋_GB2312" w:hAnsi="仿宋_GB2312" w:cs="仿宋_GB2312" w:eastAsia="仿宋_GB2312"/>
                <w:sz w:val="20"/>
              </w:rPr>
              <w:t>本项目运行环境包括生产环境、预生产环境（培训环境），以及应用运行相关的操作系统和系统软件配置。应用运行环境运维工作包括对应用运行环境的日常运行监控、定期巡检、环境调优、应用版本发布等。</w:t>
            </w:r>
          </w:p>
          <w:p>
            <w:pPr>
              <w:pStyle w:val="null3"/>
            </w:pPr>
            <w:r>
              <w:rPr>
                <w:rFonts w:ascii="仿宋_GB2312" w:hAnsi="仿宋_GB2312" w:cs="仿宋_GB2312" w:eastAsia="仿宋_GB2312"/>
                <w:sz w:val="20"/>
              </w:rPr>
              <w:t>2）应用软件运维</w:t>
            </w:r>
          </w:p>
          <w:p>
            <w:pPr>
              <w:pStyle w:val="null3"/>
            </w:pPr>
            <w:r>
              <w:rPr>
                <w:rFonts w:ascii="仿宋_GB2312" w:hAnsi="仿宋_GB2312" w:cs="仿宋_GB2312" w:eastAsia="仿宋_GB2312"/>
                <w:sz w:val="20"/>
              </w:rPr>
              <w:t>本项目应用软件运维工作包括对应用软件需求变更管理、应用问题管理、数据运维管理和应用软件版本管理。</w:t>
            </w:r>
          </w:p>
          <w:p>
            <w:pPr>
              <w:pStyle w:val="null3"/>
            </w:pPr>
            <w:r>
              <w:rPr>
                <w:rFonts w:ascii="仿宋_GB2312" w:hAnsi="仿宋_GB2312" w:cs="仿宋_GB2312" w:eastAsia="仿宋_GB2312"/>
                <w:sz w:val="20"/>
              </w:rPr>
              <w:t>3)服务方式</w:t>
            </w:r>
          </w:p>
          <w:p>
            <w:pPr>
              <w:pStyle w:val="null3"/>
            </w:pPr>
            <w:r>
              <w:rPr>
                <w:rFonts w:ascii="仿宋_GB2312" w:hAnsi="仿宋_GB2312" w:cs="仿宋_GB2312" w:eastAsia="仿宋_GB2312"/>
                <w:sz w:val="20"/>
              </w:rPr>
              <w:t>在服务期内，运维单位提供日常故障处理服务，对用户所提出的系统业务应用软件等故障处理要求，在</w:t>
            </w:r>
            <w:r>
              <w:rPr>
                <w:rFonts w:ascii="仿宋_GB2312" w:hAnsi="仿宋_GB2312" w:cs="仿宋_GB2312" w:eastAsia="仿宋_GB2312"/>
                <w:sz w:val="20"/>
              </w:rPr>
              <w:t>1小时内做出安排并将其反馈给用户，遇到重大技术问题，在30分钟内响应，并在24小时内采取相应措施以确保系统可正常操作。无法在24小时内解决的，提供解决时间表。</w:t>
            </w:r>
          </w:p>
          <w:p>
            <w:pPr>
              <w:pStyle w:val="null3"/>
            </w:pPr>
            <w:r>
              <w:rPr>
                <w:rFonts w:ascii="仿宋_GB2312" w:hAnsi="仿宋_GB2312" w:cs="仿宋_GB2312" w:eastAsia="仿宋_GB2312"/>
                <w:sz w:val="20"/>
              </w:rPr>
              <w:t>在服务期间，运维单位按时提交工作月报；服务工作结束后，须提交总结报告，由使用单位进行评估验收。</w:t>
            </w:r>
          </w:p>
          <w:p>
            <w:pPr>
              <w:pStyle w:val="null3"/>
            </w:pPr>
            <w:r>
              <w:rPr>
                <w:rFonts w:ascii="仿宋_GB2312" w:hAnsi="仿宋_GB2312" w:cs="仿宋_GB2312" w:eastAsia="仿宋_GB2312"/>
                <w:sz w:val="20"/>
              </w:rPr>
              <w:t>4)服务质量、标准</w:t>
            </w:r>
          </w:p>
          <w:p>
            <w:pPr>
              <w:pStyle w:val="null3"/>
            </w:pPr>
            <w:r>
              <w:rPr>
                <w:rFonts w:ascii="仿宋_GB2312" w:hAnsi="仿宋_GB2312" w:cs="仿宋_GB2312" w:eastAsia="仿宋_GB2312"/>
                <w:sz w:val="20"/>
              </w:rPr>
              <w:t>一般事件的技术支持指客户通过运维平台、电话等方式提交的数据中心及有关的业务和技术的问题的处理；</w:t>
            </w:r>
          </w:p>
          <w:p>
            <w:pPr>
              <w:pStyle w:val="null3"/>
            </w:pPr>
            <w:r>
              <w:rPr>
                <w:rFonts w:ascii="仿宋_GB2312" w:hAnsi="仿宋_GB2312" w:cs="仿宋_GB2312" w:eastAsia="仿宋_GB2312"/>
                <w:sz w:val="20"/>
              </w:rPr>
              <w:t>对于一般事件的技术支持，严格按照运维平台的处理流程和填写规范，正确、真实填写事件原因、处理方法（涉及数据修改必须编写</w:t>
            </w:r>
            <w:r>
              <w:rPr>
                <w:rFonts w:ascii="仿宋_GB2312" w:hAnsi="仿宋_GB2312" w:cs="仿宋_GB2312" w:eastAsia="仿宋_GB2312"/>
                <w:sz w:val="20"/>
              </w:rPr>
              <w:t>SQL语句），并及时推送运维单；每一笔运维事件处理时间不超过30分钟，如遇特殊原因及时与事件提交人电话沟通。对一般事件定期做好收集分类，形成问题集和知识库。</w:t>
            </w:r>
          </w:p>
          <w:p>
            <w:pPr>
              <w:pStyle w:val="null3"/>
            </w:pPr>
            <w:r>
              <w:rPr>
                <w:rFonts w:ascii="仿宋_GB2312" w:hAnsi="仿宋_GB2312" w:cs="仿宋_GB2312" w:eastAsia="仿宋_GB2312"/>
                <w:sz w:val="20"/>
              </w:rPr>
              <w:t>重大事件的处理以</w:t>
            </w:r>
            <w:r>
              <w:rPr>
                <w:rFonts w:ascii="仿宋_GB2312" w:hAnsi="仿宋_GB2312" w:cs="仿宋_GB2312" w:eastAsia="仿宋_GB2312"/>
                <w:sz w:val="20"/>
              </w:rPr>
              <w:t>“最快速度、最小影响”为原则，积极稳妥的推进。对于用户方领导不同意进行处理的请求，不得擅自进行处理。</w:t>
            </w:r>
          </w:p>
          <w:p>
            <w:pPr>
              <w:pStyle w:val="null3"/>
            </w:pPr>
            <w:r>
              <w:rPr>
                <w:rFonts w:ascii="仿宋_GB2312" w:hAnsi="仿宋_GB2312" w:cs="仿宋_GB2312" w:eastAsia="仿宋_GB2312"/>
                <w:sz w:val="20"/>
              </w:rPr>
              <w:t>运维周期：运维周期为</w:t>
            </w:r>
            <w:r>
              <w:rPr>
                <w:rFonts w:ascii="仿宋_GB2312" w:hAnsi="仿宋_GB2312" w:cs="仿宋_GB2312" w:eastAsia="仿宋_GB2312"/>
                <w:sz w:val="20"/>
              </w:rPr>
              <w:t>2026年度。</w:t>
            </w:r>
          </w:p>
          <w:p>
            <w:pPr>
              <w:pStyle w:val="null3"/>
            </w:pPr>
            <w:r>
              <w:rPr>
                <w:rFonts w:ascii="仿宋_GB2312" w:hAnsi="仿宋_GB2312" w:cs="仿宋_GB2312" w:eastAsia="仿宋_GB2312"/>
                <w:sz w:val="20"/>
              </w:rPr>
              <w:t>软件日常运维服务</w:t>
            </w:r>
          </w:p>
          <w:p>
            <w:pPr>
              <w:pStyle w:val="null3"/>
            </w:pPr>
            <w:r>
              <w:rPr>
                <w:rFonts w:ascii="仿宋_GB2312" w:hAnsi="仿宋_GB2312" w:cs="仿宋_GB2312" w:eastAsia="仿宋_GB2312"/>
                <w:sz w:val="20"/>
              </w:rPr>
              <w:t>1.运维服务要求：</w:t>
            </w:r>
          </w:p>
          <w:p>
            <w:pPr>
              <w:pStyle w:val="null3"/>
            </w:pPr>
            <w:r>
              <w:rPr>
                <w:rFonts w:ascii="仿宋_GB2312" w:hAnsi="仿宋_GB2312" w:cs="仿宋_GB2312" w:eastAsia="仿宋_GB2312"/>
                <w:sz w:val="20"/>
              </w:rPr>
              <w:t>服务对象：陕西省市场监督管理局</w:t>
            </w:r>
          </w:p>
          <w:p>
            <w:pPr>
              <w:pStyle w:val="null3"/>
            </w:pPr>
            <w:r>
              <w:rPr>
                <w:rFonts w:ascii="仿宋_GB2312" w:hAnsi="仿宋_GB2312" w:cs="仿宋_GB2312" w:eastAsia="仿宋_GB2312"/>
                <w:sz w:val="20"/>
              </w:rPr>
              <w:t>服务周期：</w:t>
            </w:r>
            <w:r>
              <w:rPr>
                <w:rFonts w:ascii="仿宋_GB2312" w:hAnsi="仿宋_GB2312" w:cs="仿宋_GB2312" w:eastAsia="仿宋_GB2312"/>
                <w:sz w:val="20"/>
              </w:rPr>
              <w:t>2026年度</w:t>
            </w:r>
          </w:p>
          <w:p>
            <w:pPr>
              <w:pStyle w:val="null3"/>
            </w:pPr>
            <w:r>
              <w:rPr>
                <w:rFonts w:ascii="仿宋_GB2312" w:hAnsi="仿宋_GB2312" w:cs="仿宋_GB2312" w:eastAsia="仿宋_GB2312"/>
                <w:sz w:val="20"/>
              </w:rPr>
              <w:t>服务内容：软件运行监控、软件功能优化、数据处理、定期巡检、故障处理、数据备份协助、日常技术支持等。</w:t>
            </w:r>
          </w:p>
          <w:p>
            <w:pPr>
              <w:pStyle w:val="null3"/>
            </w:pPr>
            <w:r>
              <w:rPr>
                <w:rFonts w:ascii="仿宋_GB2312" w:hAnsi="仿宋_GB2312" w:cs="仿宋_GB2312" w:eastAsia="仿宋_GB2312"/>
                <w:sz w:val="20"/>
              </w:rPr>
              <w:t>数据更新要求：特殊时段指定更新、定时更新。</w:t>
            </w:r>
          </w:p>
          <w:p>
            <w:pPr>
              <w:pStyle w:val="null3"/>
              <w:numPr>
                <w:ilvl w:val="0"/>
                <w:numId w:val="1"/>
              </w:numPr>
            </w:pPr>
            <w:r>
              <w:rPr>
                <w:rFonts w:ascii="仿宋_GB2312" w:hAnsi="仿宋_GB2312" w:cs="仿宋_GB2312" w:eastAsia="仿宋_GB2312"/>
                <w:sz w:val="20"/>
              </w:rPr>
              <w:t>运维服务内容：陕西省网络交易监管智慧化平台操作系统功能优化、</w:t>
            </w:r>
            <w:r>
              <w:rPr>
                <w:rFonts w:ascii="仿宋_GB2312" w:hAnsi="仿宋_GB2312" w:cs="仿宋_GB2312" w:eastAsia="仿宋_GB2312"/>
                <w:sz w:val="20"/>
                <w:b/>
              </w:rPr>
              <w:t>数据治理比对</w:t>
            </w:r>
            <w:r>
              <w:rPr>
                <w:rFonts w:ascii="仿宋_GB2312" w:hAnsi="仿宋_GB2312" w:cs="仿宋_GB2312" w:eastAsia="仿宋_GB2312"/>
                <w:sz w:val="20"/>
                <w:b/>
                <w:color w:val="4F81BD"/>
              </w:rPr>
              <w:t>、</w:t>
            </w:r>
            <w:r>
              <w:rPr>
                <w:rFonts w:ascii="仿宋_GB2312" w:hAnsi="仿宋_GB2312" w:cs="仿宋_GB2312" w:eastAsia="仿宋_GB2312"/>
                <w:sz w:val="20"/>
              </w:rPr>
              <w:t>业务</w:t>
            </w:r>
            <w:r>
              <w:rPr>
                <w:rFonts w:ascii="仿宋_GB2312" w:hAnsi="仿宋_GB2312" w:cs="仿宋_GB2312" w:eastAsia="仿宋_GB2312"/>
                <w:sz w:val="20"/>
              </w:rPr>
              <w:t>培训支持。</w:t>
            </w:r>
          </w:p>
          <w:p>
            <w:pPr>
              <w:pStyle w:val="null3"/>
            </w:pPr>
            <w:r>
              <w:rPr>
                <w:rFonts w:ascii="仿宋_GB2312" w:hAnsi="仿宋_GB2312" w:cs="仿宋_GB2312" w:eastAsia="仿宋_GB2312"/>
                <w:sz w:val="20"/>
              </w:rPr>
              <w:t>技术咨询及技术支持服务</w:t>
            </w:r>
            <w:r>
              <w:rPr>
                <w:rFonts w:ascii="仿宋_GB2312" w:hAnsi="仿宋_GB2312" w:cs="仿宋_GB2312" w:eastAsia="仿宋_GB2312"/>
                <w:sz w:val="20"/>
              </w:rPr>
              <w:t>：承建单位须透彻理解陕西省网络交易监管智慧化平台业务全貌，并熟练掌握现有模块的业务功能、技术栈与运行机制。</w:t>
            </w:r>
          </w:p>
          <w:p>
            <w:pPr>
              <w:pStyle w:val="null3"/>
            </w:pPr>
            <w:r>
              <w:rPr>
                <w:rFonts w:ascii="仿宋_GB2312" w:hAnsi="仿宋_GB2312" w:cs="仿宋_GB2312" w:eastAsia="仿宋_GB2312"/>
                <w:sz w:val="20"/>
              </w:rPr>
              <w:t>日常巡检服务</w:t>
            </w:r>
            <w:r>
              <w:rPr>
                <w:rFonts w:ascii="仿宋_GB2312" w:hAnsi="仿宋_GB2312" w:cs="仿宋_GB2312" w:eastAsia="仿宋_GB2312"/>
                <w:sz w:val="20"/>
              </w:rPr>
              <w:t>：软件系统的巡检工作将覆盖其核心支撑环境与应用本身，具体包括服务器、数据库、网络设备以及应用程序。</w:t>
            </w:r>
          </w:p>
          <w:p>
            <w:pPr>
              <w:pStyle w:val="null3"/>
            </w:pPr>
            <w:r>
              <w:rPr>
                <w:rFonts w:ascii="仿宋_GB2312" w:hAnsi="仿宋_GB2312" w:cs="仿宋_GB2312" w:eastAsia="仿宋_GB2312"/>
                <w:sz w:val="20"/>
              </w:rPr>
              <w:t>日常数据处理服务</w:t>
            </w:r>
            <w:r>
              <w:rPr>
                <w:rFonts w:ascii="仿宋_GB2312" w:hAnsi="仿宋_GB2312" w:cs="仿宋_GB2312" w:eastAsia="仿宋_GB2312"/>
                <w:sz w:val="20"/>
              </w:rPr>
              <w:t>：提供市场监督管理陕西省网络交易监管智慧化平台数据中心的数据服务：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1）负责平台项目的数据备份、恢复和迁移工作。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2）定期检查数据完整性和一致性，确保数据质量。</w:t>
            </w:r>
          </w:p>
          <w:p>
            <w:pPr>
              <w:pStyle w:val="null3"/>
            </w:pPr>
            <w:r>
              <w:rPr>
                <w:rFonts w:ascii="仿宋_GB2312" w:hAnsi="仿宋_GB2312" w:cs="仿宋_GB2312" w:eastAsia="仿宋_GB2312"/>
                <w:sz w:val="20"/>
              </w:rPr>
              <w:t>（</w:t>
            </w:r>
            <w:r>
              <w:rPr>
                <w:rFonts w:ascii="仿宋_GB2312" w:hAnsi="仿宋_GB2312" w:cs="仿宋_GB2312" w:eastAsia="仿宋_GB2312"/>
                <w:sz w:val="20"/>
              </w:rPr>
              <w:t>3）对数据进行定期更新、分析和挖掘，为业务决策提供支持。</w:t>
            </w:r>
          </w:p>
          <w:p>
            <w:pPr>
              <w:pStyle w:val="null3"/>
            </w:pPr>
            <w:r>
              <w:rPr>
                <w:rFonts w:ascii="仿宋_GB2312" w:hAnsi="仿宋_GB2312" w:cs="仿宋_GB2312" w:eastAsia="仿宋_GB2312"/>
                <w:sz w:val="20"/>
              </w:rPr>
              <w:t>培训服务</w:t>
            </w:r>
            <w:r>
              <w:rPr>
                <w:rFonts w:ascii="仿宋_GB2312" w:hAnsi="仿宋_GB2312" w:cs="仿宋_GB2312" w:eastAsia="仿宋_GB2312"/>
                <w:sz w:val="20"/>
              </w:rPr>
              <w:t>：对监管用户的培训：作为信息化系统运维服务提供方，要及时配合业务处室，对系统不熟悉和新调入人员进行集中培训。包括网络监管相关的各业务处室人员，通过系统业务讲解和实际操作环节，让大家对网络交易监管智慧化平台有了更深刻的认识和掌握。</w:t>
            </w:r>
          </w:p>
          <w:p>
            <w:pPr>
              <w:pStyle w:val="null3"/>
            </w:pPr>
            <w:r>
              <w:rPr>
                <w:rFonts w:ascii="仿宋_GB2312" w:hAnsi="仿宋_GB2312" w:cs="仿宋_GB2312" w:eastAsia="仿宋_GB2312"/>
                <w:sz w:val="20"/>
              </w:rPr>
              <w:t>系统高级用户使用培训：培训对象为省局系统管理员。</w:t>
            </w:r>
          </w:p>
          <w:p>
            <w:pPr>
              <w:pStyle w:val="null3"/>
            </w:pPr>
            <w:r>
              <w:rPr>
                <w:rFonts w:ascii="仿宋_GB2312" w:hAnsi="仿宋_GB2312" w:cs="仿宋_GB2312" w:eastAsia="仿宋_GB2312"/>
                <w:sz w:val="20"/>
              </w:rPr>
              <w:t>培训目的：使其具有定制管理流程、用户权限管理、系统运行参数设置、系统运行监控等管理功能。</w:t>
            </w:r>
          </w:p>
          <w:p>
            <w:pPr>
              <w:pStyle w:val="null3"/>
            </w:pPr>
            <w:r>
              <w:rPr>
                <w:rFonts w:ascii="仿宋_GB2312" w:hAnsi="仿宋_GB2312" w:cs="仿宋_GB2312" w:eastAsia="仿宋_GB2312"/>
                <w:sz w:val="20"/>
              </w:rPr>
              <w:t>培训地点</w:t>
            </w:r>
            <w:r>
              <w:rPr>
                <w:rFonts w:ascii="仿宋_GB2312" w:hAnsi="仿宋_GB2312" w:cs="仿宋_GB2312" w:eastAsia="仿宋_GB2312"/>
                <w:sz w:val="20"/>
              </w:rPr>
              <w:t>：</w:t>
            </w:r>
            <w:r>
              <w:rPr>
                <w:rFonts w:ascii="仿宋_GB2312" w:hAnsi="仿宋_GB2312" w:cs="仿宋_GB2312" w:eastAsia="仿宋_GB2312"/>
                <w:sz w:val="20"/>
              </w:rPr>
              <w:t>采取集中培训或现场指导</w:t>
            </w:r>
            <w:r>
              <w:rPr>
                <w:rFonts w:ascii="仿宋_GB2312" w:hAnsi="仿宋_GB2312" w:cs="仿宋_GB2312" w:eastAsia="仿宋_GB2312"/>
                <w:sz w:val="20"/>
              </w:rPr>
              <w:t>的形式，具体组织及场地提供由采购方负责。（培训以远程线上培训为主）</w:t>
            </w:r>
          </w:p>
          <w:p>
            <w:pPr>
              <w:pStyle w:val="null3"/>
            </w:pPr>
            <w:r>
              <w:rPr>
                <w:rFonts w:ascii="仿宋_GB2312" w:hAnsi="仿宋_GB2312" w:cs="仿宋_GB2312" w:eastAsia="仿宋_GB2312"/>
                <w:sz w:val="20"/>
              </w:rPr>
              <w:t>系统优化改善</w:t>
            </w:r>
          </w:p>
          <w:p>
            <w:pPr>
              <w:pStyle w:val="null3"/>
            </w:pPr>
            <w:r>
              <w:rPr>
                <w:rFonts w:ascii="仿宋_GB2312" w:hAnsi="仿宋_GB2312" w:cs="仿宋_GB2312" w:eastAsia="仿宋_GB2312"/>
                <w:sz w:val="20"/>
              </w:rPr>
              <w:t>1.数据中心优化</w:t>
            </w:r>
          </w:p>
          <w:p>
            <w:pPr>
              <w:pStyle w:val="null3"/>
            </w:pPr>
            <w:r>
              <w:rPr>
                <w:rFonts w:ascii="仿宋_GB2312" w:hAnsi="仿宋_GB2312" w:cs="仿宋_GB2312" w:eastAsia="仿宋_GB2312"/>
                <w:sz w:val="20"/>
              </w:rPr>
              <w:t>建立全渠道数据动态更新机制，结合自动同步与人工补录，保障本地及全网数据准确率，</w:t>
            </w:r>
            <w:r>
              <w:rPr>
                <w:rFonts w:ascii="仿宋_GB2312" w:hAnsi="仿宋_GB2312" w:cs="仿宋_GB2312" w:eastAsia="仿宋_GB2312"/>
                <w:sz w:val="20"/>
              </w:rPr>
              <w:t>做好回流数据治理工作；</w:t>
            </w:r>
            <w:r>
              <w:rPr>
                <w:rFonts w:ascii="仿宋_GB2312" w:hAnsi="仿宋_GB2312" w:cs="仿宋_GB2312" w:eastAsia="仿宋_GB2312"/>
                <w:sz w:val="20"/>
              </w:rPr>
              <w:t>以统一</w:t>
            </w:r>
            <w:r>
              <w:rPr>
                <w:rFonts w:ascii="仿宋_GB2312" w:hAnsi="仿宋_GB2312" w:cs="仿宋_GB2312" w:eastAsia="仿宋_GB2312"/>
                <w:sz w:val="20"/>
              </w:rPr>
              <w:t>社会信用代码为核心归集主体全维度数据，实现标准化操作与多维度检索；支持按辖区批量核查多平台资质，实现数据精准查询与主体核心数据联动关联。</w:t>
            </w:r>
          </w:p>
          <w:p>
            <w:pPr>
              <w:pStyle w:val="null3"/>
            </w:pPr>
            <w:r>
              <w:rPr>
                <w:rFonts w:ascii="仿宋_GB2312" w:hAnsi="仿宋_GB2312" w:cs="仿宋_GB2312" w:eastAsia="仿宋_GB2312"/>
                <w:sz w:val="20"/>
              </w:rPr>
              <w:t>2.监测任务优化</w:t>
            </w:r>
          </w:p>
          <w:p>
            <w:pPr>
              <w:pStyle w:val="null3"/>
            </w:pPr>
            <w:r>
              <w:rPr>
                <w:rFonts w:ascii="仿宋_GB2312" w:hAnsi="仿宋_GB2312" w:cs="仿宋_GB2312" w:eastAsia="仿宋_GB2312"/>
                <w:sz w:val="20"/>
              </w:rPr>
              <w:t>关键词精细化配置：支持为监测关键词配置关联词与排除词，搭建灵活的关键词筛选规则体系，实现基于语境的精准线索匹配，减少无效线索干扰。行业化监测范围管控需求：按电商细分行业设置监测范围筛选条件，支持自定义选择单一或多个行业开展定向监测，聚焦重点行业违法线索排查，提升监测针对性。</w:t>
            </w:r>
          </w:p>
          <w:p>
            <w:pPr>
              <w:pStyle w:val="null3"/>
            </w:pPr>
            <w:r>
              <w:rPr>
                <w:rFonts w:ascii="仿宋_GB2312" w:hAnsi="仿宋_GB2312" w:cs="仿宋_GB2312" w:eastAsia="仿宋_GB2312"/>
                <w:sz w:val="20"/>
              </w:rPr>
              <w:t>监测数据统计分析：实现监测任务线索数、关联主体数的自动化统计，支持按时间、区域、行业等维度多维度分析，生成统计报表与可视化图表，量化监测工作成效，为监管趋势研判提供数据支撑。</w:t>
            </w:r>
          </w:p>
          <w:p>
            <w:pPr>
              <w:pStyle w:val="null3"/>
            </w:pPr>
            <w:r>
              <w:rPr>
                <w:rFonts w:ascii="仿宋_GB2312" w:hAnsi="仿宋_GB2312" w:cs="仿宋_GB2312" w:eastAsia="仿宋_GB2312"/>
                <w:sz w:val="20"/>
              </w:rPr>
              <w:t>为满足监管范围的完整性，将实现从</w:t>
            </w:r>
            <w:r>
              <w:rPr>
                <w:rFonts w:ascii="仿宋_GB2312" w:hAnsi="仿宋_GB2312" w:cs="仿宋_GB2312" w:eastAsia="仿宋_GB2312"/>
                <w:sz w:val="20"/>
              </w:rPr>
              <w:t>“被动、静态、局部”向“主动、动态、全域”的数据更新模式优化，显著提升对网络经营主体的感知力、洞察力与响应力，为风险预警、分类监管、执法办案等核心业务提供坚实、鲜活的数据底座。</w:t>
            </w:r>
          </w:p>
          <w:p>
            <w:pPr>
              <w:pStyle w:val="null3"/>
            </w:pPr>
            <w:r>
              <w:rPr>
                <w:rFonts w:ascii="仿宋_GB2312" w:hAnsi="仿宋_GB2312" w:cs="仿宋_GB2312" w:eastAsia="仿宋_GB2312"/>
                <w:sz w:val="20"/>
              </w:rPr>
              <w:t>3.商品交易市场优化</w:t>
            </w:r>
          </w:p>
          <w:p>
            <w:pPr>
              <w:pStyle w:val="null3"/>
            </w:pPr>
            <w:r>
              <w:rPr>
                <w:rFonts w:ascii="仿宋_GB2312" w:hAnsi="仿宋_GB2312" w:cs="仿宋_GB2312" w:eastAsia="仿宋_GB2312"/>
                <w:sz w:val="20"/>
              </w:rPr>
              <w:t>市场数据专属建库：搭建省内商品交易市场专属数据库，涵盖市场名称、地理位置、经营品类、入驻主体等核心数据，实现市场数据的集中化、结构化存储，支撑市场整体状况的全面把控。</w:t>
            </w:r>
          </w:p>
          <w:p>
            <w:pPr>
              <w:pStyle w:val="null3"/>
            </w:pPr>
            <w:r>
              <w:rPr>
                <w:rFonts w:ascii="仿宋_GB2312" w:hAnsi="仿宋_GB2312" w:cs="仿宋_GB2312" w:eastAsia="仿宋_GB2312"/>
                <w:sz w:val="20"/>
              </w:rPr>
              <w:t>数据标准化操作：实现商品交易市场数据的增删改查标准化操作，支持按市场名称、区域、经营品类等条件快速检索、精准维护，保障数据的时效性与准确性。</w:t>
            </w:r>
          </w:p>
          <w:p>
            <w:pPr>
              <w:pStyle w:val="null3"/>
            </w:pPr>
            <w:r>
              <w:rPr>
                <w:rFonts w:ascii="仿宋_GB2312" w:hAnsi="仿宋_GB2312" w:cs="仿宋_GB2312" w:eastAsia="仿宋_GB2312"/>
                <w:sz w:val="20"/>
              </w:rPr>
              <w:t>跨维度数据联动：将商品交易市场数据与入驻经营主体数据、网络经营数据联动关联，实现市场内主体线上线下经营状况的一体化展示，支撑线上线下协同监管。</w:t>
            </w:r>
          </w:p>
          <w:p>
            <w:pPr>
              <w:pStyle w:val="null3"/>
            </w:pPr>
            <w:r>
              <w:rPr>
                <w:rFonts w:ascii="仿宋_GB2312" w:hAnsi="仿宋_GB2312" w:cs="仿宋_GB2312" w:eastAsia="仿宋_GB2312"/>
                <w:sz w:val="20"/>
              </w:rPr>
              <w:t>4.特色产业优化</w:t>
            </w:r>
          </w:p>
          <w:p>
            <w:pPr>
              <w:pStyle w:val="null3"/>
            </w:pPr>
            <w:r>
              <w:rPr>
                <w:rFonts w:ascii="仿宋_GB2312" w:hAnsi="仿宋_GB2312" w:cs="仿宋_GB2312" w:eastAsia="仿宋_GB2312"/>
                <w:sz w:val="20"/>
              </w:rPr>
              <w:t>产业自定义创建：支持根据省内区域产业发展特点，自定义创建特色产业分类，设置产业核心特征与监管重点，适配地方特色产业监管需求。</w:t>
            </w:r>
          </w:p>
          <w:p>
            <w:pPr>
              <w:pStyle w:val="null3"/>
            </w:pPr>
            <w:r>
              <w:rPr>
                <w:rFonts w:ascii="仿宋_GB2312" w:hAnsi="仿宋_GB2312" w:cs="仿宋_GB2312" w:eastAsia="仿宋_GB2312"/>
                <w:sz w:val="20"/>
              </w:rPr>
              <w:t>数据标签化管理需求：建立特色产业入库数据的定期标签划分机制，按产业品类、经营规模、合规状况等维度进行标签化分类，实现特色产业数据的精细化管理。</w:t>
            </w:r>
          </w:p>
          <w:p>
            <w:pPr>
              <w:pStyle w:val="null3"/>
            </w:pPr>
            <w:r>
              <w:rPr>
                <w:rFonts w:ascii="仿宋_GB2312" w:hAnsi="仿宋_GB2312" w:cs="仿宋_GB2312" w:eastAsia="仿宋_GB2312"/>
                <w:sz w:val="20"/>
              </w:rPr>
              <w:t>数据标准化操作：实现特色产业数据的增删改查标准化操作，支持按产业名称、区域、标签等条件快速检索与维护，保障数据管理的规范性与高效性。产业动态监测需求：支持特色产业数据的动态跟踪与分析，生成产业发展统计报表，掌握产业整体经营状况与风险点，为特色产业精准监管与服务提供数据支撑。</w:t>
            </w:r>
          </w:p>
          <w:p>
            <w:pPr>
              <w:pStyle w:val="null3"/>
            </w:pPr>
            <w:r>
              <w:rPr>
                <w:rFonts w:ascii="仿宋_GB2312" w:hAnsi="仿宋_GB2312" w:cs="仿宋_GB2312" w:eastAsia="仿宋_GB2312"/>
                <w:sz w:val="20"/>
              </w:rPr>
              <w:t>5.知识库管理优化</w:t>
            </w:r>
          </w:p>
          <w:p>
            <w:pPr>
              <w:pStyle w:val="null3"/>
            </w:pPr>
            <w:r>
              <w:rPr>
                <w:rFonts w:ascii="仿宋_GB2312" w:hAnsi="仿宋_GB2312" w:cs="仿宋_GB2312" w:eastAsia="仿宋_GB2312"/>
                <w:sz w:val="20"/>
              </w:rPr>
              <w:t>专属知识库建库：搭建行政处罚案例、合规指引专属知识库，实现两类资料的集中化、结构化存储，涵盖案例基本信息、执法依据、合规指引条款、适用场景等核心内容。</w:t>
            </w:r>
          </w:p>
          <w:p>
            <w:pPr>
              <w:pStyle w:val="null3"/>
            </w:pPr>
            <w:r>
              <w:rPr>
                <w:rFonts w:ascii="仿宋_GB2312" w:hAnsi="仿宋_GB2312" w:cs="仿宋_GB2312" w:eastAsia="仿宋_GB2312"/>
                <w:sz w:val="20"/>
              </w:rPr>
              <w:t>资料分类与关联：对行政处罚案例按违法类型、行业等维度分类，对合规指引按监管领域、主体类型等维度分类，建立案例与合规指引的关联机制，实现联动查询。</w:t>
            </w:r>
          </w:p>
          <w:p>
            <w:pPr>
              <w:pStyle w:val="null3"/>
            </w:pPr>
            <w:r>
              <w:rPr>
                <w:rFonts w:ascii="仿宋_GB2312" w:hAnsi="仿宋_GB2312" w:cs="仿宋_GB2312" w:eastAsia="仿宋_GB2312"/>
                <w:sz w:val="20"/>
              </w:rPr>
              <w:t>便捷查询与更新：支持按关键词、行业、条款等条件快速检索知识库内容，建立知识库定期更新机制，及时补充最新案例与指引内容，确保内容的时效性与准确性。</w:t>
            </w:r>
          </w:p>
          <w:p>
            <w:pPr>
              <w:pStyle w:val="null3"/>
            </w:pPr>
            <w:r>
              <w:rPr>
                <w:rFonts w:ascii="仿宋_GB2312" w:hAnsi="仿宋_GB2312" w:cs="仿宋_GB2312" w:eastAsia="仿宋_GB2312"/>
                <w:sz w:val="20"/>
              </w:rPr>
              <w:t>6.风险预警分级分类优化</w:t>
            </w:r>
          </w:p>
          <w:p>
            <w:pPr>
              <w:pStyle w:val="null3"/>
            </w:pPr>
            <w:r>
              <w:rPr>
                <w:rFonts w:ascii="仿宋_GB2312" w:hAnsi="仿宋_GB2312" w:cs="仿宋_GB2312" w:eastAsia="仿宋_GB2312"/>
                <w:sz w:val="20"/>
              </w:rPr>
              <w:t>指标量化分值设定：根据主体归集的各类指标项，按风险程度制定科学的量化分值设定规则，支持指标分值的灵活调整，适配监管需求变化。</w:t>
            </w:r>
          </w:p>
          <w:p>
            <w:pPr>
              <w:pStyle w:val="null3"/>
            </w:pPr>
            <w:r>
              <w:rPr>
                <w:rFonts w:ascii="仿宋_GB2312" w:hAnsi="仿宋_GB2312" w:cs="仿宋_GB2312" w:eastAsia="仿宋_GB2312"/>
                <w:sz w:val="20"/>
              </w:rPr>
              <w:t>主体自动打分需求：实现基于指标分值的主体合规状况自动打分功能，根据指标实际情况计算综合风险得分，精准量化主体风险程度。</w:t>
            </w:r>
          </w:p>
          <w:p>
            <w:pPr>
              <w:pStyle w:val="null3"/>
            </w:pPr>
            <w:r>
              <w:rPr>
                <w:rFonts w:ascii="仿宋_GB2312" w:hAnsi="仿宋_GB2312" w:cs="仿宋_GB2312" w:eastAsia="仿宋_GB2312"/>
                <w:sz w:val="20"/>
              </w:rPr>
              <w:t>分级分类预警：建立</w:t>
            </w:r>
            <w:r>
              <w:rPr>
                <w:rFonts w:ascii="仿宋_GB2312" w:hAnsi="仿宋_GB2312" w:cs="仿宋_GB2312" w:eastAsia="仿宋_GB2312"/>
                <w:sz w:val="20"/>
              </w:rPr>
              <w:t>ABCD 四级风险分类体系，根据主体综合风险得分进行等级划分，实现不同风险等级的差异化预警机制，高风险主体重点预警、低风险主体常规监测。</w:t>
            </w:r>
          </w:p>
          <w:p>
            <w:pPr>
              <w:pStyle w:val="null3"/>
            </w:pPr>
            <w:r>
              <w:rPr>
                <w:rFonts w:ascii="仿宋_GB2312" w:hAnsi="仿宋_GB2312" w:cs="仿宋_GB2312" w:eastAsia="仿宋_GB2312"/>
                <w:sz w:val="20"/>
              </w:rPr>
              <w:t>风险精准画像：根据主体风险得分与等级，生成主体风险画像，明确核心风险点、风险来源，为监管处置、分级分类监管提供精准决策依据。</w:t>
            </w:r>
          </w:p>
          <w:p>
            <w:pPr>
              <w:pStyle w:val="null3"/>
            </w:pPr>
            <w:r>
              <w:rPr>
                <w:rFonts w:ascii="仿宋_GB2312" w:hAnsi="仿宋_GB2312" w:cs="仿宋_GB2312" w:eastAsia="仿宋_GB2312"/>
                <w:sz w:val="20"/>
              </w:rPr>
              <w:t>7.直播电商采集与监测优化</w:t>
            </w:r>
          </w:p>
          <w:p>
            <w:pPr>
              <w:pStyle w:val="null3"/>
            </w:pPr>
            <w:r>
              <w:rPr>
                <w:rFonts w:ascii="仿宋_GB2312" w:hAnsi="仿宋_GB2312" w:cs="仿宋_GB2312" w:eastAsia="仿宋_GB2312"/>
                <w:sz w:val="20"/>
              </w:rPr>
              <w:t>全主体数据采集建库：搭建四大专属数据库，精准采集解析直播主体资质、主播短视频、粉丝数、带货情况等信息，支持手动添加、多条件查找、自定义打标签，实现直播主体数据的系统化管理。</w:t>
            </w:r>
          </w:p>
          <w:p>
            <w:pPr>
              <w:pStyle w:val="null3"/>
            </w:pPr>
            <w:r>
              <w:rPr>
                <w:rFonts w:ascii="仿宋_GB2312" w:hAnsi="仿宋_GB2312" w:cs="仿宋_GB2312" w:eastAsia="仿宋_GB2312"/>
                <w:sz w:val="20"/>
              </w:rPr>
              <w:t>主播标准化分类：实现主播带货分类（一般、广告、带货、预警）与经营分类（主播品类、带货品类、重点品类）的标准化划分，支持按分类筛选监测对象，开展差异化监管。</w:t>
            </w:r>
          </w:p>
          <w:p>
            <w:pPr>
              <w:pStyle w:val="null3"/>
            </w:pPr>
            <w:r>
              <w:rPr>
                <w:rFonts w:ascii="仿宋_GB2312" w:hAnsi="仿宋_GB2312" w:cs="仿宋_GB2312" w:eastAsia="仿宋_GB2312"/>
                <w:sz w:val="20"/>
              </w:rPr>
              <w:t>直播内容智能监测需求：采用分布式架构与深度学习算法，实现直播场次</w:t>
            </w:r>
            <w:r>
              <w:rPr>
                <w:rFonts w:ascii="仿宋_GB2312" w:hAnsi="仿宋_GB2312" w:cs="仿宋_GB2312" w:eastAsia="仿宋_GB2312"/>
                <w:sz w:val="20"/>
              </w:rPr>
              <w:t>ID、带货商品、弹幕等信息的实时采集，通过多模态 AI 技术对主播口播、画面进行全方位实时分析与预警。</w:t>
            </w:r>
          </w:p>
          <w:p>
            <w:pPr>
              <w:pStyle w:val="null3"/>
            </w:pPr>
            <w:r>
              <w:rPr>
                <w:rFonts w:ascii="仿宋_GB2312" w:hAnsi="仿宋_GB2312" w:cs="仿宋_GB2312" w:eastAsia="仿宋_GB2312"/>
                <w:sz w:val="20"/>
              </w:rPr>
              <w:t>AI违规智能识别：融合计算机视觉、自然语言处理等多模态 AI 算法，自动识别各类直播违规行为，支持灵活设置 AI 可信度阈值，适配不同执法场景的精准度需求。</w:t>
            </w:r>
          </w:p>
          <w:p>
            <w:pPr>
              <w:pStyle w:val="null3"/>
            </w:pPr>
            <w:r>
              <w:rPr>
                <w:rFonts w:ascii="仿宋_GB2312" w:hAnsi="仿宋_GB2312" w:cs="仿宋_GB2312" w:eastAsia="仿宋_GB2312"/>
                <w:sz w:val="20"/>
              </w:rPr>
              <w:t>线索与证据管理：实现监测线索的自动标记、推送、核实、分派全流程闭环管理；搭建区块链存证系统，实现直播视频证据司法级固证，获取并保存直播场次唯一</w:t>
            </w:r>
            <w:r>
              <w:rPr>
                <w:rFonts w:ascii="仿宋_GB2312" w:hAnsi="仿宋_GB2312" w:cs="仿宋_GB2312" w:eastAsia="仿宋_GB2312"/>
                <w:sz w:val="20"/>
              </w:rPr>
              <w:t>ID，确保证据法律效力。</w:t>
            </w:r>
          </w:p>
          <w:p>
            <w:pPr>
              <w:pStyle w:val="null3"/>
            </w:pPr>
            <w:r>
              <w:rPr>
                <w:rFonts w:ascii="仿宋_GB2312" w:hAnsi="仿宋_GB2312" w:cs="仿宋_GB2312" w:eastAsia="仿宋_GB2312"/>
                <w:sz w:val="20"/>
              </w:rPr>
              <w:t>多维度风险预警：融合投诉举报、企业信用信息，构建主播与关联主体多维度风险预警机制，自动触发风险预警、生成风险精准画像，支持持续跟踪监管与分级分类处置。</w:t>
            </w:r>
          </w:p>
          <w:p>
            <w:pPr>
              <w:pStyle w:val="null3"/>
            </w:pPr>
            <w:r>
              <w:rPr>
                <w:rFonts w:ascii="仿宋_GB2312" w:hAnsi="仿宋_GB2312" w:cs="仿宋_GB2312" w:eastAsia="仿宋_GB2312"/>
                <w:sz w:val="20"/>
              </w:rPr>
              <w:t>8.示范区申报流程优化</w:t>
            </w:r>
          </w:p>
          <w:p>
            <w:pPr>
              <w:pStyle w:val="null3"/>
            </w:pPr>
            <w:r>
              <w:rPr>
                <w:rFonts w:ascii="仿宋_GB2312" w:hAnsi="仿宋_GB2312" w:cs="仿宋_GB2312" w:eastAsia="仿宋_GB2312"/>
                <w:sz w:val="20"/>
              </w:rPr>
              <w:t>全流程线上化申报：搭建省级网络交易监管平台线上申报模块，支持创建对象在线填写申请表、上传自评报告与印证材料，实现申报材料的标准化提交与存储。</w:t>
            </w:r>
          </w:p>
          <w:p>
            <w:pPr>
              <w:pStyle w:val="null3"/>
            </w:pPr>
            <w:r>
              <w:rPr>
                <w:rFonts w:ascii="仿宋_GB2312" w:hAnsi="仿宋_GB2312" w:cs="仿宋_GB2312" w:eastAsia="仿宋_GB2312"/>
                <w:sz w:val="20"/>
              </w:rPr>
              <w:t>分级线上审批：为市（区）级监管部门开发线上初审功能，支持资料审查、数据比对、实地检查记录录入与初审结果线上报送；为省级监管部门开发线上评估功能，支持在线对照指标体系打分、自动生成评估分值与结果。</w:t>
            </w:r>
          </w:p>
          <w:p>
            <w:pPr>
              <w:pStyle w:val="null3"/>
            </w:pPr>
            <w:r>
              <w:rPr>
                <w:rFonts w:ascii="仿宋_GB2312" w:hAnsi="仿宋_GB2312" w:cs="仿宋_GB2312" w:eastAsia="仿宋_GB2312"/>
                <w:sz w:val="20"/>
              </w:rPr>
              <w:t>申报数据归集分析：实现申报流程中申请信息、初审意见、评估结果等数据的结构化归集，支持数据查询、统计与分析，为示范区建设经验总结、复制推广提供数据支撑。</w:t>
            </w:r>
          </w:p>
          <w:p>
            <w:pPr>
              <w:pStyle w:val="null3"/>
            </w:pPr>
            <w:r>
              <w:rPr>
                <w:rFonts w:ascii="仿宋_GB2312" w:hAnsi="仿宋_GB2312" w:cs="仿宋_GB2312" w:eastAsia="仿宋_GB2312"/>
                <w:sz w:val="20"/>
              </w:rPr>
              <w:t>9.取证存证优化</w:t>
            </w:r>
          </w:p>
          <w:p>
            <w:pPr>
              <w:pStyle w:val="null3"/>
            </w:pPr>
            <w:r>
              <w:rPr>
                <w:rFonts w:ascii="仿宋_GB2312" w:hAnsi="仿宋_GB2312" w:cs="仿宋_GB2312" w:eastAsia="仿宋_GB2312"/>
                <w:sz w:val="20"/>
              </w:rPr>
              <w:t>网络交易违法行为的关键证据多来源于淘宝、京东等主流电商平台，现有系统仅具备公开网站取证功能，未针对电商平台特性开发专属取证功能，持续优化完善取证存证功能。</w:t>
            </w:r>
          </w:p>
          <w:p>
            <w:pPr>
              <w:pStyle w:val="null3"/>
            </w:pPr>
            <w:r>
              <w:rPr>
                <w:rFonts w:ascii="仿宋_GB2312" w:hAnsi="仿宋_GB2312" w:cs="仿宋_GB2312" w:eastAsia="仿宋_GB2312"/>
                <w:sz w:val="20"/>
              </w:rPr>
              <w:t>数据处理服务：</w:t>
            </w:r>
          </w:p>
          <w:p>
            <w:pPr>
              <w:pStyle w:val="null3"/>
            </w:pPr>
            <w:r>
              <w:rPr>
                <w:rFonts w:ascii="仿宋_GB2312" w:hAnsi="仿宋_GB2312" w:cs="仿宋_GB2312" w:eastAsia="仿宋_GB2312"/>
                <w:sz w:val="20"/>
              </w:rPr>
              <w:t>1.数据处理内容</w:t>
            </w:r>
          </w:p>
          <w:p>
            <w:pPr>
              <w:pStyle w:val="null3"/>
            </w:pPr>
            <w:r>
              <w:rPr>
                <w:rFonts w:ascii="仿宋_GB2312" w:hAnsi="仿宋_GB2312" w:cs="仿宋_GB2312" w:eastAsia="仿宋_GB2312"/>
                <w:sz w:val="20"/>
              </w:rPr>
              <w:t>定期备份、清理、归档软件数据，备份防丢失可快速恢复，清理消冗余提效率，归档历史数据减在线存储负担，保障数据安全可靠与一致性，为网监业务提供准确数据支持。</w:t>
            </w:r>
          </w:p>
          <w:p>
            <w:pPr>
              <w:pStyle w:val="null3"/>
            </w:pPr>
            <w:r>
              <w:rPr>
                <w:rFonts w:ascii="仿宋_GB2312" w:hAnsi="仿宋_GB2312" w:cs="仿宋_GB2312" w:eastAsia="仿宋_GB2312"/>
                <w:sz w:val="20"/>
              </w:rPr>
              <w:t>2.指标维护内容</w:t>
            </w:r>
          </w:p>
          <w:p>
            <w:pPr>
              <w:pStyle w:val="null3"/>
            </w:pPr>
            <w:r>
              <w:rPr>
                <w:rFonts w:ascii="仿宋_GB2312" w:hAnsi="仿宋_GB2312" w:cs="仿宋_GB2312" w:eastAsia="仿宋_GB2312"/>
                <w:sz w:val="20"/>
              </w:rPr>
              <w:t>通过使用系统内置的核验规则或者自定义核验规则，定时对清洗后的数据进行质量检查，根据检查结果合成数据质量检查结果提示信息，在提示信息中支持由错误信息关联明细数据显示，并发布和展现，以此为依据，不断优化数据清洗，提高数据质量。</w:t>
            </w:r>
          </w:p>
          <w:p>
            <w:pPr>
              <w:pStyle w:val="null3"/>
            </w:pPr>
            <w:r>
              <w:rPr>
                <w:rFonts w:ascii="仿宋_GB2312" w:hAnsi="仿宋_GB2312" w:cs="仿宋_GB2312" w:eastAsia="仿宋_GB2312"/>
                <w:sz w:val="20"/>
              </w:rPr>
              <w:t>3.数据治理与质量监控</w:t>
            </w:r>
          </w:p>
          <w:p>
            <w:pPr>
              <w:pStyle w:val="null3"/>
            </w:pPr>
            <w:r>
              <w:rPr>
                <w:rFonts w:ascii="仿宋_GB2312" w:hAnsi="仿宋_GB2312" w:cs="仿宋_GB2312" w:eastAsia="仿宋_GB2312"/>
                <w:sz w:val="20"/>
              </w:rPr>
              <w:t>数据一致性校验：定期比对主备库数据、应用层与数据库层数据，发现并修复数据不一致问题（如主从延迟导致的数据差异）。</w:t>
            </w:r>
          </w:p>
          <w:p>
            <w:pPr>
              <w:pStyle w:val="null3"/>
            </w:pPr>
            <w:r>
              <w:rPr>
                <w:rFonts w:ascii="仿宋_GB2312" w:hAnsi="仿宋_GB2312" w:cs="仿宋_GB2312" w:eastAsia="仿宋_GB2312"/>
                <w:sz w:val="20"/>
              </w:rPr>
              <w:t>数据质量报告：监控数据的完整性（是否有空值）、准确性（是否符合逻辑）、及时性（是否按时入库）。</w:t>
            </w:r>
          </w:p>
          <w:p>
            <w:pPr>
              <w:pStyle w:val="null3"/>
            </w:pPr>
            <w:r>
              <w:rPr>
                <w:rFonts w:ascii="仿宋_GB2312" w:hAnsi="仿宋_GB2312" w:cs="仿宋_GB2312" w:eastAsia="仿宋_GB2312"/>
                <w:sz w:val="20"/>
              </w:rPr>
              <w:t>元数据管理：协助维护数据字典，梳理表结构、字段含义及血缘关系，降低人员流动带来的知识断层风险。</w:t>
            </w:r>
          </w:p>
          <w:p>
            <w:pPr>
              <w:pStyle w:val="null3"/>
            </w:pPr>
            <w:r>
              <w:rPr>
                <w:rFonts w:ascii="仿宋_GB2312" w:hAnsi="仿宋_GB2312" w:cs="仿宋_GB2312" w:eastAsia="仿宋_GB2312"/>
                <w:sz w:val="20"/>
              </w:rPr>
              <w:t>日常运维服务人员组成及职责：</w:t>
            </w:r>
          </w:p>
          <w:p>
            <w:pPr>
              <w:pStyle w:val="null3"/>
            </w:pPr>
            <w:r>
              <w:rPr>
                <w:rFonts w:ascii="仿宋_GB2312" w:hAnsi="仿宋_GB2312" w:cs="仿宋_GB2312" w:eastAsia="仿宋_GB2312"/>
                <w:sz w:val="20"/>
              </w:rPr>
              <w:t>网络交易监管智慧化平台维保功能众多，数据繁杂，用户涉及广，且具有很强的专业性。为保障业务系统高效平稳运行，以便及时快捷的解决问题，收集相关问题，及时反馈更正修改，需提供运维队伍组成包含：</w:t>
            </w:r>
          </w:p>
          <w:p>
            <w:pPr>
              <w:pStyle w:val="null3"/>
            </w:pPr>
            <w:r>
              <w:rPr>
                <w:rFonts w:ascii="仿宋_GB2312" w:hAnsi="仿宋_GB2312" w:cs="仿宋_GB2312" w:eastAsia="仿宋_GB2312"/>
                <w:sz w:val="20"/>
              </w:rPr>
              <w:t>1.一线驻场人员:</w:t>
            </w:r>
          </w:p>
          <w:p>
            <w:pPr>
              <w:pStyle w:val="null3"/>
            </w:pPr>
            <w:r>
              <w:rPr>
                <w:rFonts w:ascii="仿宋_GB2312" w:hAnsi="仿宋_GB2312" w:cs="仿宋_GB2312" w:eastAsia="仿宋_GB2312"/>
                <w:sz w:val="20"/>
              </w:rPr>
              <w:t>提供</w:t>
            </w:r>
            <w:r>
              <w:rPr>
                <w:rFonts w:ascii="仿宋_GB2312" w:hAnsi="仿宋_GB2312" w:cs="仿宋_GB2312" w:eastAsia="仿宋_GB2312"/>
                <w:sz w:val="20"/>
              </w:rPr>
              <w:t>1名一线技术支持人员工作日驻场。</w:t>
            </w:r>
          </w:p>
          <w:p>
            <w:pPr>
              <w:pStyle w:val="null3"/>
            </w:pPr>
            <w:r>
              <w:rPr>
                <w:rFonts w:ascii="仿宋_GB2312" w:hAnsi="仿宋_GB2312" w:cs="仿宋_GB2312" w:eastAsia="仿宋_GB2312"/>
                <w:sz w:val="20"/>
              </w:rPr>
              <w:t>技术支持提供网络交易监管智慧化平台维保的日常事务处理，完成现场最紧急和重复性较大的日常事务；业务咨询及使用指导：全省网络交易相关用户和各级监管机构人员的业务咨询，其中包含服务支持电话、微信群、多个</w:t>
            </w:r>
            <w:r>
              <w:rPr>
                <w:rFonts w:ascii="仿宋_GB2312" w:hAnsi="仿宋_GB2312" w:cs="仿宋_GB2312" w:eastAsia="仿宋_GB2312"/>
                <w:sz w:val="20"/>
              </w:rPr>
              <w:t>QQ群的事务处理及响应。问题处理及技术支持。</w:t>
            </w:r>
          </w:p>
          <w:p>
            <w:pPr>
              <w:pStyle w:val="null3"/>
            </w:pPr>
            <w:r>
              <w:rPr>
                <w:rFonts w:ascii="仿宋_GB2312" w:hAnsi="仿宋_GB2312" w:cs="仿宋_GB2312" w:eastAsia="仿宋_GB2312"/>
                <w:sz w:val="20"/>
              </w:rPr>
              <w:t>2.二线支持:</w:t>
            </w:r>
          </w:p>
          <w:p>
            <w:pPr>
              <w:pStyle w:val="null3"/>
            </w:pPr>
            <w:r>
              <w:rPr>
                <w:rFonts w:ascii="仿宋_GB2312" w:hAnsi="仿宋_GB2312" w:cs="仿宋_GB2312" w:eastAsia="仿宋_GB2312"/>
                <w:sz w:val="20"/>
              </w:rPr>
              <w:t>组建不少于</w:t>
            </w:r>
            <w:r>
              <w:rPr>
                <w:rFonts w:ascii="仿宋_GB2312" w:hAnsi="仿宋_GB2312" w:cs="仿宋_GB2312" w:eastAsia="仿宋_GB2312"/>
                <w:sz w:val="20"/>
              </w:rPr>
              <w:t>2人的二线支撑团队。二线支持不需驻场，根据需要提供定期或不定期的技术支持。项目经理：对整个系统运行情况的可靠性评估，对系统优化进行必要性审核，保证系统持续的性能和功能输出；对新需求及变更进行评估，将设计后的功能进行产品输出，为用户提供业务咨询及建设方案技术支持。需求分析：在项目经理的领导下进行需求调研、需求分析，编写《客户需求说明书》，通过需求分析，结合相关经验向客户提出项目建设的合理化建议，监督并检查开发小组的需求实现，主要参与的项目阶段是需求调研、需求实现、系统测试、安装部署、系统试运行、项目/系统推广、项目验收</w:t>
            </w:r>
          </w:p>
          <w:tbl>
            <w:tblPr>
              <w:tblBorders>
                <w:top w:val="none" w:color="000000" w:sz="4"/>
                <w:left w:val="none" w:color="000000" w:sz="4"/>
                <w:bottom w:val="none" w:color="000000" w:sz="4"/>
                <w:right w:val="none" w:color="000000" w:sz="4"/>
                <w:insideH w:val="none"/>
                <w:insideV w:val="none"/>
              </w:tblBorders>
            </w:tblPr>
            <w:tblGrid>
              <w:gridCol w:w="1347"/>
              <w:gridCol w:w="1197"/>
            </w:tblGrid>
            <w:tr>
              <w:tc>
                <w:tcPr>
                  <w:tcW w:type="dxa" w:w="134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名称</w:t>
                  </w:r>
                </w:p>
              </w:tc>
              <w:tc>
                <w:tcPr>
                  <w:tcW w:type="dxa" w:w="119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配置人数</w:t>
                  </w:r>
                </w:p>
              </w:tc>
            </w:tr>
            <w:tr>
              <w:tc>
                <w:tcPr>
                  <w:tcW w:type="dxa" w:w="13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项目经理</w:t>
                  </w: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r>
            <w:tr>
              <w:tc>
                <w:tcPr>
                  <w:tcW w:type="dxa" w:w="13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驻场业务人员</w:t>
                  </w: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r>
            <w:tr>
              <w:tc>
                <w:tcPr>
                  <w:tcW w:type="dxa" w:w="13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需求分析</w:t>
                  </w:r>
                </w:p>
              </w:tc>
              <w:tc>
                <w:tcPr>
                  <w:tcW w:type="dxa" w:w="11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安全管理要求：</w:t>
            </w:r>
          </w:p>
          <w:p>
            <w:pPr>
              <w:pStyle w:val="null3"/>
            </w:pPr>
            <w:r>
              <w:rPr>
                <w:rFonts w:ascii="仿宋_GB2312" w:hAnsi="仿宋_GB2312" w:cs="仿宋_GB2312" w:eastAsia="仿宋_GB2312"/>
                <w:sz w:val="20"/>
              </w:rPr>
              <w:t>1.运维连续性保障要求</w:t>
            </w:r>
          </w:p>
          <w:p>
            <w:pPr>
              <w:pStyle w:val="null3"/>
            </w:pPr>
            <w:r>
              <w:rPr>
                <w:rFonts w:ascii="仿宋_GB2312" w:hAnsi="仿宋_GB2312" w:cs="仿宋_GB2312" w:eastAsia="仿宋_GB2312"/>
                <w:sz w:val="20"/>
              </w:rPr>
              <w:t>服务提供方应针对基础支撑环境运维服务以及相关产品运维服务建立知识库和应急预案，若出现服务中断、服务能力不足等情况，服务提供方按照应急预案处置，所涉及费用由服务提供方承担，确保平台连续稳定运行。</w:t>
            </w:r>
          </w:p>
          <w:p>
            <w:pPr>
              <w:pStyle w:val="null3"/>
            </w:pPr>
            <w:r>
              <w:rPr>
                <w:rFonts w:ascii="仿宋_GB2312" w:hAnsi="仿宋_GB2312" w:cs="仿宋_GB2312" w:eastAsia="仿宋_GB2312"/>
                <w:sz w:val="20"/>
              </w:rPr>
              <w:t>保证系统软件系统</w:t>
            </w:r>
            <w:r>
              <w:rPr>
                <w:rFonts w:ascii="仿宋_GB2312" w:hAnsi="仿宋_GB2312" w:cs="仿宋_GB2312" w:eastAsia="仿宋_GB2312"/>
                <w:sz w:val="20"/>
              </w:rPr>
              <w:t>7×24正常运行，降低管理成本。</w:t>
            </w:r>
          </w:p>
          <w:p>
            <w:pPr>
              <w:pStyle w:val="null3"/>
            </w:pPr>
            <w:r>
              <w:rPr>
                <w:rFonts w:ascii="仿宋_GB2312" w:hAnsi="仿宋_GB2312" w:cs="仿宋_GB2312" w:eastAsia="仿宋_GB2312"/>
                <w:sz w:val="20"/>
              </w:rPr>
              <w:t>根据日常维护的数据和记录，提供系统整体规划和建设依据，为系统优化及扩容提供参考。</w:t>
            </w:r>
          </w:p>
          <w:p>
            <w:pPr>
              <w:pStyle w:val="null3"/>
            </w:pPr>
            <w:r>
              <w:rPr>
                <w:rFonts w:ascii="仿宋_GB2312" w:hAnsi="仿宋_GB2312" w:cs="仿宋_GB2312" w:eastAsia="仿宋_GB2312"/>
                <w:sz w:val="20"/>
              </w:rPr>
              <w:t>2.人员连续性要求</w:t>
            </w:r>
          </w:p>
          <w:p>
            <w:pPr>
              <w:pStyle w:val="null3"/>
            </w:pPr>
            <w:r>
              <w:rPr>
                <w:rFonts w:ascii="仿宋_GB2312" w:hAnsi="仿宋_GB2312" w:cs="仿宋_GB2312" w:eastAsia="仿宋_GB2312"/>
                <w:sz w:val="20"/>
              </w:rPr>
              <w:t>人员稳定：核心人员合同期内不得随意更换，确需更换须提前</w:t>
            </w:r>
            <w:r>
              <w:rPr>
                <w:rFonts w:ascii="仿宋_GB2312" w:hAnsi="仿宋_GB2312" w:cs="仿宋_GB2312" w:eastAsia="仿宋_GB2312"/>
                <w:sz w:val="20"/>
              </w:rPr>
              <w:t>1个月申请，并完成不少于2周的并行交接，经客户考核合格后离场。</w:t>
            </w:r>
          </w:p>
          <w:p>
            <w:pPr>
              <w:pStyle w:val="null3"/>
            </w:pPr>
            <w:r>
              <w:rPr>
                <w:rFonts w:ascii="仿宋_GB2312" w:hAnsi="仿宋_GB2312" w:cs="仿宋_GB2312" w:eastAsia="仿宋_GB2312"/>
                <w:sz w:val="20"/>
              </w:rPr>
              <w:t>技能赋能：每季度开展全员应急演练与技能复训，确保备份人员熟悉系统架构与应急预案，规避单点风险。</w:t>
            </w:r>
          </w:p>
          <w:p>
            <w:pPr>
              <w:pStyle w:val="null3"/>
            </w:pPr>
            <w:r>
              <w:rPr>
                <w:rFonts w:ascii="仿宋_GB2312" w:hAnsi="仿宋_GB2312" w:cs="仿宋_GB2312" w:eastAsia="仿宋_GB2312"/>
                <w:sz w:val="20"/>
              </w:rPr>
              <w:t>系统安全要求：</w:t>
            </w:r>
          </w:p>
          <w:p>
            <w:pPr>
              <w:pStyle w:val="null3"/>
            </w:pPr>
            <w:r>
              <w:rPr>
                <w:rFonts w:ascii="仿宋_GB2312" w:hAnsi="仿宋_GB2312" w:cs="仿宋_GB2312" w:eastAsia="仿宋_GB2312"/>
                <w:sz w:val="20"/>
              </w:rPr>
              <w:t>平台的安全保障体系以数据安全为核心，全面覆盖基础设施、数据支撑中心、应用支撑中心及内外部业务安全要求，基于云计算与大数据的技术特性，构建全方位系统安全方案。</w:t>
            </w:r>
          </w:p>
          <w:p>
            <w:pPr>
              <w:pStyle w:val="null3"/>
            </w:pPr>
            <w:r>
              <w:rPr>
                <w:rFonts w:ascii="仿宋_GB2312" w:hAnsi="仿宋_GB2312" w:cs="仿宋_GB2312" w:eastAsia="仿宋_GB2312"/>
                <w:sz w:val="20"/>
              </w:rPr>
              <w:t>其他要求：</w:t>
            </w:r>
          </w:p>
          <w:p>
            <w:pPr>
              <w:pStyle w:val="null3"/>
            </w:pPr>
            <w:r>
              <w:rPr>
                <w:rFonts w:ascii="仿宋_GB2312" w:hAnsi="仿宋_GB2312" w:cs="仿宋_GB2312" w:eastAsia="仿宋_GB2312"/>
                <w:sz w:val="20"/>
              </w:rPr>
              <w:t>系统稳定性要求：在重要时刻前，对系统进行全面的健康检查，包括软件、网络等方面的检查，确保系统处于最佳状态。</w:t>
            </w:r>
          </w:p>
          <w:p>
            <w:pPr>
              <w:pStyle w:val="null3"/>
            </w:pPr>
            <w:r>
              <w:rPr>
                <w:rFonts w:ascii="仿宋_GB2312" w:hAnsi="仿宋_GB2312" w:cs="仿宋_GB2312" w:eastAsia="仿宋_GB2312"/>
                <w:sz w:val="20"/>
              </w:rPr>
              <w:t>业务连续性要求：对关键业务应用进行性能优化，确保在业务高峰时段能够顺畅运行。</w:t>
            </w:r>
          </w:p>
          <w:p>
            <w:pPr>
              <w:pStyle w:val="null3"/>
            </w:pPr>
            <w:r>
              <w:rPr>
                <w:rFonts w:ascii="仿宋_GB2312" w:hAnsi="仿宋_GB2312" w:cs="仿宋_GB2312" w:eastAsia="仿宋_GB2312"/>
                <w:sz w:val="20"/>
              </w:rPr>
              <w:t>人员配备与沟通要求：建立有效的沟通机制，确保运维团队与采购方、其他相关部门之间保持紧密的沟通和协作。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2026 年度（1年）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须向采购代理机构提供纸质版响应文件2套（1正1副），且提供的响应文件必须与在陕西省政府采购综合管理平台的项目电子化交易系统中递交的电子响应文件内容一致，纸质版响应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提供2025年4月至今已缴纳的至少一个月的纳税证明或完税证明，依法免税的单位应提供相关证明材料。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响应文件封面 企业业绩一览表.docx 供应商应提交的相关资格证明材料.docx 服务内容及服务要求偏离表.docx 中小企业声明函 残疾人福利性单位声明函 供应商概况与承诺.docx 标的清单 商务偏离表.docx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企业业绩一览表.docx 供应商应提交的相关资格证明材料.docx 服务内容及服务要求偏离表.docx 中小企业声明函 残疾人福利性单位声明函 供应商概况与承诺.docx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响应文件封面 企业业绩一览表.docx 供应商应提交的相关资格证明材料.docx 服务内容及服务要求偏离表.docx 中小企业声明函 残疾人福利性单位声明函 供应商概况与承诺.docx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服务内容及服务要求偏离表.docx 中小企业声明函 供应商概况与承诺.docx 报价表 供应商认为有必要提供的其他资料.docx 响应文件封面 企业业绩一览表.docx 供应商应提交的相关资格证明材料.docx 残疾人福利性单位声明函 标的清单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评审内容：供应商具有①ISO9001质量管理体系认证证书②ISO27001信息安全管理体系认证证书③ISO20000信息技术服务管理体系证书，每有一项得1分，最高得3分。评审标准：以供应商响应文件中加盖公章的证书复印件或扫描件为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评审内容：拟派项目经理具有信息化相关专业中级职称得2分，高级职称得3分，其余不得分。 评审标准：以供应商响应文件中加盖公章的证书复印件或扫描件为准。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评审内容：根据本项目需求配备团队人员，包括①服务团队组织架构②人员基本信息③岗位职责④人员稳定性与投入保障。 评审标准：项目实施团队完备、岗位设置合理，专业人员配置齐全、针性强、分工明确，能有效保障本项目实施得12分，每有一项内容缺项扣3分，每有一项有内容但内容存在缺陷，扣1分，扣完为止。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评审内容：针对本项目提出适用于本项目的需求响应方案，包括但不限于：①项目理解及需求分析②项目重难点分析。③合理化建议。 评审标准：方案内容全面详细、阐述条理清晰，具有针对性，能有效保障本项目实施得9分，每有一项内容缺项扣3分，每有一项有内容但内容存在缺陷，扣1分，扣完为止。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评审内容：供应商针对本项目提供详细的服务方案，包括①服务内容及流程；②系统日常维护及优化升级方案；③预防性检查方案④故障维修方案。⑤拟投入日常维保工作的设备或器具配置情况。 评审标准：方案内容全面详细、阐述条理清晰，具有针对性，能有效保障本项目实施得20分，每有一项内容缺项扣4分，每有一项有内容但内容存在缺陷，扣2分，扣完为止。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评审内容：供应商针对本项目提供详细的服务质量保障方案，包括①质量控制体系②质量把控方案及保障措施。 评审标准：方案内容全面详细、阐述条理清晰，具有针对性，能有效保障本项目实施得6分，每有一项内容缺项扣3分，每有一项有内容但内容存在缺陷，扣1分，扣完为止。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运维服务应急保障方案</w:t>
            </w:r>
          </w:p>
        </w:tc>
        <w:tc>
          <w:tcPr>
            <w:tcW w:type="dxa" w:w="2492"/>
          </w:tcPr>
          <w:p>
            <w:pPr>
              <w:pStyle w:val="null3"/>
            </w:pPr>
            <w:r>
              <w:rPr>
                <w:rFonts w:ascii="仿宋_GB2312" w:hAnsi="仿宋_GB2312" w:cs="仿宋_GB2312" w:eastAsia="仿宋_GB2312"/>
              </w:rPr>
              <w:t>评审内容：供应商针对本项目提供详细的运维服务应急保障方案，包括①系统故障响应现场服务②技术支持及咨询服务③风险应急措施④定期巡检服务⑤驻场服务方案。 评审标准：方案内容全面详细、阐述条理清晰，具有针对性，能有效保障本项目实施得15分，每有一项内容缺项扣3分，每有一项有内容但内容存在缺陷，扣1分，扣完为止。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评审内容：供应商针对本项目提供详细的保密措施，包括①保密管理方案②保密承诺（承诺书格式自拟）。 评审标准：方案与承诺内容全面详细、阐述条理清晰，具有针对性，能有效保障本项目实施得6分，每有一项内容缺项扣3分，每有一项有内容但内容存在缺陷，扣1分，扣完为止。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评审内容：供应商提供针对本项目的培训服务方案，内容包括①制定详细的培训内容②培训计划及组织安排。 评审标准：方案内容全面详细、阐述条理清晰，具有针对性，能有效保障本项目实施得6分，每有一项内容缺项扣3分，每有一项有内容但内容存在缺陷，扣1分，扣完为止。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提供2023年1月1日至今信息系统运维类或系统建设类项目的业绩，每个得2分，最高得10分。 注：需提供项目合同复印件加盖公章，合同复印件应包含合同首页、签字盖章页、体现工作内容的合同主要页。时间以合同签订时间为准。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满足磋商文件要求且磋商价格最低的磋商报价为评标基准价，其价格分为满分。其他供应商的价格分统一按照下列公式计算：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详见附件：企业业绩一览表.docx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