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D224FE0">
      <w:pPr>
        <w:pStyle w:val="4"/>
        <w:spacing w:line="240" w:lineRule="auto"/>
        <w:jc w:val="center"/>
        <w:rPr>
          <w:rFonts w:hint="default" w:ascii="仿宋_GB2312" w:hAnsi="仿宋_GB2312" w:eastAsia="仿宋_GB2312" w:cs="仿宋_GB2312"/>
          <w:b/>
          <w:bCs/>
          <w:color w:val="auto"/>
          <w:sz w:val="24"/>
          <w:szCs w:val="24"/>
          <w:highlight w:val="none"/>
          <w:lang w:val="en-US" w:eastAsia="zh-CN"/>
        </w:rPr>
      </w:pPr>
      <w:r>
        <w:rPr>
          <w:rFonts w:hint="eastAsia" w:ascii="仿宋_GB2312" w:hAnsi="仿宋_GB2312" w:eastAsia="仿宋_GB2312" w:cs="仿宋_GB2312"/>
          <w:b/>
          <w:bCs/>
          <w:color w:val="auto"/>
          <w:sz w:val="24"/>
          <w:szCs w:val="24"/>
          <w:highlight w:val="none"/>
          <w:lang w:val="en-US" w:eastAsia="zh-CN"/>
        </w:rPr>
        <w:t>采购需求</w:t>
      </w:r>
    </w:p>
    <w:p w14:paraId="2F6DBBE2">
      <w:pPr>
        <w:pStyle w:val="4"/>
        <w:spacing w:line="240" w:lineRule="auto"/>
        <w:rPr>
          <w:rFonts w:hint="eastAsia" w:ascii="仿宋_GB2312" w:hAnsi="仿宋_GB2312" w:eastAsia="仿宋_GB2312" w:cs="仿宋_GB2312"/>
          <w:b/>
          <w:bCs/>
          <w:color w:val="auto"/>
          <w:highlight w:val="none"/>
          <w:lang w:val="en-US" w:eastAsia="zh-CN"/>
        </w:rPr>
      </w:pPr>
    </w:p>
    <w:p w14:paraId="18FA71D3">
      <w:pPr>
        <w:pStyle w:val="4"/>
        <w:spacing w:line="240" w:lineRule="auto"/>
        <w:rPr>
          <w:rFonts w:hint="eastAsia" w:ascii="仿宋_GB2312" w:hAnsi="仿宋_GB2312" w:eastAsia="仿宋_GB2312" w:cs="仿宋_GB2312"/>
          <w:b/>
          <w:bCs/>
          <w:color w:val="auto"/>
          <w:highlight w:val="none"/>
          <w:lang w:val="en-US" w:eastAsia="zh-CN"/>
        </w:rPr>
      </w:pPr>
      <w:r>
        <w:rPr>
          <w:rFonts w:hint="eastAsia" w:ascii="仿宋_GB2312" w:hAnsi="仿宋_GB2312" w:eastAsia="仿宋_GB2312" w:cs="仿宋_GB2312"/>
          <w:b/>
          <w:bCs/>
          <w:color w:val="auto"/>
          <w:highlight w:val="none"/>
          <w:lang w:val="en-US" w:eastAsia="zh-CN"/>
        </w:rPr>
        <w:t>（一）采购内容</w:t>
      </w:r>
    </w:p>
    <w:p w14:paraId="48AC4DC5">
      <w:pPr>
        <w:pStyle w:val="4"/>
        <w:spacing w:line="240" w:lineRule="auto"/>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t>1.为“陕企通”平台提供全面的整体运维服务，包括但不限于：配合陕西省工业和信息化厅及运营单位优化平台服务功能，围绕各业务系统、基础架构、数据库、中间件、服务器等开展监控、巡检、故障处理与漏洞处理等工作，建立“异常预警-快速排查-应急处置”响应机制，确保平台稳定、安全运行。</w:t>
      </w:r>
    </w:p>
    <w:p w14:paraId="4DC67C38">
      <w:pPr>
        <w:pStyle w:val="4"/>
        <w:spacing w:line="240" w:lineRule="auto"/>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t>2.配合省工业和信息化厅完成“陕企通”平台网络安全检查、数据库维护、跨平台对接技术支撑、基础数据处理及支撑、用户操作培训及咨询答疑、年度网络安全等级保护及密码应用安全性第三方测评问题项整改、应急预案编制演练、网站安全监测等相关工作。</w:t>
      </w:r>
    </w:p>
    <w:p w14:paraId="748CCC1E">
      <w:pPr>
        <w:pStyle w:val="4"/>
        <w:spacing w:line="240" w:lineRule="auto"/>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t>3.制定“陕企通”平台数据安全防护策略，使用态势感知、权限管控、脱敏、加密等技术手段，实施平台内数据的全生命周期防护。建立常态化数据安全风险识别、监测、预警、处置等措施，保障数据汇集、治理、分析、导出、开放等业务场景安全。</w:t>
      </w:r>
    </w:p>
    <w:p w14:paraId="7324A0A0">
      <w:pPr>
        <w:pStyle w:val="4"/>
        <w:spacing w:line="240" w:lineRule="auto"/>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t>4.配合完成省工业和信息化厅安排的“陕企通”平台其他相关事项。</w:t>
      </w:r>
    </w:p>
    <w:p w14:paraId="694CD15D">
      <w:pPr>
        <w:pStyle w:val="4"/>
        <w:spacing w:line="240" w:lineRule="auto"/>
        <w:rPr>
          <w:rFonts w:hint="eastAsia" w:ascii="仿宋_GB2312" w:hAnsi="仿宋_GB2312" w:eastAsia="仿宋_GB2312" w:cs="仿宋_GB2312"/>
          <w:b/>
          <w:bCs/>
          <w:color w:val="auto"/>
          <w:highlight w:val="none"/>
          <w:lang w:val="en-US" w:eastAsia="zh-CN"/>
        </w:rPr>
      </w:pPr>
      <w:r>
        <w:rPr>
          <w:rFonts w:hint="eastAsia" w:ascii="仿宋_GB2312" w:hAnsi="仿宋_GB2312" w:eastAsia="仿宋_GB2312" w:cs="仿宋_GB2312"/>
          <w:b/>
          <w:bCs/>
          <w:color w:val="auto"/>
          <w:highlight w:val="none"/>
          <w:lang w:val="en-US" w:eastAsia="zh-CN"/>
        </w:rPr>
        <w:t>（二）服务要求</w:t>
      </w:r>
    </w:p>
    <w:p w14:paraId="582064B2">
      <w:pPr>
        <w:pStyle w:val="4"/>
        <w:spacing w:line="240" w:lineRule="auto"/>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t>1.专业能力：具备政务服务系统或企业服务平台运维经验。组建专业团队，团队中应至少有1名具备5年以上相关工作经验的技术负责人，核心成员具备扎实的技术功底与丰富实践经验，能够按期完成平台维护工作，确保平台运行安全稳定。</w:t>
      </w:r>
    </w:p>
    <w:p w14:paraId="729F277A">
      <w:pPr>
        <w:pStyle w:val="4"/>
        <w:spacing w:line="240" w:lineRule="auto"/>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t>2.服务要求：服务商提供7×24小时的技术支持与应急响应服务，跟踪处理过程并反馈结果，确保问题闭环管理；陕西省工业和信息化厅遇有紧急技术事务时可随时启动应急联络机制，服务商应协助研究解决。服务商对本项技术服务应当单独建档，并保存完整的工作记录、维护日志、巡检报告等，对涉及的系统配置、关键数据等应当进行备份并妥善保管。</w:t>
      </w:r>
    </w:p>
    <w:p w14:paraId="3CADD69B">
      <w:pPr>
        <w:pStyle w:val="4"/>
        <w:spacing w:line="240" w:lineRule="auto"/>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t>3.其他要求：服务商因提供的服务存在延误、缺陷、重大遗漏或因违规操作造成系统故障、安全事件的，需承担相应责任。</w:t>
      </w:r>
    </w:p>
    <w:p w14:paraId="3142F9E8">
      <w:pPr>
        <w:pStyle w:val="4"/>
        <w:spacing w:line="240" w:lineRule="auto"/>
        <w:rPr>
          <w:rFonts w:hint="eastAsia" w:ascii="仿宋_GB2312" w:hAnsi="仿宋_GB2312" w:eastAsia="仿宋_GB2312" w:cs="仿宋_GB2312"/>
          <w:b/>
          <w:bCs/>
          <w:color w:val="auto"/>
          <w:highlight w:val="none"/>
          <w:lang w:val="en-US" w:eastAsia="zh-CN"/>
        </w:rPr>
      </w:pPr>
      <w:r>
        <w:rPr>
          <w:rFonts w:hint="eastAsia" w:ascii="仿宋_GB2312" w:hAnsi="仿宋_GB2312" w:eastAsia="仿宋_GB2312" w:cs="仿宋_GB2312"/>
          <w:b/>
          <w:bCs/>
          <w:color w:val="auto"/>
          <w:highlight w:val="none"/>
          <w:lang w:val="en-US" w:eastAsia="zh-CN"/>
        </w:rPr>
        <w:t>（三）项目验收</w:t>
      </w:r>
    </w:p>
    <w:p w14:paraId="1195A7E1">
      <w:pPr>
        <w:pStyle w:val="4"/>
        <w:spacing w:line="240" w:lineRule="auto"/>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t>陕西省工业和信息化厅按照《省级政务信息化项目竣工验收管理办法(试行)》等相关文件要求组织验收。供应商根据陕西省工业和信息化厅验收意见完成整改并经确认后，视为验收合格。</w:t>
      </w:r>
    </w:p>
    <w:p w14:paraId="10D5F44B">
      <w:pPr>
        <w:keepNext w:val="0"/>
        <w:keepLines w:val="0"/>
        <w:pageBreakBefore w:val="0"/>
        <w:kinsoku/>
        <w:wordWrap/>
        <w:overflowPunct/>
        <w:topLinePunct w:val="0"/>
        <w:bidi w:val="0"/>
        <w:adjustRightInd/>
        <w:snapToGrid/>
        <w:spacing w:line="240" w:lineRule="auto"/>
        <w:textAlignment w:val="baseline"/>
        <w:rPr>
          <w:rFonts w:hint="eastAsia" w:ascii="仿宋_GB2312" w:hAnsi="仿宋_GB2312" w:eastAsia="仿宋_GB2312" w:cs="仿宋_GB2312"/>
          <w:b/>
          <w:bCs/>
          <w:color w:val="auto"/>
          <w:kern w:val="0"/>
          <w:sz w:val="20"/>
          <w:szCs w:val="20"/>
          <w:highlight w:val="none"/>
          <w:lang w:val="en-US" w:eastAsia="zh-CN"/>
        </w:rPr>
      </w:pPr>
      <w:r>
        <w:rPr>
          <w:rFonts w:hint="eastAsia" w:ascii="仿宋_GB2312" w:hAnsi="仿宋_GB2312" w:eastAsia="仿宋_GB2312" w:cs="仿宋_GB2312"/>
          <w:b/>
          <w:bCs/>
          <w:color w:val="auto"/>
          <w:kern w:val="0"/>
          <w:sz w:val="20"/>
          <w:szCs w:val="20"/>
          <w:highlight w:val="none"/>
          <w:lang w:val="en-US" w:eastAsia="zh-CN"/>
        </w:rPr>
        <w:t>（四）项目预算</w:t>
      </w:r>
    </w:p>
    <w:p w14:paraId="676A4F6E">
      <w:pPr>
        <w:keepNext w:val="0"/>
        <w:keepLines w:val="0"/>
        <w:pageBreakBefore w:val="0"/>
        <w:kinsoku/>
        <w:wordWrap/>
        <w:overflowPunct/>
        <w:topLinePunct w:val="0"/>
        <w:bidi w:val="0"/>
        <w:adjustRightInd/>
        <w:snapToGrid/>
        <w:spacing w:line="240" w:lineRule="auto"/>
        <w:textAlignment w:val="baseline"/>
        <w:rPr>
          <w:rFonts w:hint="eastAsia" w:ascii="仿宋_GB2312" w:hAnsi="仿宋_GB2312" w:eastAsia="仿宋_GB2312" w:cs="仿宋_GB2312"/>
          <w:color w:val="auto"/>
          <w:kern w:val="0"/>
          <w:sz w:val="20"/>
          <w:szCs w:val="20"/>
          <w:highlight w:val="none"/>
          <w:lang w:val="en-US" w:eastAsia="zh-CN"/>
        </w:rPr>
      </w:pPr>
      <w:r>
        <w:rPr>
          <w:rFonts w:hint="eastAsia" w:ascii="仿宋_GB2312" w:hAnsi="仿宋_GB2312" w:eastAsia="仿宋_GB2312" w:cs="仿宋_GB2312"/>
          <w:color w:val="auto"/>
          <w:kern w:val="0"/>
          <w:sz w:val="20"/>
          <w:szCs w:val="20"/>
          <w:highlight w:val="none"/>
          <w:lang w:val="en-US" w:eastAsia="zh-CN"/>
        </w:rPr>
        <w:t>“陕企通”平台运维服务项目预算为50万元，供应商报价不得超过预算金额，否则按无效投标处理。主要包含基础设施维护服务、软件系统及信息资源维护服务、网络安全专项维护服务、其他应急及备用服务等内容，具体如下：</w:t>
      </w:r>
    </w:p>
    <w:tbl>
      <w:tblPr>
        <w:tblStyle w:val="2"/>
        <w:tblpPr w:leftFromText="180" w:rightFromText="180" w:vertAnchor="text" w:horzAnchor="page" w:tblpXSpec="center" w:tblpY="71"/>
        <w:tblOverlap w:val="never"/>
        <w:tblW w:w="8333" w:type="dxa"/>
        <w:jc w:val="center"/>
        <w:tblLayout w:type="fixed"/>
        <w:tblCellMar>
          <w:top w:w="0" w:type="dxa"/>
          <w:left w:w="108" w:type="dxa"/>
          <w:bottom w:w="0" w:type="dxa"/>
          <w:right w:w="108" w:type="dxa"/>
        </w:tblCellMar>
      </w:tblPr>
      <w:tblGrid>
        <w:gridCol w:w="949"/>
        <w:gridCol w:w="1912"/>
        <w:gridCol w:w="4127"/>
        <w:gridCol w:w="1345"/>
      </w:tblGrid>
      <w:tr w14:paraId="2A3ADD93">
        <w:tblPrEx>
          <w:tblCellMar>
            <w:top w:w="0" w:type="dxa"/>
            <w:left w:w="108" w:type="dxa"/>
            <w:bottom w:w="0" w:type="dxa"/>
            <w:right w:w="108" w:type="dxa"/>
          </w:tblCellMar>
        </w:tblPrEx>
        <w:trPr>
          <w:trHeight w:val="454" w:hRule="atLeast"/>
          <w:tblHeader/>
          <w:jc w:val="center"/>
        </w:trPr>
        <w:tc>
          <w:tcPr>
            <w:tcW w:w="949" w:type="dxa"/>
            <w:tcBorders>
              <w:top w:val="single" w:color="auto" w:sz="4" w:space="0"/>
              <w:left w:val="single" w:color="auto" w:sz="4" w:space="0"/>
              <w:bottom w:val="single" w:color="auto" w:sz="4" w:space="0"/>
              <w:right w:val="single" w:color="auto" w:sz="4" w:space="0"/>
            </w:tcBorders>
            <w:noWrap w:val="0"/>
            <w:vAlign w:val="center"/>
          </w:tcPr>
          <w:p w14:paraId="2C32357D">
            <w:pPr>
              <w:widowControl/>
              <w:snapToGrid w:val="0"/>
              <w:spacing w:line="240" w:lineRule="auto"/>
              <w:jc w:val="center"/>
              <w:textAlignment w:val="center"/>
              <w:rPr>
                <w:rFonts w:hint="eastAsia" w:ascii="仿宋" w:hAnsi="仿宋" w:eastAsia="仿宋" w:cs="仿宋"/>
                <w:b/>
                <w:bCs/>
                <w:color w:val="auto"/>
                <w:sz w:val="20"/>
                <w:szCs w:val="20"/>
                <w:highlight w:val="none"/>
              </w:rPr>
            </w:pPr>
            <w:r>
              <w:rPr>
                <w:rFonts w:hint="eastAsia" w:ascii="仿宋" w:hAnsi="仿宋" w:eastAsia="仿宋" w:cs="仿宋"/>
                <w:b/>
                <w:bCs/>
                <w:color w:val="auto"/>
                <w:kern w:val="0"/>
                <w:sz w:val="20"/>
                <w:szCs w:val="20"/>
                <w:highlight w:val="none"/>
                <w:lang w:bidi="ar"/>
              </w:rPr>
              <w:t>序号</w:t>
            </w:r>
          </w:p>
        </w:tc>
        <w:tc>
          <w:tcPr>
            <w:tcW w:w="1912" w:type="dxa"/>
            <w:tcBorders>
              <w:top w:val="single" w:color="auto" w:sz="4" w:space="0"/>
              <w:left w:val="nil"/>
              <w:bottom w:val="single" w:color="auto" w:sz="4" w:space="0"/>
              <w:right w:val="single" w:color="auto" w:sz="4" w:space="0"/>
            </w:tcBorders>
            <w:noWrap w:val="0"/>
            <w:vAlign w:val="center"/>
          </w:tcPr>
          <w:p w14:paraId="465839DF">
            <w:pPr>
              <w:widowControl/>
              <w:snapToGrid w:val="0"/>
              <w:spacing w:line="240" w:lineRule="auto"/>
              <w:jc w:val="center"/>
              <w:textAlignment w:val="center"/>
              <w:rPr>
                <w:rFonts w:hint="eastAsia" w:ascii="仿宋" w:hAnsi="仿宋" w:eastAsia="仿宋" w:cs="仿宋"/>
                <w:b/>
                <w:bCs/>
                <w:color w:val="auto"/>
                <w:sz w:val="20"/>
                <w:szCs w:val="20"/>
                <w:highlight w:val="none"/>
              </w:rPr>
            </w:pPr>
            <w:r>
              <w:rPr>
                <w:rFonts w:hint="eastAsia" w:ascii="仿宋" w:hAnsi="仿宋" w:eastAsia="仿宋" w:cs="仿宋"/>
                <w:b/>
                <w:bCs/>
                <w:color w:val="auto"/>
                <w:kern w:val="0"/>
                <w:sz w:val="20"/>
                <w:szCs w:val="20"/>
                <w:highlight w:val="none"/>
                <w:lang w:eastAsia="zh-CN" w:bidi="ar"/>
              </w:rPr>
              <w:t>服务</w:t>
            </w:r>
            <w:r>
              <w:rPr>
                <w:rFonts w:hint="eastAsia" w:ascii="仿宋" w:hAnsi="仿宋" w:eastAsia="仿宋" w:cs="仿宋"/>
                <w:b/>
                <w:bCs/>
                <w:color w:val="auto"/>
                <w:kern w:val="0"/>
                <w:sz w:val="20"/>
                <w:szCs w:val="20"/>
                <w:highlight w:val="none"/>
                <w:lang w:bidi="ar"/>
              </w:rPr>
              <w:t>项目</w:t>
            </w:r>
          </w:p>
        </w:tc>
        <w:tc>
          <w:tcPr>
            <w:tcW w:w="4127" w:type="dxa"/>
            <w:tcBorders>
              <w:top w:val="single" w:color="auto" w:sz="4" w:space="0"/>
              <w:left w:val="nil"/>
              <w:bottom w:val="single" w:color="auto" w:sz="4" w:space="0"/>
              <w:right w:val="single" w:color="auto" w:sz="4" w:space="0"/>
            </w:tcBorders>
            <w:noWrap w:val="0"/>
            <w:vAlign w:val="center"/>
          </w:tcPr>
          <w:p w14:paraId="2BE7AD7F">
            <w:pPr>
              <w:widowControl/>
              <w:snapToGrid w:val="0"/>
              <w:spacing w:line="240" w:lineRule="auto"/>
              <w:jc w:val="center"/>
              <w:textAlignment w:val="center"/>
              <w:rPr>
                <w:rFonts w:hint="eastAsia" w:ascii="仿宋" w:hAnsi="仿宋" w:eastAsia="仿宋" w:cs="仿宋"/>
                <w:b/>
                <w:bCs/>
                <w:color w:val="auto"/>
                <w:sz w:val="20"/>
                <w:szCs w:val="20"/>
                <w:highlight w:val="none"/>
                <w:lang w:eastAsia="zh-CN"/>
              </w:rPr>
            </w:pPr>
            <w:r>
              <w:rPr>
                <w:rFonts w:hint="eastAsia" w:ascii="仿宋" w:hAnsi="仿宋" w:eastAsia="仿宋" w:cs="仿宋"/>
                <w:b/>
                <w:bCs/>
                <w:color w:val="auto"/>
                <w:sz w:val="20"/>
                <w:szCs w:val="20"/>
                <w:highlight w:val="none"/>
                <w:lang w:eastAsia="zh-CN"/>
              </w:rPr>
              <w:t>内容说明</w:t>
            </w:r>
          </w:p>
        </w:tc>
        <w:tc>
          <w:tcPr>
            <w:tcW w:w="1345" w:type="dxa"/>
            <w:tcBorders>
              <w:top w:val="single" w:color="auto" w:sz="4" w:space="0"/>
              <w:left w:val="nil"/>
              <w:bottom w:val="single" w:color="auto" w:sz="4" w:space="0"/>
              <w:right w:val="single" w:color="auto" w:sz="4" w:space="0"/>
            </w:tcBorders>
            <w:noWrap w:val="0"/>
            <w:vAlign w:val="center"/>
          </w:tcPr>
          <w:p w14:paraId="230A5268">
            <w:pPr>
              <w:widowControl/>
              <w:snapToGrid w:val="0"/>
              <w:spacing w:line="240" w:lineRule="auto"/>
              <w:jc w:val="center"/>
              <w:textAlignment w:val="center"/>
              <w:rPr>
                <w:rFonts w:hint="eastAsia" w:ascii="仿宋" w:hAnsi="仿宋" w:eastAsia="仿宋" w:cs="仿宋"/>
                <w:b/>
                <w:bCs/>
                <w:color w:val="auto"/>
                <w:sz w:val="20"/>
                <w:szCs w:val="20"/>
                <w:highlight w:val="none"/>
              </w:rPr>
            </w:pPr>
            <w:r>
              <w:rPr>
                <w:rFonts w:hint="eastAsia" w:ascii="仿宋" w:hAnsi="仿宋" w:eastAsia="仿宋" w:cs="仿宋"/>
                <w:b/>
                <w:bCs/>
                <w:color w:val="auto"/>
                <w:kern w:val="0"/>
                <w:sz w:val="20"/>
                <w:szCs w:val="20"/>
                <w:highlight w:val="none"/>
                <w:lang w:bidi="ar"/>
              </w:rPr>
              <w:t>金额</w:t>
            </w:r>
          </w:p>
        </w:tc>
      </w:tr>
      <w:tr w14:paraId="25A1FFF5">
        <w:tblPrEx>
          <w:tblCellMar>
            <w:top w:w="0" w:type="dxa"/>
            <w:left w:w="108" w:type="dxa"/>
            <w:bottom w:w="0" w:type="dxa"/>
            <w:right w:w="108" w:type="dxa"/>
          </w:tblCellMar>
        </w:tblPrEx>
        <w:trPr>
          <w:trHeight w:val="454" w:hRule="atLeast"/>
          <w:jc w:val="center"/>
        </w:trPr>
        <w:tc>
          <w:tcPr>
            <w:tcW w:w="949" w:type="dxa"/>
            <w:vMerge w:val="restart"/>
            <w:tcBorders>
              <w:top w:val="nil"/>
              <w:left w:val="single" w:color="auto" w:sz="4" w:space="0"/>
              <w:bottom w:val="single" w:color="000000" w:sz="4" w:space="0"/>
              <w:right w:val="single" w:color="auto" w:sz="4" w:space="0"/>
            </w:tcBorders>
            <w:noWrap w:val="0"/>
            <w:vAlign w:val="center"/>
          </w:tcPr>
          <w:p w14:paraId="4970B870">
            <w:pPr>
              <w:widowControl/>
              <w:snapToGrid w:val="0"/>
              <w:spacing w:line="240" w:lineRule="auto"/>
              <w:jc w:val="center"/>
              <w:textAlignment w:val="center"/>
              <w:rPr>
                <w:rFonts w:hint="eastAsia" w:ascii="仿宋" w:hAnsi="仿宋" w:eastAsia="仿宋" w:cs="仿宋"/>
                <w:color w:val="auto"/>
                <w:sz w:val="20"/>
                <w:szCs w:val="20"/>
                <w:highlight w:val="none"/>
                <w:lang w:eastAsia="zh-CN"/>
              </w:rPr>
            </w:pPr>
            <w:r>
              <w:rPr>
                <w:rFonts w:hint="eastAsia" w:ascii="仿宋" w:hAnsi="仿宋" w:eastAsia="仿宋" w:cs="仿宋"/>
                <w:color w:val="auto"/>
                <w:kern w:val="0"/>
                <w:sz w:val="20"/>
                <w:szCs w:val="20"/>
                <w:highlight w:val="none"/>
                <w:lang w:val="en-US" w:eastAsia="zh-CN" w:bidi="ar"/>
              </w:rPr>
              <w:t>1</w:t>
            </w:r>
          </w:p>
        </w:tc>
        <w:tc>
          <w:tcPr>
            <w:tcW w:w="1912" w:type="dxa"/>
            <w:vMerge w:val="restart"/>
            <w:tcBorders>
              <w:top w:val="nil"/>
              <w:left w:val="single" w:color="auto" w:sz="4" w:space="0"/>
              <w:bottom w:val="single" w:color="auto" w:sz="4" w:space="0"/>
              <w:right w:val="single" w:color="auto" w:sz="4" w:space="0"/>
            </w:tcBorders>
            <w:noWrap w:val="0"/>
            <w:vAlign w:val="center"/>
          </w:tcPr>
          <w:p w14:paraId="5C5216DA">
            <w:pPr>
              <w:widowControl/>
              <w:snapToGrid w:val="0"/>
              <w:spacing w:line="240" w:lineRule="auto"/>
              <w:jc w:val="center"/>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基础设施维护服务</w:t>
            </w:r>
          </w:p>
        </w:tc>
        <w:tc>
          <w:tcPr>
            <w:tcW w:w="4127" w:type="dxa"/>
            <w:tcBorders>
              <w:top w:val="nil"/>
              <w:left w:val="nil"/>
              <w:bottom w:val="single" w:color="auto" w:sz="4" w:space="0"/>
              <w:right w:val="single" w:color="auto" w:sz="4" w:space="0"/>
            </w:tcBorders>
            <w:noWrap w:val="0"/>
            <w:vAlign w:val="center"/>
          </w:tcPr>
          <w:p w14:paraId="7D83FA1A">
            <w:pPr>
              <w:widowControl/>
              <w:snapToGrid w:val="0"/>
              <w:spacing w:line="240" w:lineRule="auto"/>
              <w:jc w:val="left"/>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应用服务器7×24小时监控维护</w:t>
            </w:r>
          </w:p>
        </w:tc>
        <w:tc>
          <w:tcPr>
            <w:tcW w:w="1345" w:type="dxa"/>
            <w:vMerge w:val="restart"/>
            <w:tcBorders>
              <w:top w:val="nil"/>
              <w:left w:val="nil"/>
              <w:right w:val="single" w:color="auto" w:sz="4" w:space="0"/>
            </w:tcBorders>
            <w:noWrap w:val="0"/>
            <w:vAlign w:val="center"/>
          </w:tcPr>
          <w:p w14:paraId="0D374F4F">
            <w:pPr>
              <w:widowControl/>
              <w:snapToGrid w:val="0"/>
              <w:spacing w:line="240" w:lineRule="auto"/>
              <w:jc w:val="center"/>
              <w:textAlignment w:val="center"/>
              <w:rPr>
                <w:rFonts w:hint="eastAsia" w:ascii="仿宋" w:hAnsi="仿宋" w:eastAsia="仿宋" w:cs="仿宋"/>
                <w:color w:val="auto"/>
                <w:sz w:val="20"/>
                <w:szCs w:val="20"/>
                <w:highlight w:val="none"/>
                <w:lang w:val="en-US" w:eastAsia="zh-CN"/>
              </w:rPr>
            </w:pPr>
            <w:r>
              <w:rPr>
                <w:rFonts w:hint="eastAsia" w:ascii="仿宋" w:hAnsi="仿宋" w:eastAsia="仿宋" w:cs="仿宋"/>
                <w:b/>
                <w:bCs/>
                <w:color w:val="auto"/>
                <w:kern w:val="0"/>
                <w:sz w:val="20"/>
                <w:szCs w:val="20"/>
                <w:highlight w:val="none"/>
                <w:lang w:val="en-US" w:eastAsia="zh-CN" w:bidi="ar"/>
              </w:rPr>
              <w:t>50</w:t>
            </w:r>
            <w:r>
              <w:rPr>
                <w:rFonts w:hint="eastAsia" w:ascii="仿宋" w:hAnsi="仿宋" w:eastAsia="仿宋" w:cs="仿宋"/>
                <w:b/>
                <w:bCs/>
                <w:color w:val="auto"/>
                <w:kern w:val="0"/>
                <w:sz w:val="20"/>
                <w:szCs w:val="20"/>
                <w:highlight w:val="none"/>
                <w:lang w:bidi="ar"/>
              </w:rPr>
              <w:t>0,000.00</w:t>
            </w:r>
          </w:p>
        </w:tc>
      </w:tr>
      <w:tr w14:paraId="7FA12048">
        <w:tblPrEx>
          <w:tblCellMar>
            <w:top w:w="0" w:type="dxa"/>
            <w:left w:w="108" w:type="dxa"/>
            <w:bottom w:w="0" w:type="dxa"/>
            <w:right w:w="108" w:type="dxa"/>
          </w:tblCellMar>
        </w:tblPrEx>
        <w:trPr>
          <w:trHeight w:val="454" w:hRule="atLeast"/>
          <w:jc w:val="center"/>
        </w:trPr>
        <w:tc>
          <w:tcPr>
            <w:tcW w:w="949" w:type="dxa"/>
            <w:vMerge w:val="continue"/>
            <w:tcBorders>
              <w:top w:val="nil"/>
              <w:left w:val="single" w:color="auto" w:sz="4" w:space="0"/>
              <w:bottom w:val="single" w:color="000000" w:sz="4" w:space="0"/>
              <w:right w:val="single" w:color="auto" w:sz="4" w:space="0"/>
            </w:tcBorders>
            <w:noWrap w:val="0"/>
            <w:vAlign w:val="center"/>
          </w:tcPr>
          <w:p w14:paraId="0557AC0E">
            <w:pPr>
              <w:snapToGrid w:val="0"/>
              <w:spacing w:line="240" w:lineRule="auto"/>
              <w:jc w:val="center"/>
              <w:rPr>
                <w:rFonts w:hint="eastAsia" w:ascii="仿宋" w:hAnsi="仿宋" w:eastAsia="仿宋" w:cs="仿宋"/>
                <w:color w:val="auto"/>
                <w:sz w:val="20"/>
                <w:szCs w:val="20"/>
                <w:highlight w:val="none"/>
              </w:rPr>
            </w:pPr>
          </w:p>
        </w:tc>
        <w:tc>
          <w:tcPr>
            <w:tcW w:w="1912" w:type="dxa"/>
            <w:vMerge w:val="continue"/>
            <w:tcBorders>
              <w:top w:val="nil"/>
              <w:left w:val="single" w:color="auto" w:sz="4" w:space="0"/>
              <w:bottom w:val="single" w:color="auto" w:sz="4" w:space="0"/>
              <w:right w:val="single" w:color="auto" w:sz="4" w:space="0"/>
            </w:tcBorders>
            <w:noWrap w:val="0"/>
            <w:vAlign w:val="center"/>
          </w:tcPr>
          <w:p w14:paraId="70E39E0B">
            <w:pPr>
              <w:snapToGrid w:val="0"/>
              <w:spacing w:line="240" w:lineRule="auto"/>
              <w:jc w:val="center"/>
              <w:rPr>
                <w:rFonts w:hint="eastAsia" w:ascii="仿宋" w:hAnsi="仿宋" w:eastAsia="仿宋" w:cs="仿宋"/>
                <w:color w:val="auto"/>
                <w:sz w:val="20"/>
                <w:szCs w:val="20"/>
                <w:highlight w:val="none"/>
              </w:rPr>
            </w:pPr>
          </w:p>
        </w:tc>
        <w:tc>
          <w:tcPr>
            <w:tcW w:w="4127" w:type="dxa"/>
            <w:tcBorders>
              <w:top w:val="nil"/>
              <w:left w:val="nil"/>
              <w:bottom w:val="single" w:color="auto" w:sz="4" w:space="0"/>
              <w:right w:val="single" w:color="auto" w:sz="4" w:space="0"/>
            </w:tcBorders>
            <w:noWrap w:val="0"/>
            <w:vAlign w:val="center"/>
          </w:tcPr>
          <w:p w14:paraId="5F8DB491">
            <w:pPr>
              <w:widowControl/>
              <w:snapToGrid w:val="0"/>
              <w:spacing w:line="240" w:lineRule="auto"/>
              <w:jc w:val="left"/>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应用中间件维护</w:t>
            </w:r>
          </w:p>
        </w:tc>
        <w:tc>
          <w:tcPr>
            <w:tcW w:w="1345" w:type="dxa"/>
            <w:vMerge w:val="continue"/>
            <w:tcBorders>
              <w:left w:val="nil"/>
              <w:right w:val="single" w:color="auto" w:sz="4" w:space="0"/>
            </w:tcBorders>
            <w:noWrap w:val="0"/>
            <w:vAlign w:val="center"/>
          </w:tcPr>
          <w:p w14:paraId="2C9BB500">
            <w:pPr>
              <w:widowControl/>
              <w:snapToGrid w:val="0"/>
              <w:spacing w:line="240" w:lineRule="auto"/>
              <w:jc w:val="center"/>
              <w:textAlignment w:val="center"/>
              <w:rPr>
                <w:rFonts w:hint="eastAsia" w:ascii="仿宋" w:hAnsi="仿宋" w:eastAsia="仿宋" w:cs="仿宋"/>
                <w:color w:val="auto"/>
                <w:sz w:val="20"/>
                <w:szCs w:val="20"/>
                <w:highlight w:val="none"/>
              </w:rPr>
            </w:pPr>
          </w:p>
        </w:tc>
      </w:tr>
      <w:tr w14:paraId="65D9AD3C">
        <w:tblPrEx>
          <w:tblCellMar>
            <w:top w:w="0" w:type="dxa"/>
            <w:left w:w="108" w:type="dxa"/>
            <w:bottom w:w="0" w:type="dxa"/>
            <w:right w:w="108" w:type="dxa"/>
          </w:tblCellMar>
        </w:tblPrEx>
        <w:trPr>
          <w:trHeight w:val="454" w:hRule="atLeast"/>
          <w:jc w:val="center"/>
        </w:trPr>
        <w:tc>
          <w:tcPr>
            <w:tcW w:w="949" w:type="dxa"/>
            <w:vMerge w:val="continue"/>
            <w:tcBorders>
              <w:top w:val="nil"/>
              <w:left w:val="single" w:color="auto" w:sz="4" w:space="0"/>
              <w:bottom w:val="single" w:color="000000" w:sz="4" w:space="0"/>
              <w:right w:val="single" w:color="auto" w:sz="4" w:space="0"/>
            </w:tcBorders>
            <w:noWrap w:val="0"/>
            <w:vAlign w:val="center"/>
          </w:tcPr>
          <w:p w14:paraId="1BB3FEBF">
            <w:pPr>
              <w:snapToGrid w:val="0"/>
              <w:spacing w:line="240" w:lineRule="auto"/>
              <w:jc w:val="center"/>
              <w:rPr>
                <w:rFonts w:hint="eastAsia" w:ascii="仿宋" w:hAnsi="仿宋" w:eastAsia="仿宋" w:cs="仿宋"/>
                <w:color w:val="auto"/>
                <w:sz w:val="20"/>
                <w:szCs w:val="20"/>
                <w:highlight w:val="none"/>
              </w:rPr>
            </w:pPr>
          </w:p>
        </w:tc>
        <w:tc>
          <w:tcPr>
            <w:tcW w:w="1912" w:type="dxa"/>
            <w:vMerge w:val="continue"/>
            <w:tcBorders>
              <w:top w:val="nil"/>
              <w:left w:val="single" w:color="auto" w:sz="4" w:space="0"/>
              <w:bottom w:val="single" w:color="auto" w:sz="4" w:space="0"/>
              <w:right w:val="single" w:color="auto" w:sz="4" w:space="0"/>
            </w:tcBorders>
            <w:noWrap w:val="0"/>
            <w:vAlign w:val="center"/>
          </w:tcPr>
          <w:p w14:paraId="0B3C4CD4">
            <w:pPr>
              <w:snapToGrid w:val="0"/>
              <w:spacing w:line="240" w:lineRule="auto"/>
              <w:jc w:val="center"/>
              <w:rPr>
                <w:rFonts w:hint="eastAsia" w:ascii="仿宋" w:hAnsi="仿宋" w:eastAsia="仿宋" w:cs="仿宋"/>
                <w:color w:val="auto"/>
                <w:sz w:val="20"/>
                <w:szCs w:val="20"/>
                <w:highlight w:val="none"/>
              </w:rPr>
            </w:pPr>
          </w:p>
        </w:tc>
        <w:tc>
          <w:tcPr>
            <w:tcW w:w="4127" w:type="dxa"/>
            <w:tcBorders>
              <w:top w:val="nil"/>
              <w:left w:val="nil"/>
              <w:bottom w:val="single" w:color="auto" w:sz="4" w:space="0"/>
              <w:right w:val="single" w:color="auto" w:sz="4" w:space="0"/>
            </w:tcBorders>
            <w:noWrap w:val="0"/>
            <w:vAlign w:val="center"/>
          </w:tcPr>
          <w:p w14:paraId="5D45222B">
            <w:pPr>
              <w:widowControl/>
              <w:snapToGrid w:val="0"/>
              <w:spacing w:line="240" w:lineRule="auto"/>
              <w:jc w:val="left"/>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数据库监控维护</w:t>
            </w:r>
          </w:p>
        </w:tc>
        <w:tc>
          <w:tcPr>
            <w:tcW w:w="1345" w:type="dxa"/>
            <w:vMerge w:val="continue"/>
            <w:tcBorders>
              <w:left w:val="nil"/>
              <w:right w:val="single" w:color="auto" w:sz="4" w:space="0"/>
            </w:tcBorders>
            <w:noWrap w:val="0"/>
            <w:vAlign w:val="center"/>
          </w:tcPr>
          <w:p w14:paraId="66B075CD">
            <w:pPr>
              <w:widowControl/>
              <w:snapToGrid w:val="0"/>
              <w:spacing w:line="240" w:lineRule="auto"/>
              <w:jc w:val="center"/>
              <w:textAlignment w:val="center"/>
              <w:rPr>
                <w:rFonts w:hint="eastAsia" w:ascii="仿宋" w:hAnsi="仿宋" w:eastAsia="仿宋" w:cs="仿宋"/>
                <w:color w:val="auto"/>
                <w:sz w:val="20"/>
                <w:szCs w:val="20"/>
                <w:highlight w:val="none"/>
              </w:rPr>
            </w:pPr>
          </w:p>
        </w:tc>
      </w:tr>
      <w:tr w14:paraId="57EC5F9C">
        <w:tblPrEx>
          <w:tblCellMar>
            <w:top w:w="0" w:type="dxa"/>
            <w:left w:w="108" w:type="dxa"/>
            <w:bottom w:w="0" w:type="dxa"/>
            <w:right w:w="108" w:type="dxa"/>
          </w:tblCellMar>
        </w:tblPrEx>
        <w:trPr>
          <w:trHeight w:val="454" w:hRule="atLeast"/>
          <w:jc w:val="center"/>
        </w:trPr>
        <w:tc>
          <w:tcPr>
            <w:tcW w:w="949" w:type="dxa"/>
            <w:vMerge w:val="continue"/>
            <w:tcBorders>
              <w:top w:val="nil"/>
              <w:left w:val="single" w:color="auto" w:sz="4" w:space="0"/>
              <w:bottom w:val="single" w:color="000000" w:sz="4" w:space="0"/>
              <w:right w:val="single" w:color="auto" w:sz="4" w:space="0"/>
            </w:tcBorders>
            <w:noWrap w:val="0"/>
            <w:vAlign w:val="center"/>
          </w:tcPr>
          <w:p w14:paraId="74A8CE7E">
            <w:pPr>
              <w:snapToGrid w:val="0"/>
              <w:spacing w:line="240" w:lineRule="auto"/>
              <w:jc w:val="center"/>
              <w:rPr>
                <w:rFonts w:hint="eastAsia" w:ascii="仿宋" w:hAnsi="仿宋" w:eastAsia="仿宋" w:cs="仿宋"/>
                <w:color w:val="auto"/>
                <w:sz w:val="20"/>
                <w:szCs w:val="20"/>
                <w:highlight w:val="none"/>
              </w:rPr>
            </w:pPr>
          </w:p>
        </w:tc>
        <w:tc>
          <w:tcPr>
            <w:tcW w:w="1912" w:type="dxa"/>
            <w:vMerge w:val="continue"/>
            <w:tcBorders>
              <w:top w:val="nil"/>
              <w:left w:val="single" w:color="auto" w:sz="4" w:space="0"/>
              <w:bottom w:val="single" w:color="auto" w:sz="4" w:space="0"/>
              <w:right w:val="single" w:color="auto" w:sz="4" w:space="0"/>
            </w:tcBorders>
            <w:noWrap w:val="0"/>
            <w:vAlign w:val="center"/>
          </w:tcPr>
          <w:p w14:paraId="4EA34778">
            <w:pPr>
              <w:snapToGrid w:val="0"/>
              <w:spacing w:line="240" w:lineRule="auto"/>
              <w:jc w:val="center"/>
              <w:rPr>
                <w:rFonts w:hint="eastAsia" w:ascii="仿宋" w:hAnsi="仿宋" w:eastAsia="仿宋" w:cs="仿宋"/>
                <w:color w:val="auto"/>
                <w:sz w:val="20"/>
                <w:szCs w:val="20"/>
                <w:highlight w:val="none"/>
              </w:rPr>
            </w:pPr>
          </w:p>
        </w:tc>
        <w:tc>
          <w:tcPr>
            <w:tcW w:w="4127" w:type="dxa"/>
            <w:tcBorders>
              <w:top w:val="nil"/>
              <w:left w:val="nil"/>
              <w:bottom w:val="single" w:color="auto" w:sz="4" w:space="0"/>
              <w:right w:val="single" w:color="auto" w:sz="4" w:space="0"/>
            </w:tcBorders>
            <w:noWrap w:val="0"/>
            <w:vAlign w:val="center"/>
          </w:tcPr>
          <w:p w14:paraId="1D8FC249">
            <w:pPr>
              <w:widowControl/>
              <w:snapToGrid w:val="0"/>
              <w:spacing w:line="240" w:lineRule="auto"/>
              <w:jc w:val="left"/>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基础设施日常安全巡检</w:t>
            </w:r>
          </w:p>
        </w:tc>
        <w:tc>
          <w:tcPr>
            <w:tcW w:w="1345" w:type="dxa"/>
            <w:vMerge w:val="continue"/>
            <w:tcBorders>
              <w:left w:val="nil"/>
              <w:right w:val="single" w:color="auto" w:sz="4" w:space="0"/>
            </w:tcBorders>
            <w:noWrap w:val="0"/>
            <w:vAlign w:val="center"/>
          </w:tcPr>
          <w:p w14:paraId="2BFB1FC2">
            <w:pPr>
              <w:widowControl/>
              <w:snapToGrid w:val="0"/>
              <w:spacing w:line="240" w:lineRule="auto"/>
              <w:jc w:val="center"/>
              <w:textAlignment w:val="center"/>
              <w:rPr>
                <w:rFonts w:hint="eastAsia" w:ascii="仿宋" w:hAnsi="仿宋" w:eastAsia="仿宋" w:cs="仿宋"/>
                <w:color w:val="auto"/>
                <w:sz w:val="20"/>
                <w:szCs w:val="20"/>
                <w:highlight w:val="none"/>
              </w:rPr>
            </w:pPr>
          </w:p>
        </w:tc>
      </w:tr>
      <w:tr w14:paraId="48C1BC1C">
        <w:tblPrEx>
          <w:tblCellMar>
            <w:top w:w="0" w:type="dxa"/>
            <w:left w:w="108" w:type="dxa"/>
            <w:bottom w:w="0" w:type="dxa"/>
            <w:right w:w="108" w:type="dxa"/>
          </w:tblCellMar>
        </w:tblPrEx>
        <w:trPr>
          <w:trHeight w:val="454" w:hRule="atLeast"/>
          <w:jc w:val="center"/>
        </w:trPr>
        <w:tc>
          <w:tcPr>
            <w:tcW w:w="949" w:type="dxa"/>
            <w:vMerge w:val="restart"/>
            <w:tcBorders>
              <w:top w:val="nil"/>
              <w:left w:val="single" w:color="auto" w:sz="4" w:space="0"/>
              <w:bottom w:val="single" w:color="000000" w:sz="4" w:space="0"/>
              <w:right w:val="single" w:color="auto" w:sz="4" w:space="0"/>
            </w:tcBorders>
            <w:noWrap w:val="0"/>
            <w:vAlign w:val="center"/>
          </w:tcPr>
          <w:p w14:paraId="11245688">
            <w:pPr>
              <w:widowControl/>
              <w:snapToGrid w:val="0"/>
              <w:spacing w:line="240" w:lineRule="auto"/>
              <w:jc w:val="center"/>
              <w:textAlignment w:val="center"/>
              <w:rPr>
                <w:rFonts w:hint="eastAsia" w:ascii="仿宋" w:hAnsi="仿宋" w:eastAsia="仿宋" w:cs="仿宋"/>
                <w:color w:val="auto"/>
                <w:sz w:val="20"/>
                <w:szCs w:val="20"/>
                <w:highlight w:val="none"/>
                <w:lang w:eastAsia="zh-CN"/>
              </w:rPr>
            </w:pPr>
            <w:r>
              <w:rPr>
                <w:rFonts w:hint="eastAsia" w:ascii="仿宋" w:hAnsi="仿宋" w:eastAsia="仿宋" w:cs="仿宋"/>
                <w:color w:val="auto"/>
                <w:kern w:val="0"/>
                <w:sz w:val="20"/>
                <w:szCs w:val="20"/>
                <w:highlight w:val="none"/>
                <w:lang w:val="en-US" w:eastAsia="zh-CN" w:bidi="ar"/>
              </w:rPr>
              <w:t>2</w:t>
            </w:r>
          </w:p>
        </w:tc>
        <w:tc>
          <w:tcPr>
            <w:tcW w:w="1912" w:type="dxa"/>
            <w:vMerge w:val="restart"/>
            <w:tcBorders>
              <w:top w:val="nil"/>
              <w:left w:val="single" w:color="auto" w:sz="4" w:space="0"/>
              <w:bottom w:val="single" w:color="auto" w:sz="4" w:space="0"/>
              <w:right w:val="single" w:color="auto" w:sz="4" w:space="0"/>
            </w:tcBorders>
            <w:noWrap w:val="0"/>
            <w:vAlign w:val="center"/>
          </w:tcPr>
          <w:p w14:paraId="0423F970">
            <w:pPr>
              <w:widowControl/>
              <w:snapToGrid w:val="0"/>
              <w:spacing w:line="240" w:lineRule="auto"/>
              <w:jc w:val="center"/>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软件系统及信息资源维护、平台功能优化</w:t>
            </w:r>
            <w:r>
              <w:rPr>
                <w:rFonts w:hint="eastAsia" w:ascii="仿宋" w:hAnsi="仿宋" w:eastAsia="仿宋" w:cs="仿宋"/>
                <w:color w:val="auto"/>
                <w:kern w:val="0"/>
                <w:sz w:val="20"/>
                <w:szCs w:val="20"/>
                <w:highlight w:val="none"/>
                <w:lang w:eastAsia="zh-CN" w:bidi="ar"/>
              </w:rPr>
              <w:t>等</w:t>
            </w:r>
            <w:r>
              <w:rPr>
                <w:rFonts w:hint="eastAsia" w:ascii="仿宋" w:hAnsi="仿宋" w:eastAsia="仿宋" w:cs="仿宋"/>
                <w:color w:val="auto"/>
                <w:kern w:val="0"/>
                <w:sz w:val="20"/>
                <w:szCs w:val="20"/>
                <w:highlight w:val="none"/>
                <w:lang w:bidi="ar"/>
              </w:rPr>
              <w:t>服务</w:t>
            </w:r>
          </w:p>
        </w:tc>
        <w:tc>
          <w:tcPr>
            <w:tcW w:w="4127" w:type="dxa"/>
            <w:tcBorders>
              <w:top w:val="nil"/>
              <w:left w:val="nil"/>
              <w:bottom w:val="single" w:color="auto" w:sz="4" w:space="0"/>
              <w:right w:val="single" w:color="auto" w:sz="4" w:space="0"/>
            </w:tcBorders>
            <w:noWrap w:val="0"/>
            <w:vAlign w:val="center"/>
          </w:tcPr>
          <w:p w14:paraId="73C8C3D8">
            <w:pPr>
              <w:widowControl/>
              <w:snapToGrid w:val="0"/>
              <w:spacing w:line="240" w:lineRule="auto"/>
              <w:jc w:val="left"/>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核心功能7×24小时监控、故障修复及功能优化</w:t>
            </w:r>
          </w:p>
        </w:tc>
        <w:tc>
          <w:tcPr>
            <w:tcW w:w="1345" w:type="dxa"/>
            <w:vMerge w:val="continue"/>
            <w:tcBorders>
              <w:left w:val="nil"/>
              <w:right w:val="single" w:color="auto" w:sz="4" w:space="0"/>
            </w:tcBorders>
            <w:noWrap w:val="0"/>
            <w:vAlign w:val="center"/>
          </w:tcPr>
          <w:p w14:paraId="264DBF8B">
            <w:pPr>
              <w:widowControl/>
              <w:snapToGrid w:val="0"/>
              <w:spacing w:line="240" w:lineRule="auto"/>
              <w:jc w:val="center"/>
              <w:textAlignment w:val="center"/>
              <w:rPr>
                <w:rFonts w:hint="eastAsia" w:ascii="仿宋" w:hAnsi="仿宋" w:eastAsia="仿宋" w:cs="仿宋"/>
                <w:color w:val="auto"/>
                <w:sz w:val="20"/>
                <w:szCs w:val="20"/>
                <w:highlight w:val="none"/>
              </w:rPr>
            </w:pPr>
          </w:p>
        </w:tc>
      </w:tr>
      <w:tr w14:paraId="2D554C40">
        <w:tblPrEx>
          <w:tblCellMar>
            <w:top w:w="0" w:type="dxa"/>
            <w:left w:w="108" w:type="dxa"/>
            <w:bottom w:w="0" w:type="dxa"/>
            <w:right w:w="108" w:type="dxa"/>
          </w:tblCellMar>
        </w:tblPrEx>
        <w:trPr>
          <w:trHeight w:val="454" w:hRule="atLeast"/>
          <w:jc w:val="center"/>
        </w:trPr>
        <w:tc>
          <w:tcPr>
            <w:tcW w:w="949" w:type="dxa"/>
            <w:vMerge w:val="continue"/>
            <w:tcBorders>
              <w:top w:val="nil"/>
              <w:left w:val="single" w:color="auto" w:sz="4" w:space="0"/>
              <w:bottom w:val="single" w:color="000000" w:sz="4" w:space="0"/>
              <w:right w:val="single" w:color="auto" w:sz="4" w:space="0"/>
            </w:tcBorders>
            <w:noWrap w:val="0"/>
            <w:vAlign w:val="center"/>
          </w:tcPr>
          <w:p w14:paraId="323D23CF">
            <w:pPr>
              <w:snapToGrid w:val="0"/>
              <w:spacing w:line="240" w:lineRule="auto"/>
              <w:jc w:val="center"/>
              <w:rPr>
                <w:rFonts w:hint="eastAsia" w:ascii="仿宋" w:hAnsi="仿宋" w:eastAsia="仿宋" w:cs="仿宋"/>
                <w:color w:val="auto"/>
                <w:sz w:val="20"/>
                <w:szCs w:val="20"/>
                <w:highlight w:val="none"/>
              </w:rPr>
            </w:pPr>
          </w:p>
        </w:tc>
        <w:tc>
          <w:tcPr>
            <w:tcW w:w="1912" w:type="dxa"/>
            <w:vMerge w:val="continue"/>
            <w:tcBorders>
              <w:top w:val="nil"/>
              <w:left w:val="single" w:color="auto" w:sz="4" w:space="0"/>
              <w:bottom w:val="single" w:color="auto" w:sz="4" w:space="0"/>
              <w:right w:val="single" w:color="auto" w:sz="4" w:space="0"/>
            </w:tcBorders>
            <w:noWrap w:val="0"/>
            <w:vAlign w:val="center"/>
          </w:tcPr>
          <w:p w14:paraId="3571E795">
            <w:pPr>
              <w:snapToGrid w:val="0"/>
              <w:spacing w:line="240" w:lineRule="auto"/>
              <w:jc w:val="center"/>
              <w:rPr>
                <w:rFonts w:hint="eastAsia" w:ascii="仿宋" w:hAnsi="仿宋" w:eastAsia="仿宋" w:cs="仿宋"/>
                <w:color w:val="auto"/>
                <w:sz w:val="20"/>
                <w:szCs w:val="20"/>
                <w:highlight w:val="none"/>
              </w:rPr>
            </w:pPr>
          </w:p>
        </w:tc>
        <w:tc>
          <w:tcPr>
            <w:tcW w:w="4127" w:type="dxa"/>
            <w:tcBorders>
              <w:top w:val="nil"/>
              <w:left w:val="nil"/>
              <w:bottom w:val="single" w:color="auto" w:sz="4" w:space="0"/>
              <w:right w:val="single" w:color="auto" w:sz="4" w:space="0"/>
            </w:tcBorders>
            <w:noWrap w:val="0"/>
            <w:vAlign w:val="center"/>
          </w:tcPr>
          <w:p w14:paraId="2D0AD805">
            <w:pPr>
              <w:widowControl/>
              <w:snapToGrid w:val="0"/>
              <w:spacing w:line="240" w:lineRule="auto"/>
              <w:jc w:val="left"/>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跨平台对接技术支撑</w:t>
            </w:r>
          </w:p>
        </w:tc>
        <w:tc>
          <w:tcPr>
            <w:tcW w:w="1345" w:type="dxa"/>
            <w:vMerge w:val="continue"/>
            <w:tcBorders>
              <w:left w:val="nil"/>
              <w:right w:val="single" w:color="auto" w:sz="4" w:space="0"/>
            </w:tcBorders>
            <w:noWrap w:val="0"/>
            <w:vAlign w:val="center"/>
          </w:tcPr>
          <w:p w14:paraId="66FDD508">
            <w:pPr>
              <w:widowControl/>
              <w:snapToGrid w:val="0"/>
              <w:spacing w:line="240" w:lineRule="auto"/>
              <w:jc w:val="center"/>
              <w:textAlignment w:val="center"/>
              <w:rPr>
                <w:rFonts w:hint="eastAsia" w:ascii="仿宋" w:hAnsi="仿宋" w:eastAsia="仿宋" w:cs="仿宋"/>
                <w:color w:val="auto"/>
                <w:sz w:val="20"/>
                <w:szCs w:val="20"/>
                <w:highlight w:val="none"/>
              </w:rPr>
            </w:pPr>
          </w:p>
        </w:tc>
      </w:tr>
      <w:tr w14:paraId="4EF0F524">
        <w:tblPrEx>
          <w:tblCellMar>
            <w:top w:w="0" w:type="dxa"/>
            <w:left w:w="108" w:type="dxa"/>
            <w:bottom w:w="0" w:type="dxa"/>
            <w:right w:w="108" w:type="dxa"/>
          </w:tblCellMar>
        </w:tblPrEx>
        <w:trPr>
          <w:trHeight w:val="454" w:hRule="atLeast"/>
          <w:jc w:val="center"/>
        </w:trPr>
        <w:tc>
          <w:tcPr>
            <w:tcW w:w="949" w:type="dxa"/>
            <w:vMerge w:val="continue"/>
            <w:tcBorders>
              <w:top w:val="nil"/>
              <w:left w:val="single" w:color="auto" w:sz="4" w:space="0"/>
              <w:bottom w:val="single" w:color="000000" w:sz="4" w:space="0"/>
              <w:right w:val="single" w:color="auto" w:sz="4" w:space="0"/>
            </w:tcBorders>
            <w:noWrap w:val="0"/>
            <w:vAlign w:val="center"/>
          </w:tcPr>
          <w:p w14:paraId="2BB5785C">
            <w:pPr>
              <w:snapToGrid w:val="0"/>
              <w:spacing w:line="240" w:lineRule="auto"/>
              <w:jc w:val="center"/>
              <w:rPr>
                <w:rFonts w:hint="eastAsia" w:ascii="仿宋" w:hAnsi="仿宋" w:eastAsia="仿宋" w:cs="仿宋"/>
                <w:color w:val="auto"/>
                <w:sz w:val="20"/>
                <w:szCs w:val="20"/>
                <w:highlight w:val="none"/>
              </w:rPr>
            </w:pPr>
          </w:p>
        </w:tc>
        <w:tc>
          <w:tcPr>
            <w:tcW w:w="1912" w:type="dxa"/>
            <w:vMerge w:val="continue"/>
            <w:tcBorders>
              <w:top w:val="nil"/>
              <w:left w:val="single" w:color="auto" w:sz="4" w:space="0"/>
              <w:bottom w:val="single" w:color="auto" w:sz="4" w:space="0"/>
              <w:right w:val="single" w:color="auto" w:sz="4" w:space="0"/>
            </w:tcBorders>
            <w:noWrap w:val="0"/>
            <w:vAlign w:val="center"/>
          </w:tcPr>
          <w:p w14:paraId="7B13969E">
            <w:pPr>
              <w:snapToGrid w:val="0"/>
              <w:spacing w:line="240" w:lineRule="auto"/>
              <w:jc w:val="center"/>
              <w:rPr>
                <w:rFonts w:hint="eastAsia" w:ascii="仿宋" w:hAnsi="仿宋" w:eastAsia="仿宋" w:cs="仿宋"/>
                <w:color w:val="auto"/>
                <w:sz w:val="20"/>
                <w:szCs w:val="20"/>
                <w:highlight w:val="none"/>
              </w:rPr>
            </w:pPr>
          </w:p>
        </w:tc>
        <w:tc>
          <w:tcPr>
            <w:tcW w:w="4127" w:type="dxa"/>
            <w:tcBorders>
              <w:top w:val="nil"/>
              <w:left w:val="nil"/>
              <w:bottom w:val="single" w:color="auto" w:sz="4" w:space="0"/>
              <w:right w:val="single" w:color="auto" w:sz="4" w:space="0"/>
            </w:tcBorders>
            <w:noWrap w:val="0"/>
            <w:vAlign w:val="center"/>
          </w:tcPr>
          <w:p w14:paraId="34196635">
            <w:pPr>
              <w:widowControl/>
              <w:snapToGrid w:val="0"/>
              <w:spacing w:line="240" w:lineRule="auto"/>
              <w:jc w:val="left"/>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基础数据处理及支撑</w:t>
            </w:r>
          </w:p>
        </w:tc>
        <w:tc>
          <w:tcPr>
            <w:tcW w:w="1345" w:type="dxa"/>
            <w:vMerge w:val="continue"/>
            <w:tcBorders>
              <w:left w:val="nil"/>
              <w:right w:val="single" w:color="auto" w:sz="4" w:space="0"/>
            </w:tcBorders>
            <w:noWrap w:val="0"/>
            <w:vAlign w:val="center"/>
          </w:tcPr>
          <w:p w14:paraId="3B6275A4">
            <w:pPr>
              <w:widowControl/>
              <w:snapToGrid w:val="0"/>
              <w:spacing w:line="240" w:lineRule="auto"/>
              <w:jc w:val="center"/>
              <w:textAlignment w:val="center"/>
              <w:rPr>
                <w:rFonts w:hint="eastAsia" w:ascii="仿宋" w:hAnsi="仿宋" w:eastAsia="仿宋" w:cs="仿宋"/>
                <w:color w:val="auto"/>
                <w:sz w:val="20"/>
                <w:szCs w:val="20"/>
                <w:highlight w:val="none"/>
              </w:rPr>
            </w:pPr>
          </w:p>
        </w:tc>
      </w:tr>
      <w:tr w14:paraId="6C60A879">
        <w:tblPrEx>
          <w:tblCellMar>
            <w:top w:w="0" w:type="dxa"/>
            <w:left w:w="108" w:type="dxa"/>
            <w:bottom w:w="0" w:type="dxa"/>
            <w:right w:w="108" w:type="dxa"/>
          </w:tblCellMar>
        </w:tblPrEx>
        <w:trPr>
          <w:trHeight w:val="454" w:hRule="atLeast"/>
          <w:jc w:val="center"/>
        </w:trPr>
        <w:tc>
          <w:tcPr>
            <w:tcW w:w="949" w:type="dxa"/>
            <w:vMerge w:val="continue"/>
            <w:tcBorders>
              <w:top w:val="nil"/>
              <w:left w:val="single" w:color="auto" w:sz="4" w:space="0"/>
              <w:bottom w:val="single" w:color="000000" w:sz="4" w:space="0"/>
              <w:right w:val="single" w:color="auto" w:sz="4" w:space="0"/>
            </w:tcBorders>
            <w:noWrap w:val="0"/>
            <w:vAlign w:val="center"/>
          </w:tcPr>
          <w:p w14:paraId="7B520C86">
            <w:pPr>
              <w:snapToGrid w:val="0"/>
              <w:spacing w:line="240" w:lineRule="auto"/>
              <w:jc w:val="center"/>
              <w:rPr>
                <w:rFonts w:hint="eastAsia" w:ascii="仿宋" w:hAnsi="仿宋" w:eastAsia="仿宋" w:cs="仿宋"/>
                <w:color w:val="auto"/>
                <w:sz w:val="20"/>
                <w:szCs w:val="20"/>
                <w:highlight w:val="none"/>
              </w:rPr>
            </w:pPr>
          </w:p>
        </w:tc>
        <w:tc>
          <w:tcPr>
            <w:tcW w:w="1912" w:type="dxa"/>
            <w:vMerge w:val="continue"/>
            <w:tcBorders>
              <w:top w:val="nil"/>
              <w:left w:val="single" w:color="auto" w:sz="4" w:space="0"/>
              <w:bottom w:val="single" w:color="auto" w:sz="4" w:space="0"/>
              <w:right w:val="single" w:color="auto" w:sz="4" w:space="0"/>
            </w:tcBorders>
            <w:noWrap w:val="0"/>
            <w:vAlign w:val="center"/>
          </w:tcPr>
          <w:p w14:paraId="48554C32">
            <w:pPr>
              <w:snapToGrid w:val="0"/>
              <w:spacing w:line="240" w:lineRule="auto"/>
              <w:jc w:val="center"/>
              <w:rPr>
                <w:rFonts w:hint="eastAsia" w:ascii="仿宋" w:hAnsi="仿宋" w:eastAsia="仿宋" w:cs="仿宋"/>
                <w:color w:val="auto"/>
                <w:sz w:val="20"/>
                <w:szCs w:val="20"/>
                <w:highlight w:val="none"/>
              </w:rPr>
            </w:pPr>
          </w:p>
        </w:tc>
        <w:tc>
          <w:tcPr>
            <w:tcW w:w="4127" w:type="dxa"/>
            <w:tcBorders>
              <w:top w:val="nil"/>
              <w:left w:val="nil"/>
              <w:bottom w:val="single" w:color="auto" w:sz="4" w:space="0"/>
              <w:right w:val="single" w:color="auto" w:sz="4" w:space="0"/>
            </w:tcBorders>
            <w:noWrap w:val="0"/>
            <w:vAlign w:val="center"/>
          </w:tcPr>
          <w:p w14:paraId="366D4E43">
            <w:pPr>
              <w:widowControl/>
              <w:snapToGrid w:val="0"/>
              <w:spacing w:line="240" w:lineRule="auto"/>
              <w:jc w:val="left"/>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用户操作培训及咨询答疑服务</w:t>
            </w:r>
          </w:p>
        </w:tc>
        <w:tc>
          <w:tcPr>
            <w:tcW w:w="1345" w:type="dxa"/>
            <w:vMerge w:val="continue"/>
            <w:tcBorders>
              <w:left w:val="nil"/>
              <w:right w:val="single" w:color="auto" w:sz="4" w:space="0"/>
            </w:tcBorders>
            <w:noWrap w:val="0"/>
            <w:vAlign w:val="center"/>
          </w:tcPr>
          <w:p w14:paraId="49CD07AC">
            <w:pPr>
              <w:widowControl/>
              <w:snapToGrid w:val="0"/>
              <w:spacing w:line="240" w:lineRule="auto"/>
              <w:jc w:val="center"/>
              <w:textAlignment w:val="center"/>
              <w:rPr>
                <w:rFonts w:hint="eastAsia" w:ascii="仿宋" w:hAnsi="仿宋" w:eastAsia="仿宋" w:cs="仿宋"/>
                <w:color w:val="auto"/>
                <w:sz w:val="20"/>
                <w:szCs w:val="20"/>
                <w:highlight w:val="none"/>
              </w:rPr>
            </w:pPr>
          </w:p>
        </w:tc>
      </w:tr>
      <w:tr w14:paraId="758B2CC4">
        <w:tblPrEx>
          <w:tblCellMar>
            <w:top w:w="0" w:type="dxa"/>
            <w:left w:w="108" w:type="dxa"/>
            <w:bottom w:w="0" w:type="dxa"/>
            <w:right w:w="108" w:type="dxa"/>
          </w:tblCellMar>
        </w:tblPrEx>
        <w:trPr>
          <w:trHeight w:val="454" w:hRule="atLeast"/>
          <w:jc w:val="center"/>
        </w:trPr>
        <w:tc>
          <w:tcPr>
            <w:tcW w:w="949" w:type="dxa"/>
            <w:vMerge w:val="restart"/>
            <w:tcBorders>
              <w:top w:val="nil"/>
              <w:left w:val="single" w:color="auto" w:sz="4" w:space="0"/>
              <w:bottom w:val="single" w:color="000000" w:sz="4" w:space="0"/>
              <w:right w:val="single" w:color="auto" w:sz="4" w:space="0"/>
            </w:tcBorders>
            <w:noWrap w:val="0"/>
            <w:vAlign w:val="center"/>
          </w:tcPr>
          <w:p w14:paraId="2D9EFD98">
            <w:pPr>
              <w:widowControl/>
              <w:snapToGrid w:val="0"/>
              <w:spacing w:line="240" w:lineRule="auto"/>
              <w:jc w:val="center"/>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val="en-US" w:eastAsia="zh-CN" w:bidi="ar"/>
              </w:rPr>
              <w:t>3</w:t>
            </w:r>
          </w:p>
        </w:tc>
        <w:tc>
          <w:tcPr>
            <w:tcW w:w="1912" w:type="dxa"/>
            <w:vMerge w:val="restart"/>
            <w:tcBorders>
              <w:top w:val="nil"/>
              <w:left w:val="single" w:color="auto" w:sz="4" w:space="0"/>
              <w:bottom w:val="single" w:color="auto" w:sz="4" w:space="0"/>
              <w:right w:val="single" w:color="auto" w:sz="4" w:space="0"/>
            </w:tcBorders>
            <w:noWrap w:val="0"/>
            <w:vAlign w:val="center"/>
          </w:tcPr>
          <w:p w14:paraId="4992C203">
            <w:pPr>
              <w:widowControl/>
              <w:snapToGrid w:val="0"/>
              <w:spacing w:line="240" w:lineRule="auto"/>
              <w:jc w:val="center"/>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网络安全专项维护服务</w:t>
            </w:r>
          </w:p>
        </w:tc>
        <w:tc>
          <w:tcPr>
            <w:tcW w:w="4127" w:type="dxa"/>
            <w:tcBorders>
              <w:top w:val="nil"/>
              <w:left w:val="nil"/>
              <w:bottom w:val="single" w:color="auto" w:sz="4" w:space="0"/>
              <w:right w:val="single" w:color="auto" w:sz="4" w:space="0"/>
            </w:tcBorders>
            <w:noWrap w:val="0"/>
            <w:vAlign w:val="center"/>
          </w:tcPr>
          <w:p w14:paraId="3A28CD7D">
            <w:pPr>
              <w:widowControl/>
              <w:snapToGrid w:val="0"/>
              <w:spacing w:line="240" w:lineRule="auto"/>
              <w:jc w:val="left"/>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等保三级/密评全流程配合及整改</w:t>
            </w:r>
          </w:p>
        </w:tc>
        <w:tc>
          <w:tcPr>
            <w:tcW w:w="1345" w:type="dxa"/>
            <w:vMerge w:val="continue"/>
            <w:tcBorders>
              <w:left w:val="nil"/>
              <w:right w:val="single" w:color="auto" w:sz="4" w:space="0"/>
            </w:tcBorders>
            <w:noWrap w:val="0"/>
            <w:vAlign w:val="center"/>
          </w:tcPr>
          <w:p w14:paraId="77E4912D">
            <w:pPr>
              <w:widowControl/>
              <w:snapToGrid w:val="0"/>
              <w:spacing w:line="240" w:lineRule="auto"/>
              <w:jc w:val="center"/>
              <w:textAlignment w:val="center"/>
              <w:rPr>
                <w:rFonts w:hint="eastAsia" w:ascii="仿宋" w:hAnsi="仿宋" w:eastAsia="仿宋" w:cs="仿宋"/>
                <w:color w:val="auto"/>
                <w:sz w:val="20"/>
                <w:szCs w:val="20"/>
                <w:highlight w:val="none"/>
              </w:rPr>
            </w:pPr>
          </w:p>
        </w:tc>
      </w:tr>
      <w:tr w14:paraId="0DD13DE9">
        <w:tblPrEx>
          <w:tblCellMar>
            <w:top w:w="0" w:type="dxa"/>
            <w:left w:w="108" w:type="dxa"/>
            <w:bottom w:w="0" w:type="dxa"/>
            <w:right w:w="108" w:type="dxa"/>
          </w:tblCellMar>
        </w:tblPrEx>
        <w:trPr>
          <w:trHeight w:val="454" w:hRule="atLeast"/>
          <w:jc w:val="center"/>
        </w:trPr>
        <w:tc>
          <w:tcPr>
            <w:tcW w:w="949" w:type="dxa"/>
            <w:vMerge w:val="continue"/>
            <w:tcBorders>
              <w:top w:val="nil"/>
              <w:left w:val="single" w:color="auto" w:sz="4" w:space="0"/>
              <w:bottom w:val="single" w:color="000000" w:sz="4" w:space="0"/>
              <w:right w:val="single" w:color="auto" w:sz="4" w:space="0"/>
            </w:tcBorders>
            <w:noWrap w:val="0"/>
            <w:vAlign w:val="center"/>
          </w:tcPr>
          <w:p w14:paraId="134AFF2E">
            <w:pPr>
              <w:snapToGrid w:val="0"/>
              <w:spacing w:line="240" w:lineRule="auto"/>
              <w:jc w:val="center"/>
              <w:rPr>
                <w:rFonts w:hint="eastAsia" w:ascii="仿宋" w:hAnsi="仿宋" w:eastAsia="仿宋" w:cs="仿宋"/>
                <w:color w:val="auto"/>
                <w:sz w:val="20"/>
                <w:szCs w:val="20"/>
                <w:highlight w:val="none"/>
              </w:rPr>
            </w:pPr>
          </w:p>
        </w:tc>
        <w:tc>
          <w:tcPr>
            <w:tcW w:w="1912" w:type="dxa"/>
            <w:vMerge w:val="continue"/>
            <w:tcBorders>
              <w:top w:val="nil"/>
              <w:left w:val="single" w:color="auto" w:sz="4" w:space="0"/>
              <w:bottom w:val="single" w:color="auto" w:sz="4" w:space="0"/>
              <w:right w:val="single" w:color="auto" w:sz="4" w:space="0"/>
            </w:tcBorders>
            <w:noWrap w:val="0"/>
            <w:vAlign w:val="center"/>
          </w:tcPr>
          <w:p w14:paraId="14488E2D">
            <w:pPr>
              <w:snapToGrid w:val="0"/>
              <w:spacing w:line="240" w:lineRule="auto"/>
              <w:jc w:val="center"/>
              <w:rPr>
                <w:rFonts w:hint="eastAsia" w:ascii="仿宋" w:hAnsi="仿宋" w:eastAsia="仿宋" w:cs="仿宋"/>
                <w:color w:val="auto"/>
                <w:sz w:val="20"/>
                <w:szCs w:val="20"/>
                <w:highlight w:val="none"/>
              </w:rPr>
            </w:pPr>
          </w:p>
        </w:tc>
        <w:tc>
          <w:tcPr>
            <w:tcW w:w="4127" w:type="dxa"/>
            <w:tcBorders>
              <w:top w:val="nil"/>
              <w:left w:val="nil"/>
              <w:bottom w:val="single" w:color="auto" w:sz="4" w:space="0"/>
              <w:right w:val="single" w:color="auto" w:sz="4" w:space="0"/>
            </w:tcBorders>
            <w:noWrap w:val="0"/>
            <w:vAlign w:val="center"/>
          </w:tcPr>
          <w:p w14:paraId="4A015B87">
            <w:pPr>
              <w:widowControl/>
              <w:snapToGrid w:val="0"/>
              <w:spacing w:line="240" w:lineRule="auto"/>
              <w:jc w:val="left"/>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网站安全监测服务</w:t>
            </w:r>
          </w:p>
        </w:tc>
        <w:tc>
          <w:tcPr>
            <w:tcW w:w="1345" w:type="dxa"/>
            <w:vMerge w:val="continue"/>
            <w:tcBorders>
              <w:left w:val="nil"/>
              <w:right w:val="single" w:color="auto" w:sz="4" w:space="0"/>
            </w:tcBorders>
            <w:noWrap w:val="0"/>
            <w:vAlign w:val="center"/>
          </w:tcPr>
          <w:p w14:paraId="5C7B153D">
            <w:pPr>
              <w:widowControl/>
              <w:snapToGrid w:val="0"/>
              <w:spacing w:line="240" w:lineRule="auto"/>
              <w:jc w:val="center"/>
              <w:textAlignment w:val="center"/>
              <w:rPr>
                <w:rFonts w:hint="eastAsia" w:ascii="仿宋" w:hAnsi="仿宋" w:eastAsia="仿宋" w:cs="仿宋"/>
                <w:color w:val="auto"/>
                <w:sz w:val="20"/>
                <w:szCs w:val="20"/>
                <w:highlight w:val="none"/>
              </w:rPr>
            </w:pPr>
          </w:p>
        </w:tc>
      </w:tr>
      <w:tr w14:paraId="77404E6F">
        <w:tblPrEx>
          <w:tblCellMar>
            <w:top w:w="0" w:type="dxa"/>
            <w:left w:w="108" w:type="dxa"/>
            <w:bottom w:w="0" w:type="dxa"/>
            <w:right w:w="108" w:type="dxa"/>
          </w:tblCellMar>
        </w:tblPrEx>
        <w:trPr>
          <w:trHeight w:val="454" w:hRule="atLeast"/>
          <w:jc w:val="center"/>
        </w:trPr>
        <w:tc>
          <w:tcPr>
            <w:tcW w:w="949" w:type="dxa"/>
            <w:vMerge w:val="continue"/>
            <w:tcBorders>
              <w:top w:val="nil"/>
              <w:left w:val="single" w:color="auto" w:sz="4" w:space="0"/>
              <w:bottom w:val="single" w:color="000000" w:sz="4" w:space="0"/>
              <w:right w:val="single" w:color="auto" w:sz="4" w:space="0"/>
            </w:tcBorders>
            <w:noWrap w:val="0"/>
            <w:vAlign w:val="center"/>
          </w:tcPr>
          <w:p w14:paraId="29861A61">
            <w:pPr>
              <w:snapToGrid w:val="0"/>
              <w:spacing w:line="240" w:lineRule="auto"/>
              <w:jc w:val="center"/>
              <w:rPr>
                <w:rFonts w:hint="eastAsia" w:ascii="仿宋" w:hAnsi="仿宋" w:eastAsia="仿宋" w:cs="仿宋"/>
                <w:color w:val="auto"/>
                <w:sz w:val="20"/>
                <w:szCs w:val="20"/>
                <w:highlight w:val="none"/>
              </w:rPr>
            </w:pPr>
          </w:p>
        </w:tc>
        <w:tc>
          <w:tcPr>
            <w:tcW w:w="1912" w:type="dxa"/>
            <w:vMerge w:val="continue"/>
            <w:tcBorders>
              <w:top w:val="nil"/>
              <w:left w:val="single" w:color="auto" w:sz="4" w:space="0"/>
              <w:bottom w:val="single" w:color="auto" w:sz="4" w:space="0"/>
              <w:right w:val="single" w:color="auto" w:sz="4" w:space="0"/>
            </w:tcBorders>
            <w:noWrap w:val="0"/>
            <w:vAlign w:val="center"/>
          </w:tcPr>
          <w:p w14:paraId="6E37CF59">
            <w:pPr>
              <w:snapToGrid w:val="0"/>
              <w:spacing w:line="240" w:lineRule="auto"/>
              <w:jc w:val="center"/>
              <w:rPr>
                <w:rFonts w:hint="eastAsia" w:ascii="仿宋" w:hAnsi="仿宋" w:eastAsia="仿宋" w:cs="仿宋"/>
                <w:color w:val="auto"/>
                <w:sz w:val="20"/>
                <w:szCs w:val="20"/>
                <w:highlight w:val="none"/>
              </w:rPr>
            </w:pPr>
          </w:p>
        </w:tc>
        <w:tc>
          <w:tcPr>
            <w:tcW w:w="4127" w:type="dxa"/>
            <w:tcBorders>
              <w:top w:val="nil"/>
              <w:left w:val="nil"/>
              <w:bottom w:val="single" w:color="auto" w:sz="4" w:space="0"/>
              <w:right w:val="single" w:color="auto" w:sz="4" w:space="0"/>
            </w:tcBorders>
            <w:noWrap w:val="0"/>
            <w:vAlign w:val="center"/>
          </w:tcPr>
          <w:p w14:paraId="0528A14B">
            <w:pPr>
              <w:widowControl/>
              <w:snapToGrid w:val="0"/>
              <w:spacing w:line="240" w:lineRule="auto"/>
              <w:jc w:val="left"/>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应急预案编制及演练服务</w:t>
            </w:r>
          </w:p>
        </w:tc>
        <w:tc>
          <w:tcPr>
            <w:tcW w:w="1345" w:type="dxa"/>
            <w:vMerge w:val="continue"/>
            <w:tcBorders>
              <w:left w:val="nil"/>
              <w:right w:val="single" w:color="auto" w:sz="4" w:space="0"/>
            </w:tcBorders>
            <w:noWrap w:val="0"/>
            <w:vAlign w:val="center"/>
          </w:tcPr>
          <w:p w14:paraId="41B8A83A">
            <w:pPr>
              <w:widowControl/>
              <w:snapToGrid w:val="0"/>
              <w:spacing w:line="240" w:lineRule="auto"/>
              <w:jc w:val="center"/>
              <w:textAlignment w:val="center"/>
              <w:rPr>
                <w:rFonts w:hint="eastAsia" w:ascii="仿宋" w:hAnsi="仿宋" w:eastAsia="仿宋" w:cs="仿宋"/>
                <w:color w:val="auto"/>
                <w:sz w:val="20"/>
                <w:szCs w:val="20"/>
                <w:highlight w:val="none"/>
              </w:rPr>
            </w:pPr>
          </w:p>
        </w:tc>
      </w:tr>
      <w:tr w14:paraId="7BF5B60F">
        <w:tblPrEx>
          <w:tblCellMar>
            <w:top w:w="0" w:type="dxa"/>
            <w:left w:w="108" w:type="dxa"/>
            <w:bottom w:w="0" w:type="dxa"/>
            <w:right w:w="108" w:type="dxa"/>
          </w:tblCellMar>
        </w:tblPrEx>
        <w:trPr>
          <w:trHeight w:val="454" w:hRule="atLeast"/>
          <w:jc w:val="center"/>
        </w:trPr>
        <w:tc>
          <w:tcPr>
            <w:tcW w:w="949" w:type="dxa"/>
            <w:vMerge w:val="restart"/>
            <w:tcBorders>
              <w:top w:val="nil"/>
              <w:left w:val="single" w:color="auto" w:sz="4" w:space="0"/>
              <w:bottom w:val="single" w:color="000000" w:sz="4" w:space="0"/>
              <w:right w:val="single" w:color="auto" w:sz="4" w:space="0"/>
            </w:tcBorders>
            <w:noWrap w:val="0"/>
            <w:vAlign w:val="center"/>
          </w:tcPr>
          <w:p w14:paraId="3C306FEC">
            <w:pPr>
              <w:widowControl/>
              <w:snapToGrid w:val="0"/>
              <w:spacing w:line="240" w:lineRule="auto"/>
              <w:jc w:val="center"/>
              <w:textAlignment w:val="center"/>
              <w:rPr>
                <w:rFonts w:hint="eastAsia" w:ascii="仿宋" w:hAnsi="仿宋" w:eastAsia="仿宋" w:cs="仿宋"/>
                <w:color w:val="auto"/>
                <w:sz w:val="20"/>
                <w:szCs w:val="20"/>
                <w:highlight w:val="none"/>
                <w:lang w:eastAsia="zh-CN"/>
              </w:rPr>
            </w:pPr>
            <w:r>
              <w:rPr>
                <w:rFonts w:hint="eastAsia" w:ascii="仿宋" w:hAnsi="仿宋" w:eastAsia="仿宋" w:cs="仿宋"/>
                <w:color w:val="auto"/>
                <w:kern w:val="0"/>
                <w:sz w:val="20"/>
                <w:szCs w:val="20"/>
                <w:highlight w:val="none"/>
                <w:lang w:val="en-US" w:eastAsia="zh-CN" w:bidi="ar"/>
              </w:rPr>
              <w:t>4</w:t>
            </w:r>
          </w:p>
        </w:tc>
        <w:tc>
          <w:tcPr>
            <w:tcW w:w="1912" w:type="dxa"/>
            <w:vMerge w:val="restart"/>
            <w:tcBorders>
              <w:top w:val="nil"/>
              <w:left w:val="single" w:color="auto" w:sz="4" w:space="0"/>
              <w:bottom w:val="single" w:color="auto" w:sz="4" w:space="0"/>
              <w:right w:val="single" w:color="auto" w:sz="4" w:space="0"/>
            </w:tcBorders>
            <w:noWrap w:val="0"/>
            <w:vAlign w:val="center"/>
          </w:tcPr>
          <w:p w14:paraId="501A56DB">
            <w:pPr>
              <w:widowControl/>
              <w:snapToGrid w:val="0"/>
              <w:spacing w:line="240" w:lineRule="auto"/>
              <w:jc w:val="center"/>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其他应急及备用服务</w:t>
            </w:r>
          </w:p>
        </w:tc>
        <w:tc>
          <w:tcPr>
            <w:tcW w:w="4127" w:type="dxa"/>
            <w:tcBorders>
              <w:top w:val="nil"/>
              <w:left w:val="nil"/>
              <w:bottom w:val="single" w:color="auto" w:sz="4" w:space="0"/>
              <w:right w:val="single" w:color="auto" w:sz="4" w:space="0"/>
            </w:tcBorders>
            <w:noWrap w:val="0"/>
            <w:vAlign w:val="center"/>
          </w:tcPr>
          <w:p w14:paraId="00FEC6AD">
            <w:pPr>
              <w:widowControl/>
              <w:snapToGrid w:val="0"/>
              <w:spacing w:line="240" w:lineRule="auto"/>
              <w:jc w:val="left"/>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临时业务需求技术支撑</w:t>
            </w:r>
          </w:p>
        </w:tc>
        <w:tc>
          <w:tcPr>
            <w:tcW w:w="1345" w:type="dxa"/>
            <w:vMerge w:val="continue"/>
            <w:tcBorders>
              <w:left w:val="nil"/>
              <w:right w:val="single" w:color="auto" w:sz="4" w:space="0"/>
            </w:tcBorders>
            <w:noWrap w:val="0"/>
            <w:vAlign w:val="center"/>
          </w:tcPr>
          <w:p w14:paraId="1D224494">
            <w:pPr>
              <w:widowControl/>
              <w:snapToGrid w:val="0"/>
              <w:spacing w:line="240" w:lineRule="auto"/>
              <w:jc w:val="center"/>
              <w:textAlignment w:val="center"/>
              <w:rPr>
                <w:rFonts w:hint="eastAsia" w:ascii="仿宋" w:hAnsi="仿宋" w:eastAsia="仿宋" w:cs="仿宋"/>
                <w:color w:val="auto"/>
                <w:sz w:val="20"/>
                <w:szCs w:val="20"/>
                <w:highlight w:val="none"/>
              </w:rPr>
            </w:pPr>
          </w:p>
        </w:tc>
      </w:tr>
      <w:tr w14:paraId="17C663CC">
        <w:tblPrEx>
          <w:tblCellMar>
            <w:top w:w="0" w:type="dxa"/>
            <w:left w:w="108" w:type="dxa"/>
            <w:bottom w:w="0" w:type="dxa"/>
            <w:right w:w="108" w:type="dxa"/>
          </w:tblCellMar>
        </w:tblPrEx>
        <w:trPr>
          <w:trHeight w:val="454" w:hRule="atLeast"/>
          <w:jc w:val="center"/>
        </w:trPr>
        <w:tc>
          <w:tcPr>
            <w:tcW w:w="949" w:type="dxa"/>
            <w:vMerge w:val="continue"/>
            <w:tcBorders>
              <w:top w:val="nil"/>
              <w:left w:val="single" w:color="auto" w:sz="4" w:space="0"/>
              <w:bottom w:val="single" w:color="000000" w:sz="4" w:space="0"/>
              <w:right w:val="single" w:color="auto" w:sz="4" w:space="0"/>
            </w:tcBorders>
            <w:noWrap w:val="0"/>
            <w:vAlign w:val="center"/>
          </w:tcPr>
          <w:p w14:paraId="6CEB2AC7">
            <w:pPr>
              <w:snapToGrid w:val="0"/>
              <w:spacing w:line="240" w:lineRule="auto"/>
              <w:jc w:val="center"/>
              <w:rPr>
                <w:rFonts w:hint="eastAsia" w:ascii="仿宋" w:hAnsi="仿宋" w:eastAsia="仿宋" w:cs="仿宋"/>
                <w:color w:val="auto"/>
                <w:sz w:val="20"/>
                <w:szCs w:val="20"/>
                <w:highlight w:val="none"/>
              </w:rPr>
            </w:pPr>
          </w:p>
        </w:tc>
        <w:tc>
          <w:tcPr>
            <w:tcW w:w="1912" w:type="dxa"/>
            <w:vMerge w:val="continue"/>
            <w:tcBorders>
              <w:top w:val="nil"/>
              <w:left w:val="single" w:color="auto" w:sz="4" w:space="0"/>
              <w:bottom w:val="single" w:color="auto" w:sz="4" w:space="0"/>
              <w:right w:val="single" w:color="auto" w:sz="4" w:space="0"/>
            </w:tcBorders>
            <w:noWrap w:val="0"/>
            <w:vAlign w:val="center"/>
          </w:tcPr>
          <w:p w14:paraId="099A2FAC">
            <w:pPr>
              <w:snapToGrid w:val="0"/>
              <w:spacing w:line="240" w:lineRule="auto"/>
              <w:jc w:val="center"/>
              <w:rPr>
                <w:rFonts w:hint="eastAsia" w:ascii="仿宋" w:hAnsi="仿宋" w:eastAsia="仿宋" w:cs="仿宋"/>
                <w:color w:val="auto"/>
                <w:sz w:val="20"/>
                <w:szCs w:val="20"/>
                <w:highlight w:val="none"/>
              </w:rPr>
            </w:pPr>
          </w:p>
        </w:tc>
        <w:tc>
          <w:tcPr>
            <w:tcW w:w="4127" w:type="dxa"/>
            <w:tcBorders>
              <w:top w:val="nil"/>
              <w:left w:val="nil"/>
              <w:bottom w:val="single" w:color="auto" w:sz="4" w:space="0"/>
              <w:right w:val="single" w:color="auto" w:sz="4" w:space="0"/>
            </w:tcBorders>
            <w:noWrap w:val="0"/>
            <w:vAlign w:val="center"/>
          </w:tcPr>
          <w:p w14:paraId="7E96F250">
            <w:pPr>
              <w:widowControl/>
              <w:snapToGrid w:val="0"/>
              <w:spacing w:line="240" w:lineRule="auto"/>
              <w:jc w:val="left"/>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突发故障应急技术支撑</w:t>
            </w:r>
          </w:p>
        </w:tc>
        <w:tc>
          <w:tcPr>
            <w:tcW w:w="1345" w:type="dxa"/>
            <w:vMerge w:val="continue"/>
            <w:tcBorders>
              <w:left w:val="nil"/>
              <w:bottom w:val="single" w:color="auto" w:sz="4" w:space="0"/>
              <w:right w:val="single" w:color="auto" w:sz="4" w:space="0"/>
            </w:tcBorders>
            <w:noWrap w:val="0"/>
            <w:vAlign w:val="center"/>
          </w:tcPr>
          <w:p w14:paraId="19172500">
            <w:pPr>
              <w:widowControl/>
              <w:snapToGrid w:val="0"/>
              <w:spacing w:line="240" w:lineRule="auto"/>
              <w:jc w:val="center"/>
              <w:textAlignment w:val="center"/>
              <w:rPr>
                <w:rFonts w:hint="eastAsia" w:ascii="仿宋" w:hAnsi="仿宋" w:eastAsia="仿宋" w:cs="仿宋"/>
                <w:color w:val="auto"/>
                <w:sz w:val="20"/>
                <w:szCs w:val="20"/>
                <w:highlight w:val="none"/>
              </w:rPr>
            </w:pPr>
          </w:p>
        </w:tc>
      </w:tr>
    </w:tbl>
    <w:p w14:paraId="4B83D5E2">
      <w:pPr>
        <w:keepNext w:val="0"/>
        <w:keepLines w:val="0"/>
        <w:pageBreakBefore w:val="0"/>
        <w:kinsoku/>
        <w:wordWrap/>
        <w:overflowPunct/>
        <w:topLinePunct w:val="0"/>
        <w:bidi w:val="0"/>
        <w:adjustRightInd/>
        <w:snapToGrid/>
        <w:spacing w:line="240" w:lineRule="auto"/>
        <w:textAlignment w:val="baseline"/>
        <w:rPr>
          <w:rFonts w:hint="eastAsia" w:ascii="仿宋_GB2312" w:hAnsi="仿宋_GB2312" w:eastAsia="仿宋_GB2312" w:cs="仿宋_GB2312"/>
          <w:color w:val="auto"/>
          <w:kern w:val="0"/>
          <w:sz w:val="20"/>
          <w:szCs w:val="20"/>
          <w:highlight w:val="none"/>
          <w:lang w:val="en-US" w:eastAsia="zh-CN"/>
        </w:rPr>
      </w:pPr>
    </w:p>
    <w:p w14:paraId="14B43693">
      <w:pPr>
        <w:pStyle w:val="4"/>
        <w:spacing w:line="240" w:lineRule="auto"/>
        <w:rPr>
          <w:rFonts w:hint="eastAsia" w:ascii="仿宋_GB2312" w:hAnsi="仿宋_GB2312" w:eastAsia="仿宋_GB2312" w:cs="仿宋_GB2312"/>
          <w:b/>
          <w:bCs/>
          <w:color w:val="auto"/>
          <w:highlight w:val="none"/>
          <w:lang w:val="en-US" w:eastAsia="zh-CN"/>
        </w:rPr>
      </w:pPr>
      <w:r>
        <w:rPr>
          <w:rFonts w:hint="eastAsia" w:ascii="仿宋_GB2312" w:hAnsi="仿宋_GB2312" w:eastAsia="仿宋_GB2312" w:cs="仿宋_GB2312"/>
          <w:b/>
          <w:bCs/>
          <w:color w:val="auto"/>
          <w:highlight w:val="none"/>
          <w:lang w:val="en-US" w:eastAsia="zh-CN"/>
        </w:rPr>
        <w:t>（五）保密要求</w:t>
      </w:r>
      <w:bookmarkStart w:id="0" w:name="_GoBack"/>
      <w:bookmarkEnd w:id="0"/>
    </w:p>
    <w:p w14:paraId="6B15B733">
      <w:pPr>
        <w:pStyle w:val="4"/>
        <w:spacing w:line="240" w:lineRule="auto"/>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t>1.供应商对在项目实施过程中获取的所有涉密信息、企业商业秘密、未公开资料等承担保密责任。</w:t>
      </w:r>
    </w:p>
    <w:p w14:paraId="393B7D6F">
      <w:pPr>
        <w:pStyle w:val="4"/>
        <w:spacing w:line="240" w:lineRule="auto"/>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t>2.未经陕西省工业和信息化厅书面同意，供应商不得向任何第三方泄露平台相关数据信息，不得擅自使用或传播平台建设成果。</w:t>
      </w:r>
    </w:p>
    <w:p w14:paraId="06F9C591">
      <w:pPr>
        <w:pStyle w:val="4"/>
        <w:spacing w:line="240" w:lineRule="auto"/>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t>3.项目完成后，供应商应将所有系统资料按要求移交陕西省工业和信息化厅。</w:t>
      </w:r>
    </w:p>
    <w:p w14:paraId="35636F9B">
      <w:pPr>
        <w:pStyle w:val="4"/>
        <w:spacing w:line="240" w:lineRule="auto"/>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t>4.若发生泄密事件，供应商应承担相应的法律责任和经济赔偿责任。</w:t>
      </w:r>
    </w:p>
    <w:p w14:paraId="1DB95436">
      <w:pPr>
        <w:pStyle w:val="4"/>
        <w:spacing w:line="240" w:lineRule="auto"/>
        <w:rPr>
          <w:rFonts w:hint="eastAsia" w:ascii="仿宋_GB2312" w:hAnsi="仿宋_GB2312" w:eastAsia="仿宋_GB2312" w:cs="仿宋_GB2312"/>
          <w:b/>
          <w:bCs/>
          <w:color w:val="auto"/>
          <w:highlight w:val="none"/>
          <w:lang w:val="en-US" w:eastAsia="zh-CN"/>
        </w:rPr>
      </w:pPr>
      <w:r>
        <w:rPr>
          <w:rFonts w:hint="eastAsia" w:ascii="仿宋_GB2312" w:hAnsi="仿宋_GB2312" w:eastAsia="仿宋_GB2312" w:cs="仿宋_GB2312"/>
          <w:b/>
          <w:bCs/>
          <w:color w:val="auto"/>
          <w:highlight w:val="none"/>
          <w:lang w:val="en-US" w:eastAsia="zh-CN"/>
        </w:rPr>
        <w:t>（六）付款方式</w:t>
      </w:r>
    </w:p>
    <w:p w14:paraId="30D793EF">
      <w:r>
        <w:rPr>
          <w:rFonts w:hint="eastAsia" w:ascii="仿宋_GB2312" w:hAnsi="仿宋_GB2312" w:eastAsia="仿宋_GB2312" w:cs="仿宋_GB2312"/>
          <w:color w:val="auto"/>
          <w:highlight w:val="none"/>
          <w:lang w:val="en-US" w:eastAsia="zh-CN"/>
        </w:rPr>
        <w:t>一次性支付。办理支付手续前，供应商应出具等额的符合国家规定的发票。</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49262834"/>
    <w:rsid w:val="6C0D7B51"/>
    <w:rsid w:val="73D2750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2026-07-30T11:27:23Z</dcterms:created>
  <dc:creator>asus</dc:creator>
  <cp:lastModifiedBy>123</cp:lastModifiedBy>
  <dcterms:modified xsi:type="dcterms:W3CDTF">2026-07-30T11:28:35Z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eyJoZGlkIjoiN2NhN2Y2MGE5MjIwMDhkM2Q0ZjI1MGYxOTkyNDVjMmYiLCJ1c2VySWQiOiIyNTY5NzM0MDQifQ==</vt:lpwstr>
  </property>
  <property fmtid="{D5CDD505-2E9C-101B-9397-08002B2CF9AE}" pid="4" name="ICV">
    <vt:lpwstr>4930BA8796A2427090019F61F72C80B0_12</vt:lpwstr>
  </property>
</Properties>
</file>