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版本号：GCZB2026-07-117-Q20260804001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锅炉低氮改造工程项目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GCZB2026-07-117-Q</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锅炉低氮改造工程项目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GCZB2026-07-117-Q</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锅炉低氮改造工程项目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西安工业大学锅炉低氮改造工程项目，具体内容详见第三章技术、服务标准和要求。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采购包1（锅炉低氮改造工程项目）：属于专门面向中小企业采购。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提供注册会计师行业统一监管平台(网址http://acc.mof.gov.cn)赋码可查询的2024年度或2025年度审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响应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8、建筑资质：供应商须具备建设行政主管部门核发的建筑机电安装工程专业承包三级及以上资质以及《中华人民共和国特种设备生产许可证》（锅炉安装（含修理、改造））B级及以上资质；</w:t>
      </w:r>
    </w:p>
    <w:p>
      <w:pPr>
        <w:pStyle w:val="null3"/>
      </w:pPr>
      <w:r>
        <w:rPr>
          <w:rFonts w:ascii="仿宋_GB2312" w:hAnsi="仿宋_GB2312" w:cs="仿宋_GB2312" w:eastAsia="仿宋_GB2312"/>
        </w:rPr>
        <w:t>9、安全生产许可证：供应商须具备有效的安全生产许可证；</w:t>
      </w:r>
    </w:p>
    <w:p>
      <w:pPr>
        <w:pStyle w:val="null3"/>
      </w:pPr>
      <w:r>
        <w:rPr>
          <w:rFonts w:ascii="仿宋_GB2312" w:hAnsi="仿宋_GB2312" w:cs="仿宋_GB2312" w:eastAsia="仿宋_GB2312"/>
        </w:rPr>
        <w:t>10、项目经理：拟派项目经理须具备机电工程专业二级及以上建造师资格，同时具备有效的安全生产考核合格证（建安B证），且无在建项目（提供无在建承诺书）；</w:t>
      </w:r>
    </w:p>
    <w:p>
      <w:pPr>
        <w:pStyle w:val="null3"/>
      </w:pPr>
      <w:r>
        <w:rPr>
          <w:rFonts w:ascii="仿宋_GB2312" w:hAnsi="仿宋_GB2312" w:cs="仿宋_GB2312" w:eastAsia="仿宋_GB2312"/>
        </w:rPr>
        <w:t>11、中小企业声明函：本项目为专门面向中小企业项目，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12、直接控股、管理关系：单位负责人为同一人或存在直接控股、管理关系的不同单位，不得同时参加本项目投标活动。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采购包1保证金金额：29,000.00元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代理服务费收费标准：1、委托代理项目成交价小于50万元以内的委托代理项目，代理服务费定额3000元（人民币）； 2、委托代理项目成交价大于50万元（含）小于1000万元的项目，服务费率收取为委托项目人民币成交价的0.69%。</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踏勘时间：2026-08-13 10:00:00</w:t>
            </w:r>
          </w:p>
          <w:p>
            <w:pPr>
              <w:pStyle w:val="null3"/>
              <w:ind w:firstLine="975"/>
            </w:pPr>
            <w:r>
              <w:rPr>
                <w:rFonts w:ascii="仿宋_GB2312" w:hAnsi="仿宋_GB2312" w:cs="仿宋_GB2312" w:eastAsia="仿宋_GB2312"/>
              </w:rPr>
              <w:t>踏勘地点：未央校区锅炉房；西工新苑锅炉房。说明： 1、本项目的现场踏勘为统一组织，所有需踏勘的投标人应与2026年8月13日早上10点前到达招标人校区锅炉房集合，踏勘时间为10：00至11：30结束。 2、踏勘需统一签到，未按时间到场和未签字的，不予安排踏勘。</w:t>
            </w:r>
          </w:p>
          <w:p>
            <w:pPr>
              <w:pStyle w:val="null3"/>
              <w:ind w:firstLine="975"/>
            </w:pPr>
            <w:r>
              <w:rPr>
                <w:rFonts w:ascii="仿宋_GB2312" w:hAnsi="仿宋_GB2312" w:cs="仿宋_GB2312" w:eastAsia="仿宋_GB2312"/>
              </w:rPr>
              <w:t>联系人：张老师</w:t>
            </w:r>
          </w:p>
          <w:p>
            <w:pPr>
              <w:pStyle w:val="null3"/>
              <w:ind w:firstLine="975"/>
            </w:pPr>
            <w:r>
              <w:rPr>
                <w:rFonts w:ascii="仿宋_GB2312" w:hAnsi="仿宋_GB2312" w:cs="仿宋_GB2312" w:eastAsia="仿宋_GB2312"/>
              </w:rPr>
              <w:t>联系电话号码：86173209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西安工业大学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w:t>
      </w:r>
    </w:p>
    <w:p>
      <w:pPr>
        <w:pStyle w:val="null3"/>
      </w:pPr>
      <w:r>
        <w:rPr>
          <w:rFonts w:ascii="仿宋_GB2312" w:hAnsi="仿宋_GB2312" w:cs="仿宋_GB2312" w:eastAsia="仿宋_GB2312"/>
        </w:rPr>
        <w:t>地址：西安市莲湖区高新一路正信大厦A座24楼（邮箱：1152611386@qq.com）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1,465,172.96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锅炉低氮改造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标的名称：锅炉低氮改造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sz w:val="21"/>
              </w:rPr>
              <w:t>西安工业大学锅炉低氮改造工程，主要包括教职工锅炉房三台燃气热水锅炉和校区三台燃气蒸汽锅炉现有燃烧器及其附属设施的拆除、低氮燃烧器安装、调试、验收、培训及售后服务等工程。</w:t>
            </w:r>
            <w:r>
              <w:rPr>
                <w:rFonts w:ascii="仿宋_GB2312" w:hAnsi="仿宋_GB2312" w:cs="仿宋_GB2312" w:eastAsia="仿宋_GB2312"/>
                <w:sz w:val="21"/>
              </w:rPr>
              <w:t>6台锅炉低氮改造完成后氮氧化物排放＜30mg/Nm³，具体以设计图纸+现场具体情况进行施工</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二、工程范围与规模：</w:t>
            </w:r>
          </w:p>
          <w:p>
            <w:pPr>
              <w:pStyle w:val="null3"/>
              <w:jc w:val="both"/>
            </w:pPr>
            <w:r>
              <w:rPr>
                <w:rFonts w:ascii="仿宋_GB2312" w:hAnsi="仿宋_GB2312" w:cs="仿宋_GB2312" w:eastAsia="仿宋_GB2312"/>
                <w:sz w:val="20"/>
              </w:rPr>
              <w:t>本项目为交钥匙工程，供应商根据招标内容、技术要求和招标图纸，结合教职工和校区二个锅炉房现场的现状进行响应。</w:t>
            </w:r>
          </w:p>
          <w:p>
            <w:pPr>
              <w:pStyle w:val="null3"/>
              <w:jc w:val="both"/>
            </w:pPr>
            <w:r>
              <w:rPr>
                <w:rFonts w:ascii="仿宋_GB2312" w:hAnsi="仿宋_GB2312" w:cs="仿宋_GB2312" w:eastAsia="仿宋_GB2312"/>
                <w:sz w:val="20"/>
              </w:rPr>
              <w:t>1、本次招标范围为西安工业大学未央校区教职工和校区二个锅炉房共6台燃气热水/蒸汽锅炉低氮改造工程，包括了低氮燃烧器供货、安装、调试、验收、培训及售后服务等内容。</w:t>
            </w:r>
          </w:p>
          <w:p>
            <w:pPr>
              <w:pStyle w:val="null3"/>
              <w:jc w:val="both"/>
            </w:pPr>
            <w:r>
              <w:rPr>
                <w:rFonts w:ascii="仿宋_GB2312" w:hAnsi="仿宋_GB2312" w:cs="仿宋_GB2312" w:eastAsia="仿宋_GB2312"/>
                <w:sz w:val="20"/>
              </w:rPr>
              <w:t>2、燃气热水/蒸汽锅炉低氮改造工程数量</w:t>
            </w:r>
          </w:p>
          <w:tbl>
            <w:tblPr>
              <w:tblBorders>
                <w:top w:val="none" w:color="000000" w:sz="4"/>
                <w:left w:val="none" w:color="000000" w:sz="4"/>
                <w:bottom w:val="none" w:color="000000" w:sz="4"/>
                <w:right w:val="none" w:color="000000" w:sz="4"/>
                <w:insideH w:val="none"/>
                <w:insideV w:val="none"/>
              </w:tblBorders>
            </w:tblPr>
            <w:tblGrid>
              <w:gridCol w:w="295"/>
              <w:gridCol w:w="687"/>
              <w:gridCol w:w="881"/>
              <w:gridCol w:w="273"/>
              <w:gridCol w:w="418"/>
            </w:tblGrid>
            <w:tr>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锅炉安装位置</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锅炉型号</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p>
              </w:tc>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备注</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西工新苑锅炉房</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WNS7.0-1.0/95/70-Q</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热水锅炉</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西工新苑锅炉房</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WNS4.2-1.0/95/70-Q</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热水锅炉</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西工新苑锅炉房</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WNS2.8-1.0/95/70-Q</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热水锅炉</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西工新苑炉房</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WNS15-1.25-Q</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蒸汽锅炉</w:t>
                  </w:r>
                </w:p>
              </w:tc>
            </w:tr>
            <w:tr>
              <w:tc>
                <w:tcPr>
                  <w:tcW w:type="dxa" w:w="98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合计</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3、技术指标要求</w:t>
            </w:r>
          </w:p>
          <w:p>
            <w:pPr>
              <w:pStyle w:val="null3"/>
              <w:jc w:val="both"/>
            </w:pPr>
            <w:r>
              <w:rPr>
                <w:rFonts w:ascii="仿宋_GB2312" w:hAnsi="仿宋_GB2312" w:cs="仿宋_GB2312" w:eastAsia="仿宋_GB2312"/>
                <w:sz w:val="20"/>
              </w:rPr>
              <w:t>3.1排放指标</w:t>
            </w:r>
          </w:p>
          <w:p>
            <w:pPr>
              <w:pStyle w:val="null3"/>
              <w:jc w:val="both"/>
            </w:pPr>
            <w:r>
              <w:rPr>
                <w:rFonts w:ascii="仿宋_GB2312" w:hAnsi="仿宋_GB2312" w:cs="仿宋_GB2312" w:eastAsia="仿宋_GB2312"/>
                <w:sz w:val="20"/>
              </w:rPr>
              <w:t>3.1.1必须满足氮氧化物排放浓度＜30mg/m³；</w:t>
            </w:r>
          </w:p>
          <w:p>
            <w:pPr>
              <w:pStyle w:val="null3"/>
              <w:jc w:val="both"/>
            </w:pPr>
            <w:r>
              <w:rPr>
                <w:rFonts w:ascii="仿宋_GB2312" w:hAnsi="仿宋_GB2312" w:cs="仿宋_GB2312" w:eastAsia="仿宋_GB2312"/>
                <w:sz w:val="20"/>
              </w:rPr>
              <w:t>3.1.2必须满足一氧化碳排放浓度＜95mg/m³；</w:t>
            </w:r>
          </w:p>
          <w:p>
            <w:pPr>
              <w:pStyle w:val="null3"/>
              <w:jc w:val="both"/>
            </w:pPr>
            <w:r>
              <w:rPr>
                <w:rFonts w:ascii="仿宋_GB2312" w:hAnsi="仿宋_GB2312" w:cs="仿宋_GB2312" w:eastAsia="仿宋_GB2312"/>
                <w:sz w:val="20"/>
              </w:rPr>
              <w:t>3.1.3必须满足二氧化硫排放浓度＜10mg/m³；</w:t>
            </w:r>
          </w:p>
          <w:p>
            <w:pPr>
              <w:pStyle w:val="null3"/>
              <w:jc w:val="both"/>
            </w:pPr>
            <w:r>
              <w:rPr>
                <w:rFonts w:ascii="仿宋_GB2312" w:hAnsi="仿宋_GB2312" w:cs="仿宋_GB2312" w:eastAsia="仿宋_GB2312"/>
                <w:sz w:val="20"/>
              </w:rPr>
              <w:t>3.2改造原则</w:t>
            </w:r>
          </w:p>
          <w:p>
            <w:pPr>
              <w:pStyle w:val="null3"/>
              <w:jc w:val="both"/>
            </w:pPr>
            <w:r>
              <w:rPr>
                <w:rFonts w:ascii="仿宋_GB2312" w:hAnsi="仿宋_GB2312" w:cs="仿宋_GB2312" w:eastAsia="仿宋_GB2312"/>
                <w:sz w:val="20"/>
              </w:rPr>
              <w:t>3.2.1办理特种设备的告知及验收手续，包括但不限于告知手续的办理、政府职能部门验收过程中的监测或检测等；</w:t>
            </w:r>
          </w:p>
          <w:p>
            <w:pPr>
              <w:pStyle w:val="null3"/>
              <w:jc w:val="both"/>
            </w:pPr>
            <w:r>
              <w:rPr>
                <w:rFonts w:ascii="仿宋_GB2312" w:hAnsi="仿宋_GB2312" w:cs="仿宋_GB2312" w:eastAsia="仿宋_GB2312"/>
                <w:sz w:val="20"/>
              </w:rPr>
              <w:t>3.2.2环保低氮改造不能破坏原有锅炉结构（市特检院进行监督和验收）；</w:t>
            </w:r>
          </w:p>
          <w:p>
            <w:pPr>
              <w:pStyle w:val="null3"/>
              <w:jc w:val="both"/>
            </w:pPr>
            <w:r>
              <w:rPr>
                <w:rFonts w:ascii="仿宋_GB2312" w:hAnsi="仿宋_GB2312" w:cs="仿宋_GB2312" w:eastAsia="仿宋_GB2312"/>
                <w:sz w:val="20"/>
              </w:rPr>
              <w:t>3.3环保验收</w:t>
            </w:r>
          </w:p>
          <w:p>
            <w:pPr>
              <w:pStyle w:val="null3"/>
              <w:jc w:val="both"/>
            </w:pPr>
            <w:r>
              <w:rPr>
                <w:rFonts w:ascii="仿宋_GB2312" w:hAnsi="仿宋_GB2312" w:cs="仿宋_GB2312" w:eastAsia="仿宋_GB2312"/>
                <w:sz w:val="20"/>
              </w:rPr>
              <w:t>改造后</w:t>
            </w:r>
            <w:r>
              <w:rPr>
                <w:rFonts w:ascii="仿宋_GB2312" w:hAnsi="仿宋_GB2312" w:cs="仿宋_GB2312" w:eastAsia="仿宋_GB2312"/>
                <w:sz w:val="20"/>
              </w:rPr>
              <w:t>6台燃气热水/蒸汽锅炉的氮氧化物需＜30mg/Nm³以下， 由学校组织和委托有资质的第三方进行现场测试，</w:t>
            </w:r>
            <w:r>
              <w:rPr>
                <w:rFonts w:ascii="仿宋_GB2312" w:hAnsi="仿宋_GB2312" w:cs="仿宋_GB2312" w:eastAsia="仿宋_GB2312"/>
                <w:sz w:val="20"/>
              </w:rPr>
              <w:t>费用</w:t>
            </w:r>
            <w:r>
              <w:rPr>
                <w:rFonts w:ascii="仿宋_GB2312" w:hAnsi="仿宋_GB2312" w:cs="仿宋_GB2312" w:eastAsia="仿宋_GB2312"/>
                <w:sz w:val="20"/>
              </w:rPr>
              <w:t>由</w:t>
            </w:r>
            <w:r>
              <w:rPr>
                <w:rFonts w:ascii="仿宋_GB2312" w:hAnsi="仿宋_GB2312" w:cs="仿宋_GB2312" w:eastAsia="仿宋_GB2312"/>
                <w:sz w:val="20"/>
              </w:rPr>
              <w:t>有施工单位承担</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3.4改造方案要求</w:t>
            </w:r>
          </w:p>
          <w:p>
            <w:pPr>
              <w:pStyle w:val="null3"/>
              <w:jc w:val="both"/>
            </w:pPr>
            <w:r>
              <w:rPr>
                <w:rFonts w:ascii="仿宋_GB2312" w:hAnsi="仿宋_GB2312" w:cs="仿宋_GB2312" w:eastAsia="仿宋_GB2312"/>
                <w:sz w:val="20"/>
              </w:rPr>
              <w:t>3.4.1技术总体要求：更换低氮燃烧器+FGR；</w:t>
            </w:r>
          </w:p>
          <w:p>
            <w:pPr>
              <w:pStyle w:val="null3"/>
              <w:jc w:val="both"/>
            </w:pPr>
            <w:r>
              <w:rPr>
                <w:rFonts w:ascii="仿宋_GB2312" w:hAnsi="仿宋_GB2312" w:cs="仿宋_GB2312" w:eastAsia="仿宋_GB2312"/>
                <w:sz w:val="20"/>
              </w:rPr>
              <w:t>3.4.2低氮燃烧器：</w:t>
            </w:r>
            <w:r>
              <w:rPr>
                <w:rFonts w:ascii="仿宋_GB2312" w:hAnsi="仿宋_GB2312" w:cs="仿宋_GB2312" w:eastAsia="仿宋_GB2312"/>
                <w:sz w:val="20"/>
              </w:rPr>
              <w:t>投标人所投低氮燃烧器必须满足技术参数即可，投标人提供燃烧器供货商（或代理商）的售后服务承诺书（加盖厂商公章）；</w:t>
            </w:r>
          </w:p>
          <w:p>
            <w:pPr>
              <w:pStyle w:val="null3"/>
              <w:jc w:val="both"/>
            </w:pPr>
            <w:r>
              <w:rPr>
                <w:rFonts w:ascii="仿宋_GB2312" w:hAnsi="仿宋_GB2312" w:cs="仿宋_GB2312" w:eastAsia="仿宋_GB2312"/>
                <w:sz w:val="20"/>
              </w:rPr>
              <w:t>3.4.3投标的低氮燃烧器与锅炉出力、炉膛结构及炉膛尺寸匹配；</w:t>
            </w:r>
          </w:p>
          <w:p>
            <w:pPr>
              <w:pStyle w:val="null3"/>
              <w:jc w:val="both"/>
            </w:pPr>
            <w:r>
              <w:rPr>
                <w:rFonts w:ascii="仿宋_GB2312" w:hAnsi="仿宋_GB2312" w:cs="仿宋_GB2312" w:eastAsia="仿宋_GB2312"/>
                <w:sz w:val="20"/>
              </w:rPr>
              <w:t>3.4.5投标单位根据两个锅炉房的现状，对燃烧器设备和鼓风机，烟气循环系统等相关附属设施更换安装，投标单位需保证竣工后的环保排放指</w:t>
            </w:r>
            <w:r>
              <w:rPr>
                <w:rFonts w:ascii="仿宋_GB2312" w:hAnsi="仿宋_GB2312" w:cs="仿宋_GB2312" w:eastAsia="仿宋_GB2312"/>
                <w:sz w:val="20"/>
              </w:rPr>
              <w:t>标达标</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3.4.6提供所投燃烧器有效的型式实验检测报告和证书，</w:t>
            </w:r>
            <w:r>
              <w:rPr>
                <w:rFonts w:ascii="仿宋_GB2312" w:hAnsi="仿宋_GB2312" w:cs="仿宋_GB2312" w:eastAsia="仿宋_GB2312"/>
                <w:sz w:val="20"/>
              </w:rPr>
              <w:t>供货时提供制造商出具的产品出厂合格证</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3.4.7投标单位提供燃烧机及</w:t>
            </w:r>
            <w:r>
              <w:rPr>
                <w:rFonts w:ascii="仿宋_GB2312" w:hAnsi="仿宋_GB2312" w:cs="仿宋_GB2312" w:eastAsia="仿宋_GB2312"/>
                <w:sz w:val="20"/>
              </w:rPr>
              <w:t>随机附带所有资料等；</w:t>
            </w:r>
          </w:p>
          <w:p>
            <w:pPr>
              <w:pStyle w:val="null3"/>
              <w:jc w:val="both"/>
            </w:pPr>
            <w:r>
              <w:rPr>
                <w:rFonts w:ascii="仿宋_GB2312" w:hAnsi="仿宋_GB2312" w:cs="仿宋_GB2312" w:eastAsia="仿宋_GB2312"/>
                <w:sz w:val="20"/>
              </w:rPr>
              <w:t>3.4.8新低氮燃烧器与现有锅炉匹配，保证所有设备安全正常运行。</w:t>
            </w:r>
          </w:p>
          <w:p>
            <w:pPr>
              <w:pStyle w:val="null3"/>
              <w:jc w:val="both"/>
            </w:pPr>
            <w:r>
              <w:rPr>
                <w:rFonts w:ascii="仿宋_GB2312" w:hAnsi="仿宋_GB2312" w:cs="仿宋_GB2312" w:eastAsia="仿宋_GB2312"/>
                <w:sz w:val="20"/>
              </w:rPr>
              <w:t>3.4.9改造后稳定出力不低于75%（上一次改造为70%），且通过西安市特检院产品能效现场测试。</w:t>
            </w:r>
          </w:p>
          <w:p>
            <w:pPr>
              <w:pStyle w:val="null3"/>
              <w:jc w:val="both"/>
            </w:pPr>
            <w:r>
              <w:rPr>
                <w:rFonts w:ascii="仿宋_GB2312" w:hAnsi="仿宋_GB2312" w:cs="仿宋_GB2312" w:eastAsia="仿宋_GB2312"/>
                <w:sz w:val="20"/>
              </w:rPr>
              <w:t>3.4.10新低氮燃烧器所需要的天然气压力与学校调压箱燃气压力相同。</w:t>
            </w:r>
          </w:p>
          <w:p>
            <w:pPr>
              <w:pStyle w:val="null3"/>
              <w:jc w:val="both"/>
            </w:pPr>
            <w:r>
              <w:rPr>
                <w:rFonts w:ascii="仿宋_GB2312" w:hAnsi="仿宋_GB2312" w:cs="仿宋_GB2312" w:eastAsia="仿宋_GB2312"/>
                <w:sz w:val="20"/>
              </w:rPr>
              <w:t>3.4.11不能破坏原有锅炉结构，并通过西安市特检院进行监督和验收。</w:t>
            </w:r>
          </w:p>
          <w:p>
            <w:pPr>
              <w:pStyle w:val="null3"/>
              <w:jc w:val="both"/>
            </w:pPr>
            <w:r>
              <w:rPr>
                <w:rFonts w:ascii="仿宋_GB2312" w:hAnsi="仿宋_GB2312" w:cs="仿宋_GB2312" w:eastAsia="仿宋_GB2312"/>
                <w:sz w:val="20"/>
              </w:rPr>
              <w:t>新低氮燃烧器稳定正常运行不少于八年。</w:t>
            </w:r>
          </w:p>
          <w:p>
            <w:pPr>
              <w:pStyle w:val="null3"/>
              <w:jc w:val="both"/>
            </w:pPr>
            <w:r>
              <w:rPr>
                <w:rFonts w:ascii="仿宋_GB2312" w:hAnsi="仿宋_GB2312" w:cs="仿宋_GB2312" w:eastAsia="仿宋_GB2312"/>
                <w:sz w:val="20"/>
              </w:rPr>
              <w:t>4、其他</w:t>
            </w:r>
          </w:p>
          <w:p>
            <w:pPr>
              <w:pStyle w:val="null3"/>
              <w:jc w:val="both"/>
            </w:pPr>
            <w:r>
              <w:rPr>
                <w:rFonts w:ascii="仿宋_GB2312" w:hAnsi="仿宋_GB2312" w:cs="仿宋_GB2312" w:eastAsia="仿宋_GB2312"/>
                <w:sz w:val="20"/>
              </w:rPr>
              <w:t>4.1负责对锅炉房操作人员和维护人员进行免费的日常操作、维护保养及安全注意事项等方面技术培训；</w:t>
            </w:r>
          </w:p>
          <w:p>
            <w:pPr>
              <w:pStyle w:val="null3"/>
              <w:jc w:val="both"/>
            </w:pPr>
            <w:r>
              <w:rPr>
                <w:rFonts w:ascii="仿宋_GB2312" w:hAnsi="仿宋_GB2312" w:cs="仿宋_GB2312" w:eastAsia="仿宋_GB2312"/>
                <w:sz w:val="20"/>
              </w:rPr>
              <w:t>4.2提供日常维修的工具和备品备件；</w:t>
            </w:r>
          </w:p>
          <w:p>
            <w:pPr>
              <w:pStyle w:val="null3"/>
              <w:jc w:val="both"/>
            </w:pPr>
            <w:r>
              <w:rPr>
                <w:rFonts w:ascii="仿宋_GB2312" w:hAnsi="仿宋_GB2312" w:cs="仿宋_GB2312" w:eastAsia="仿宋_GB2312"/>
                <w:sz w:val="20"/>
              </w:rPr>
              <w:t>4.3售后服务：保修期内本次实施的工程范围均为免费保修，故障报修的响应时间为小于1小时，2小时内到达现场进行维修；</w:t>
            </w:r>
          </w:p>
          <w:p>
            <w:pPr>
              <w:pStyle w:val="null3"/>
              <w:jc w:val="both"/>
            </w:pPr>
            <w:r>
              <w:rPr>
                <w:rFonts w:ascii="仿宋_GB2312" w:hAnsi="仿宋_GB2312" w:cs="仿宋_GB2312" w:eastAsia="仿宋_GB2312"/>
                <w:sz w:val="20"/>
              </w:rPr>
              <w:t>4.4投标人应保证如能中标，使用单位使用中标设备或其任何一部分时，免受第三方提出的侵犯其专利权、商标权或工业设计权的诉讼；</w:t>
            </w:r>
          </w:p>
          <w:p>
            <w:pPr>
              <w:pStyle w:val="null3"/>
            </w:pPr>
            <w:r>
              <w:rPr>
                <w:rFonts w:ascii="仿宋_GB2312" w:hAnsi="仿宋_GB2312" w:cs="仿宋_GB2312" w:eastAsia="仿宋_GB2312"/>
                <w:sz w:val="20"/>
              </w:rPr>
              <w:t>4.5中标人提供的设备、材料及施工用具，进入施工现场后自行保管，在现场安装、调试人员的安全、保险、食宿、交通等均由中标人负责；</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三、本项目工程预算：</w:t>
            </w:r>
            <w:r>
              <w:rPr>
                <w:rFonts w:ascii="仿宋_GB2312" w:hAnsi="仿宋_GB2312" w:cs="仿宋_GB2312" w:eastAsia="仿宋_GB2312"/>
                <w:sz w:val="20"/>
              </w:rPr>
              <w:t>1500000元，最高限价：1465172.96元。供应商报价不能超过预算金额以及最高限价，否则按照无效文件处理。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符合国家相关质量要求及验收标准。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1、工期：2026年10月15日前完工，验收时间在改造完成后三个月内，由学校根据锅炉运行时间确定； 2、施工地点：西安工业大学指定地点； 3、工程质保期：自工程验收合格之日起12个月，质保期内免费维修； 4、付款方式（以此为准）： 4.1合同签订后，甲方向乙方支付合同总价的30%预付款；需提供等额保函。 4.2低氮燃烧器设备到货开始施工，甲方向乙方支付合同总价的40%到货款； 4.3低氮改造工程竣工初验合格（环保测试合格，并取得第三方测试报告）后10日，甲方支付至合同总价的80％； 4.4工程终验合格后10日，由乙方书面递交工程完整资料报甲方开展审计，审计完成后六十日内，甲方支付至审计金额的100%； 4.5合同如期履约完成且保修期届满，甲方扣除相关费用后（如有），甲方无息由原缴费账户退还履约保证金全款。 4.6甲方应支付的一切款项及应承担的责任均包含在最终审计金额内，之外再无其他款项； 4.7乙方应当在甲方支付每笔工程款之前向甲方开具等额合法有效且符合甲方要求的增值税发票（9%工程类增值税发票），否则甲方有权拒绝支付工程款且不承担任何违约责任。 5、图纸详见附件。 6、工程量清单编制依据： 6.1国家或省级建设主管部门颁发的计价依据 （1）2025《陕西省建设工程工程量清单计价规则》、《陕西省建设工程消耗量定额（2025）补充定额》、2025《陕西省建设工程工程量清单计价费率》； （2）国家及陕西省现行建设工程计价相关政策文件（含人工单价调整、营改增配套、实名制计价、安全生产责任险等相关规定）； （3）本工程采用广联达云计价平台 GCCP7.0-版本：7.5000.23.2。 6.2材料价的记取 本工程主要材料价执行《陕西省 2026年5月份材料信息价》计取，不足部分市场询价计入。 6.3设计文件 （1）建设单位提供的设计图纸。 （2）现场实际测量。 6.4其他依据 （1）正常施工组织设计及施工方法。 （2）施工图中采用的相关施工规范及验收规范。 （3）本项目为改造工程，报价中应结合现场情况充分考虑燃烧器阀组、循环烟管改造、阀门改造、自控及动力线缆连接改造、安装燃烧器过程中的火口改造施工等内容已包含在综合单价中，此部分安装费及材料费已包含在综合单价中，后期不予增减。 （4）本项目改造工程包括特种设备告知等验收相关费用，含第三方检测费用。 （5）本项目改造完工后氮氧化物排放需满足环保验收指标(氮氧化物&lt;30mg/Nm3)，环保检测由甲方委托相关单位检测，费用乙方支付。</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(1)供应商需要在线提交所有通过电子化交易平台实施的政府采购项目的响应文件，同时，线下提交纸质响应文件正本壹份、副本贰份、电子版壹份。若电子响应文件与纸质响应文件不一致的，以电子响应文件为准。(2)响应文件，正、副本分别各自装订成册密封。在封口处加盖供应商公章。(3)线下响应文件递交截止时间与线上开评标时间一致。(4)纸质响应文件可邮寄递交，应于递交响应文件截止时间前邮寄到西安市莲湖区高新一路5号正信大厦A座24楼。二、保证金退还:（1）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 中标服务费查询请联系财务部：029-89286620转808。三、保证金提供电子保函的，于开标截止时间前将保函扫描件发送至此邮箱1152611386@qq.com。四、以转账方式交纳投标保证金须注明项目编号及用途(投标保证金)。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具有履行合同所必需的设备和专业技术能力的说明及承诺.docx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建筑资质</w:t>
            </w:r>
          </w:p>
        </w:tc>
        <w:tc>
          <w:tcPr>
            <w:tcW w:type="dxa" w:w="3322"/>
          </w:tcPr>
          <w:p>
            <w:pPr>
              <w:pStyle w:val="null3"/>
            </w:pPr>
            <w:r>
              <w:rPr>
                <w:rFonts w:ascii="仿宋_GB2312" w:hAnsi="仿宋_GB2312" w:cs="仿宋_GB2312" w:eastAsia="仿宋_GB2312"/>
              </w:rPr>
              <w:t>供应商须具备建设行政主管部门核发的建筑机电安装工程专业承包三级及以上资质以及《中华人民共和国特种设备生产许可证》（锅炉安装（含修理、改造））B级及以上资质；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供应商须具备有效的安全生产许可证；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拟派项目经理须具备机电工程专业二级及以上建造师资格，同时具备有效的安全生产考核合格证（建安B证），且无在建项目（提供无在建承诺书）；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供应商企业关系关联承诺书.docx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法定代表人证明书与法定代表人授权书.docx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（1）响应报价表填写符合要求； （2）计量单位、报价货币均符合磋商文件要求； （3）响应报价未超出采购预算或磋商文件规定的最高限价。</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无其他磋商文件或法规明确规定投标无效的事项</w:t>
            </w:r>
          </w:p>
        </w:tc>
        <w:tc>
          <w:tcPr>
            <w:tcW w:type="dxa" w:w="3322"/>
          </w:tcPr>
          <w:p>
            <w:pPr>
              <w:pStyle w:val="null3"/>
            </w:pPr>
            <w:r>
              <w:rPr>
                <w:rFonts w:ascii="仿宋_GB2312" w:hAnsi="仿宋_GB2312" w:cs="仿宋_GB2312" w:eastAsia="仿宋_GB2312"/>
              </w:rPr>
              <w:t>没有不符合磋商文件规定的被视为无效投标的其他条款。</w:t>
            </w:r>
          </w:p>
        </w:tc>
        <w:tc>
          <w:tcPr>
            <w:tcW w:type="dxa" w:w="1661"/>
          </w:tcPr>
          <w:p>
            <w:pPr>
              <w:pStyle w:val="null3"/>
            </w:pPr>
            <w:r>
              <w:rPr>
                <w:rFonts w:ascii="仿宋_GB2312" w:hAnsi="仿宋_GB2312" w:cs="仿宋_GB2312" w:eastAsia="仿宋_GB2312"/>
              </w:rPr>
              <w:t>技术服务合同条款及其他商务要求应答表 强制优先采购产品承诺函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完全理解并接受磋商文件合同基本条款要求。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提供针对本项目详细的技术方案，包括:①项目经理部组成②施工进度表或施工网络图③确保工期的技术组织措施④施工方案⑤确保工程质量技术组织措施⑥新技术新产品新工艺新材料应用⑦施工机械配备和材料投入计划⑧确保文明施工措施⑨应急预案⑩工程验收方案。技术方案符合采购项目特点及要求，描述详尽且有利于项目实施，得30分；每有一项未提供扣3分，每有一处有缺陷扣1.5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安全文明施工措施及环境保护措施</w:t>
            </w:r>
          </w:p>
        </w:tc>
        <w:tc>
          <w:tcPr>
            <w:tcW w:type="dxa" w:w="2492"/>
          </w:tcPr>
          <w:p>
            <w:pPr>
              <w:pStyle w:val="null3"/>
            </w:pPr>
            <w:r>
              <w:rPr>
                <w:rFonts w:ascii="仿宋_GB2312" w:hAnsi="仿宋_GB2312" w:cs="仿宋_GB2312" w:eastAsia="仿宋_GB2312"/>
              </w:rPr>
              <w:t>供应商提供安全文明施工措施及环境保护措施，包括①安全文明施工措施；②安全文明管理体系；③环境保护措施；④环境保护体系等。 安全文明施工措施及环境保护措施内容表述清晰，各项内容完整、措施科学合理、严谨得得8分；每有一项未提供扣2分，每有一处有缺陷扣1分。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人员配备①</w:t>
            </w:r>
          </w:p>
        </w:tc>
        <w:tc>
          <w:tcPr>
            <w:tcW w:type="dxa" w:w="2492"/>
          </w:tcPr>
          <w:p>
            <w:pPr>
              <w:pStyle w:val="null3"/>
            </w:pPr>
            <w:r>
              <w:rPr>
                <w:rFonts w:ascii="仿宋_GB2312" w:hAnsi="仿宋_GB2312" w:cs="仿宋_GB2312" w:eastAsia="仿宋_GB2312"/>
              </w:rPr>
              <w:t>根据提供的拟派项目部人员构成及项目管理机构配置进行评审,每提供1名特种设备作业人员得1分，满分2分。 备注：提供人员相关从业证书。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人员配备②</w:t>
            </w:r>
          </w:p>
        </w:tc>
        <w:tc>
          <w:tcPr>
            <w:tcW w:type="dxa" w:w="2492"/>
          </w:tcPr>
          <w:p>
            <w:pPr>
              <w:pStyle w:val="null3"/>
            </w:pPr>
            <w:r>
              <w:rPr>
                <w:rFonts w:ascii="仿宋_GB2312" w:hAnsi="仿宋_GB2312" w:cs="仿宋_GB2312" w:eastAsia="仿宋_GB2312"/>
              </w:rPr>
              <w:t>除特种设备作业人员以外，每提供1名其他技术人员得1分，满分3分；未提供不得分。 备注：提供人员相关从业证书。</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人员配备③</w:t>
            </w:r>
          </w:p>
        </w:tc>
        <w:tc>
          <w:tcPr>
            <w:tcW w:type="dxa" w:w="2492"/>
          </w:tcPr>
          <w:p>
            <w:pPr>
              <w:pStyle w:val="null3"/>
            </w:pPr>
            <w:r>
              <w:rPr>
                <w:rFonts w:ascii="仿宋_GB2312" w:hAnsi="仿宋_GB2312" w:cs="仿宋_GB2312" w:eastAsia="仿宋_GB2312"/>
              </w:rPr>
              <w:t>供应商提供针对本项目拟投入的工作人员配备的情况说明及经验能力证明材料，提供拟派的人员配备清单（包含成员数量、成员姓名、岗位职责、工作经验等）。 项目团队人员职责明确、人员配合合理、内容齐全、经验丰富得5分；每有一项未提供扣1分，每有一处有缺陷扣0.5分。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供应商提供低氮燃烧器设备、鼓风机货源渠道证明文件（不限于销售协议、代理协议、原厂授权等），每提供1份，得2分，满分4分（同一产品只计1份）。未提供不得分。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提供2023年7月1日至今类似项目合同，每提供1个得2分，满分10分。（提供加盖供应商公章的合同复印件，提供合同包含签字盖章页、施工内容、合同签订日期等完整合同内容），不提供或缺项不得分。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售后保障</w:t>
            </w:r>
          </w:p>
        </w:tc>
        <w:tc>
          <w:tcPr>
            <w:tcW w:type="dxa" w:w="2492"/>
          </w:tcPr>
          <w:p>
            <w:pPr>
              <w:pStyle w:val="null3"/>
            </w:pPr>
            <w:r>
              <w:rPr>
                <w:rFonts w:ascii="仿宋_GB2312" w:hAnsi="仿宋_GB2312" w:cs="仿宋_GB2312" w:eastAsia="仿宋_GB2312"/>
              </w:rPr>
              <w:t>供应商针对本项目有详细具体的售后服务保障措施，包括：①质保期内服务内容②问题响应时间③售后服务人员配备④施工保修承诺书⑤售后服务计划等。方案制定应完整全面、详细具体，满足项目实施要求，得5分；每有一项未提供扣1分，每有一处有缺陷扣0.5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供应商针对本项目提供培训方案，包括：①对锅炉房操作人员和维护人员进行日常操作培训②维护保养③安全注意事项等。 方案制定应完整全面、详细具体，满足项目实施要求，得3分；每有一项未提供扣1分，每有一处有缺陷扣0.5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磋商报价得分=(磋商基准价／最后磋商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详见附件：具有履行合同所必需的设备和专业技术能力的说明及承诺.docx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详见附件：西安工业大学锅炉低氮改造工程项目合同.docx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